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kept a likelihood-ratio membership attack at chance for a</w:t>
      </w:r>
      <w:r>
        <w:t xml:space="preserve"> </w:t>
      </w:r>
      <w:r>
        <w:t xml:space="preserve">balanced-accuracy cost of 0.076 in federated and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2026-10-21T15:33:20Z</dcterms:created>
  <dcterms:modified xsi:type="dcterms:W3CDTF">2026-10-21T15:33:20Z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