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[CHECK: date of submission]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The manuscript addresses a question that affects any multi-hospital artificial intelligence model in neuro-oncology,</w:t>
      </w:r>
      <w:r>
        <w:t xml:space="preserve"> </w:t>
      </w:r>
      <w:r>
        <w:t xml:space="preserve">namely what a formal privacy guarantee costs and what it actually protects. On a deduplicated three-source brain</w:t>
      </w:r>
      <w:r>
        <w:t xml:space="preserve"> </w:t>
      </w:r>
      <w:r>
        <w:t xml:space="preserve">tumour MRI benchmark, a mirror-aware check found 66 contaminated test images that perceptual hashing had missed.</w:t>
      </w:r>
      <w:r>
        <w:t xml:space="preserve"> </w:t>
      </w:r>
      <w:r>
        <w:t xml:space="preserve">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kept a likelihood-ratio membership attack at chance for a</w:t>
      </w:r>
      <w:r>
        <w:t xml:space="preserve"> </w:t>
      </w:r>
      <w:r>
        <w:t xml:space="preserve">balanced-accuracy cost of 0.076 in federated and 0.130 in central training, whereas a per-patient guarantee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Without privacy the same attack separated training from test patients with an AUC of 0.805, and an</w:t>
      </w:r>
      <w:r>
        <w:t xml:space="preserve"> </w:t>
      </w:r>
      <w:r>
        <w:t xml:space="preserve">unclipped noise mechanism used in prior work still exposed patients. Grad-CAM localisation and cross-seed consistency</w:t>
      </w:r>
      <w:r>
        <w:t xml:space="preserve"> </w:t>
      </w:r>
      <w:r>
        <w:t xml:space="preserve">declined with privacy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Code, frozen</w:t>
      </w:r>
      <w:r>
        <w:t xml:space="preserve"> </w:t>
      </w:r>
      <w:r>
        <w:t xml:space="preserve">results and figure data are available in a public repository [CHECK: repository visibility and archive DOI].</w:t>
      </w:r>
    </w:p>
    <w:p>
      <w:pPr>
        <w:pStyle w:val="BodyText"/>
      </w:pPr>
      <w:r>
        <w:t xml:space="preserve">Two potential reviewers are suggested in the submission system [CHECK: names, institutional e-mail addresses, no conflicts].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 [CHECK]</w:t>
      </w:r>
    </w:p>
    <w:p>
      <w:pPr>
        <w:pStyle w:val="BodyText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2026-10-21T15:52:47Z</dcterms:created>
  <dcterms:modified xsi:type="dcterms:W3CDTF">2026-10-21T15:52:47Z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