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480" w:lineRule="auto"/>
        <w:jc w:val="left"/>
      </w:pPr>
      <w:r>
        <w:t xml:space="preserve">Patient-level</w:t>
      </w:r>
      <w:r>
        <w:t xml:space="preserve"> </w:t>
      </w:r>
      <w:r>
        <w:t xml:space="preserve">differential</w:t>
      </w:r>
      <w:r>
        <w:t xml:space="preserve"> </w:t>
      </w:r>
      <w:r>
        <w:t xml:space="preserve">privacy,</w:t>
      </w:r>
      <w:r>
        <w:t xml:space="preserve"> </w:t>
      </w:r>
      <w:r>
        <w:t xml:space="preserve">membership</w:t>
      </w:r>
      <w:r>
        <w:t xml:space="preserve"> </w:t>
      </w:r>
      <w:r>
        <w:t xml:space="preserve">leakage</w:t>
      </w:r>
      <w:r>
        <w:t xml:space="preserve"> </w:t>
      </w:r>
      <w:r>
        <w:t xml:space="preserve">and</w:t>
      </w:r>
      <w:r>
        <w:t xml:space="preserve"> </w:t>
      </w:r>
      <w:r>
        <w:t xml:space="preserve">explanation</w:t>
      </w:r>
      <w:r>
        <w:t xml:space="preserve"> </w:t>
      </w:r>
      <w:r>
        <w:t xml:space="preserve">fidelity</w:t>
      </w:r>
      <w:r>
        <w:t xml:space="preserve"> </w:t>
      </w:r>
      <w:r>
        <w:t xml:space="preserve">in</w:t>
      </w:r>
      <w:r>
        <w:t xml:space="preserve"> </w:t>
      </w:r>
      <w:r>
        <w:t xml:space="preserve">federated</w:t>
      </w:r>
      <w:r>
        <w:t xml:space="preserve"> </w:t>
      </w:r>
      <w:r>
        <w:t xml:space="preserve">brain</w:t>
      </w:r>
      <w:r>
        <w:t xml:space="preserve"> </w:t>
      </w:r>
      <w:r>
        <w:t xml:space="preserve">tumour</w:t>
      </w:r>
      <w:r>
        <w:t xml:space="preserve"> </w:t>
      </w:r>
      <w:r>
        <w:t xml:space="preserve">MRI</w:t>
      </w:r>
      <w:r>
        <w:t xml:space="preserve"> </w:t>
      </w:r>
      <w:r>
        <w:t xml:space="preserve">classification</w:t>
      </w:r>
    </w:p>
    <w:p>
      <w:pPr>
        <w:pStyle w:val="FirstParagraph"/>
        <w:spacing w:line="480" w:lineRule="auto"/>
        <w:jc w:val="left"/>
      </w:pPr>
      <w:r>
        <w:t xml:space="preserve">Shashi Ranjan</w:t>
      </w:r>
      <w:r>
        <w:rPr>
          <w:vertAlign w:val="superscript"/>
        </w:rPr>
        <w:t xml:space="preserve">a</w:t>
      </w:r>
      <w:r>
        <w:t xml:space="preserve">, Poonguzhali N*</w:t>
      </w:r>
      <w:r>
        <w:rPr>
          <w:vertAlign w:val="superscript"/>
        </w:rPr>
        <w:t xml:space="preserve">a</w:t>
      </w:r>
    </w:p>
    <w:p>
      <w:pPr>
        <w:pStyle w:val="BodyText"/>
        <w:spacing w:line="480" w:lineRule="auto"/>
        <w:jc w:val="left"/>
      </w:pPr>
      <w:r>
        <w:rPr>
          <w:vertAlign w:val="superscript"/>
        </w:rPr>
        <w:t xml:space="preserve">a</w:t>
      </w:r>
      <w:r>
        <w:t xml:space="preserve">School of Computer and Systems Sciences, Jawaharlal Nehru University, New Delhi 110067, India</w:t>
      </w:r>
    </w:p>
    <w:p>
      <w:pPr>
        <w:pStyle w:val="BodyText"/>
        <w:spacing w:line="480" w:lineRule="auto"/>
        <w:jc w:val="left"/>
      </w:pPr>
      <w:r>
        <w:t xml:space="preserve">* Corresponding author. School of Computer and Systems Sciences, Jawaharlal Nehru University, New Delhi</w:t>
      </w:r>
      <w:r>
        <w:t xml:space="preserve"> </w:t>
      </w:r>
      <w:r>
        <w:t xml:space="preserve">110067, India. Telephone [CHECK: number with country and area code]. E-mail addresses shashi17_scs@jnu.ac.in, poonguzhali@jnu.ac.in.</w:t>
      </w:r>
    </w:p>
    <w:bookmarkStart w:id="20" w:name="abstract"/>
    <w:p>
      <w:pPr>
        <w:pStyle w:val="Heading1"/>
        <w:spacing w:line="480" w:lineRule="auto"/>
        <w:jc w:val="left"/>
      </w:pPr>
      <w:r>
        <w:t xml:space="preserve">Abstract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Background.</w:t>
      </w:r>
      <w:r>
        <w:t xml:space="preserve"> </w:t>
      </w:r>
      <w:r>
        <w:t xml:space="preserve">Federated brain tumour classifiers for magnetic resonance imaging (MRI) on public</w:t>
      </w:r>
      <w:r>
        <w:t xml:space="preserve"> </w:t>
      </w:r>
      <w:r>
        <w:t xml:space="preserve">collections report accuracies of 94% and above. The merged collections contain duplicates, and privacy</w:t>
      </w:r>
      <w:r>
        <w:t xml:space="preserve"> </w:t>
      </w:r>
      <w:r>
        <w:t xml:space="preserve">claims rarely state an accounted budget or protected unit.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Purpose.</w:t>
      </w:r>
      <w:r>
        <w:t xml:space="preserve"> </w:t>
      </w:r>
      <w:r>
        <w:t xml:space="preserve">The study measures what accounted differential privacy (DP) costs and protects per</w:t>
      </w:r>
      <w:r>
        <w:t xml:space="preserve"> </w:t>
      </w:r>
      <w:r>
        <w:t xml:space="preserve">image and per patient, and how it alters explanations.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Methods.</w:t>
      </w:r>
      <w:r>
        <w:t xml:space="preserve"> </w:t>
      </w:r>
      <w:r>
        <w:t xml:space="preserve">Figshare, SARTAJ and Br35H images were deduplicated into 3845 images with</w:t>
      </w:r>
      <w:r>
        <w:t xml:space="preserve"> </w:t>
      </w:r>
      <w:r>
        <w:t xml:space="preserve">patient-disjoint splits, and a mirror-aware check removed 66 contaminated test images. A pretrained ResNet-18 was</w:t>
      </w:r>
      <w:r>
        <w:t xml:space="preserve"> </w:t>
      </w:r>
      <w:r>
        <w:t xml:space="preserve">trained centrally and with federated averaging (FedAvg) under record-level and patient-level DP stochastic gradient</w:t>
      </w:r>
      <w:r>
        <w:t xml:space="preserve"> </w:t>
      </w:r>
      <w:r>
        <w:t xml:space="preserve">descent with Rényi accounting (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 and five seeds. Leakage was audited with a likelihood-ratio attack (LiRA,</w:t>
      </w:r>
      <w:r>
        <w:t xml:space="preserve"> </w:t>
      </w:r>
      <w:r>
        <w:t xml:space="preserve">16 shadow models), and gradient-weighted class activation mapping (Grad-CAM) was scored against expert masks.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Results.</w:t>
      </w:r>
      <w:r>
        <w:t xml:space="preserve"> </w:t>
      </w:r>
      <w:r>
        <w:t xml:space="preserve">On 747 clean test images, central balanced accuracy fell from 0.908 without DP to 0.778</w:t>
      </w:r>
      <w:r>
        <w:t xml:space="preserve"> </w:t>
      </w:r>
      <w:r>
        <w:t xml:space="preserve">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whereas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reach 0.820. Without DP, LiRA</w:t>
      </w:r>
      <w:r>
        <w:t xml:space="preserve"> </w:t>
      </w:r>
      <w:r>
        <w:t xml:space="preserve">found 10.8% of training images at a 1% false-positive rate and separated training from test patients with an area</w:t>
      </w:r>
      <w:r>
        <w:t xml:space="preserve"> </w:t>
      </w:r>
      <w:r>
        <w:t xml:space="preserve">under the curve (AUC) of 0.805, whereas DP kept the attack at chance. Unclipped weight noise at matched utility still</w:t>
      </w:r>
      <w:r>
        <w:t xml:space="preserve"> </w:t>
      </w:r>
      <w:r>
        <w:t xml:space="preserve">exposed patients (AUC 0.745). Grad-CAM consistency across seeds fell from 0.700 to 0.235, tracking accuracy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).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Conclusions.</w:t>
      </w:r>
      <w:r>
        <w:t xml:space="preserve"> </w:t>
      </w:r>
      <w:r>
        <w:t xml:space="preserve">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removed measurable leakage at a balanced-accuracy</w:t>
      </w:r>
      <w:r>
        <w:t xml:space="preserve"> </w:t>
      </w:r>
      <w:r>
        <w:t xml:space="preserve">cost of 0.076 (federated) to 0.130 (central), whereas per-patient guarantees cost far more at this scale. Costs</w:t>
      </w:r>
      <w:r>
        <w:t xml:space="preserve"> </w:t>
      </w:r>
      <w:r>
        <w:t xml:space="preserve">in real hospital consortia remain untested, because clients were simulated from public data.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Keywords.</w:t>
      </w:r>
      <w:r>
        <w:t xml:space="preserve"> </w:t>
      </w:r>
      <w:r>
        <w:t xml:space="preserve">Federated learning; Rényi differential privacy; Membership inference attack; Gradient-weighted class</w:t>
      </w:r>
      <w:r>
        <w:t xml:space="preserve"> </w:t>
      </w:r>
      <w:r>
        <w:t xml:space="preserve">activation mapping; Neuro-oncology; Dataset contamination</w:t>
      </w:r>
    </w:p>
    <w:bookmarkEnd w:id="20"/>
    <w:bookmarkStart w:id="24" w:name="introduction"/>
    <w:p>
      <w:pPr>
        <w:pStyle w:val="Heading1"/>
        <w:spacing w:line="480" w:lineRule="auto"/>
        <w:jc w:val="left"/>
      </w:pPr>
      <w:r>
        <w:t xml:space="preserve">Introduction</w:t>
      </w:r>
    </w:p>
    <w:p>
      <w:pPr>
        <w:pStyle w:val="FirstParagraph"/>
        <w:spacing w:line="480" w:lineRule="auto"/>
        <w:jc w:val="left"/>
      </w:pPr>
      <w:r>
        <w:t xml:space="preserve">Artificial intelligence is changing how brain tumours are detected and graded on magnetic resonance imaging (MRI),</w:t>
      </w:r>
      <w:r>
        <w:t xml:space="preserve"> </w:t>
      </w:r>
      <w:r>
        <w:t xml:space="preserve">and its clinical value depends on training data drawn from many hospitals.</w:t>
      </w:r>
      <w:r>
        <w:rPr>
          <w:vertAlign w:val="superscript"/>
        </w:rPr>
        <w:t xml:space="preserve">1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Federated learning lets</w:t>
      </w:r>
      <w:r>
        <w:t xml:space="preserve"> </w:t>
      </w:r>
      <w:r>
        <w:t xml:space="preserve">those hospitals train one shared model without moving scans, and early brain tumour studies showed that</w:t>
      </w:r>
      <w:r>
        <w:t xml:space="preserve"> </w:t>
      </w:r>
      <w:r>
        <w:t xml:space="preserve">federated models approach the accuracy of centrally trained ones.</w:t>
      </w:r>
      <w:r>
        <w:rPr>
          <w:vertAlign w:val="superscript"/>
        </w:rPr>
        <w:t xml:space="preserve">2-4</w:t>
      </w:r>
    </w:p>
    <w:p>
      <w:pPr>
        <w:pStyle w:val="BodyText"/>
        <w:spacing w:line="480" w:lineRule="auto"/>
        <w:jc w:val="left"/>
      </w:pPr>
      <w:r>
        <w:t xml:space="preserve">Sharing model updates is not the same as protecting patients, because updates and released models can reveal</w:t>
      </w:r>
      <w:r>
        <w:t xml:space="preserve"> </w:t>
      </w:r>
      <w:r>
        <w:t xml:space="preserve">whether a person contributed data.</w:t>
      </w:r>
      <w:r>
        <w:rPr>
          <w:vertAlign w:val="superscript"/>
        </w:rPr>
        <w:t xml:space="preserve">5,6</w:t>
      </w:r>
      <w:r>
        <w:t xml:space="preserve"> </w:t>
      </w:r>
      <w:r>
        <w:t xml:space="preserve">Differential privacy (DP) bounds that risk formally,</w:t>
      </w:r>
      <w:r>
        <w:t xml:space="preserve"> </w:t>
      </w:r>
      <w:r>
        <w:t xml:space="preserve">and its practical form for deep networks, differentially private stochastic gradient descent (DP-SGD), clips each</w:t>
      </w:r>
      <w:r>
        <w:t xml:space="preserve"> </w:t>
      </w:r>
      <w:r>
        <w:t xml:space="preserve">example’s gradient and adds calibrated Gaussian noise.</w:t>
      </w:r>
      <w:r>
        <w:rPr>
          <w:vertAlign w:val="superscript"/>
        </w:rPr>
        <w:t xml:space="preserve">7</w:t>
      </w:r>
      <w:r>
        <w:t xml:space="preserve"> </w:t>
      </w:r>
      <w:r>
        <w:t xml:space="preserve">Slice-based MRI complicates the guarantee,</w:t>
      </w:r>
      <w:r>
        <w:t xml:space="preserve"> </w:t>
      </w:r>
      <w:r>
        <w:t xml:space="preserve">since one Figshare patient contributes a median of 13 slices and a guarantee per image covers that patient only</w:t>
      </w:r>
      <w:r>
        <w:t xml:space="preserve"> </w:t>
      </w:r>
      <w:r>
        <w:t xml:space="preserve">through group privacy.</w:t>
      </w:r>
    </w:p>
    <w:p>
      <w:pPr>
        <w:pStyle w:val="BodyText"/>
        <w:spacing w:line="480" w:lineRule="auto"/>
        <w:jc w:val="left"/>
      </w:pPr>
      <w:r>
        <w:t xml:space="preserve">Two further problems weaken the published evidence for private federated brain tumour classifiers. The public</w:t>
      </w:r>
      <w:r>
        <w:t xml:space="preserve"> </w:t>
      </w:r>
      <w:r>
        <w:t xml:space="preserve">four-class collections assembled from Figshare, SARTAJ and Br35H overlap, so test images can have near-copies in</w:t>
      </w:r>
      <w:r>
        <w:t xml:space="preserve"> </w:t>
      </w:r>
      <w:r>
        <w:t xml:space="preserve">training.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The privacy mechanism, its budget and the protected unit are also often not reported in a</w:t>
      </w:r>
      <w:r>
        <w:t xml:space="preserve"> </w:t>
      </w:r>
      <w:r>
        <w:t xml:space="preserve">form that can be checked.</w:t>
      </w:r>
      <w:r>
        <w:rPr>
          <w:vertAlign w:val="superscript"/>
        </w:rPr>
        <w:t xml:space="preserve">9-11</w:t>
      </w:r>
    </w:p>
    <w:p>
      <w:pPr>
        <w:pStyle w:val="BodyText"/>
        <w:spacing w:line="480" w:lineRule="auto"/>
        <w:jc w:val="left"/>
      </w:pPr>
      <w:r>
        <w:t xml:space="preserve">The present paper therefore measures, on a deduplicated benchmark with expert tumour masks, what record-level and</w:t>
      </w:r>
      <w:r>
        <w:t xml:space="preserve"> </w:t>
      </w:r>
      <w:r>
        <w:t xml:space="preserve">patient-level DP cost in accuracy, whether measured leakage follows the formal guarantee, and how explanations</w:t>
      </w:r>
      <w:r>
        <w:t xml:space="preserve"> </w:t>
      </w:r>
      <w:r>
        <w:t xml:space="preserve">change under privacy. The study uses only public data, simulated federated clients and post-hoc audits, and it</w:t>
      </w:r>
      <w:r>
        <w:t xml:space="preserve"> </w:t>
      </w:r>
      <w:r>
        <w:t xml:space="preserve">reports every result on a test set cleaned of mirrored duplicates.</w:t>
      </w:r>
    </w:p>
    <w:bookmarkStart w:id="22" w:name="related-work"/>
    <w:p>
      <w:pPr>
        <w:pStyle w:val="Heading2"/>
        <w:spacing w:line="480" w:lineRule="auto"/>
        <w:jc w:val="left"/>
      </w:pPr>
      <w:r>
        <w:t xml:space="preserve">Related work</w:t>
      </w:r>
    </w:p>
    <w:p>
      <w:pPr>
        <w:pStyle w:val="FirstParagraph"/>
        <w:spacing w:line="480" w:lineRule="auto"/>
        <w:jc w:val="left"/>
      </w:pPr>
      <w:r>
        <w:t xml:space="preserve">Federated learning for brain tumours began with multi-institutional segmentation, where models trained without</w:t>
      </w:r>
      <w:r>
        <w:t xml:space="preserve"> </w:t>
      </w:r>
      <w:r>
        <w:t xml:space="preserve">sharing data matched those trained on pooled data.</w:t>
      </w:r>
      <w:r>
        <w:rPr>
          <w:vertAlign w:val="superscript"/>
        </w:rPr>
        <w:t xml:space="preserve">2-4</w:t>
      </w:r>
      <w:r>
        <w:t xml:space="preserve"> </w:t>
      </w:r>
      <w:r>
        <w:t xml:space="preserve">Later classification</w:t>
      </w:r>
      <w:r>
        <w:t xml:space="preserve"> </w:t>
      </w:r>
      <w:r>
        <w:t xml:space="preserve">studies on the merged Figshare, SARTAJ and Br35H collections report accuracies from 94% to 99.29% with federated</w:t>
      </w:r>
      <w:r>
        <w:t xml:space="preserve"> </w:t>
      </w:r>
      <w:r>
        <w:t xml:space="preserve">averaging (FedAvg),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FedProx, SCAFFOLD or transfer learning, and some add Grad-CAM pictures.</w:t>
      </w:r>
      <w:r>
        <w:rPr>
          <w:vertAlign w:val="superscript"/>
        </w:rPr>
        <w:t xml:space="preserve">13-16</w:t>
      </w:r>
      <w:r>
        <w:t xml:space="preserve"> </w:t>
      </w:r>
      <w:r>
        <w:t xml:space="preserve">The present work differs by training on a deduplicated, patient-disjoint benchmark and by attaching an accounted</w:t>
      </w:r>
      <w:r>
        <w:t xml:space="preserve"> </w:t>
      </w:r>
      <w:r>
        <w:t xml:space="preserve">privacy guarantee to every private model.</w:t>
      </w:r>
    </w:p>
    <w:p>
      <w:pPr>
        <w:pStyle w:val="BodyText"/>
        <w:spacing w:line="480" w:lineRule="auto"/>
        <w:jc w:val="left"/>
      </w:pPr>
      <w:r>
        <w:t xml:space="preserve">Differential privacy has been applied to medical imaging with dedicated DP-SGD libraries and accounting</w:t>
      </w:r>
      <w:r>
        <w:t xml:space="preserve"> </w:t>
      </w:r>
      <w:r>
        <w:t xml:space="preserve">tools.</w:t>
      </w:r>
      <w:r>
        <w:rPr>
          <w:vertAlign w:val="superscript"/>
        </w:rPr>
        <w:t xml:space="preserve">17-19</w:t>
      </w:r>
      <w:r>
        <w:t xml:space="preserve"> </w:t>
      </w:r>
      <w:r>
        <w:t xml:space="preserve">Kaissis et al. trained a three-site federated chest radiograph</w:t>
      </w:r>
      <w:r>
        <w:t xml:space="preserve"> </w:t>
      </w:r>
      <w:r>
        <w:t xml:space="preserve">model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whose accuracy stayed comparable to that of two radiologists.</w:t>
      </w:r>
      <w:r>
        <w:rPr>
          <w:vertAlign w:val="superscript"/>
        </w:rPr>
        <w:t xml:space="preserve">20</w:t>
      </w:r>
      <w:r>
        <w:t xml:space="preserve"> </w:t>
      </w:r>
      <w:r>
        <w:t xml:space="preserve">Adnan et</w:t>
      </w:r>
      <w:r>
        <w:t xml:space="preserve"> </w:t>
      </w:r>
      <w:r>
        <w:t xml:space="preserve">al. studied differentially private federated learning on histopathology with varying numbers of</w:t>
      </w:r>
      <w:r>
        <w:t xml:space="preserve"> </w:t>
      </w:r>
      <w:r>
        <w:t xml:space="preserve">providers,</w:t>
      </w:r>
      <w:r>
        <w:rPr>
          <w:vertAlign w:val="superscript"/>
        </w:rPr>
        <w:t xml:space="preserve">21</w:t>
      </w:r>
      <w:r>
        <w:t xml:space="preserve"> </w:t>
      </w:r>
      <w:r>
        <w:t xml:space="preserve">and Tayebi Arasteh et al. found that private training lowered accuracy mainly for</w:t>
      </w:r>
      <w:r>
        <w:t xml:space="preserve"> </w:t>
      </w:r>
      <w:r>
        <w:t xml:space="preserve">difficult diagnoses.</w:t>
      </w:r>
      <w:r>
        <w:rPr>
          <w:vertAlign w:val="superscript"/>
        </w:rPr>
        <w:t xml:space="preserve">22</w:t>
      </w:r>
      <w:r>
        <w:t xml:space="preserve"> </w:t>
      </w:r>
      <w:r>
        <w:t xml:space="preserve">Ziller et al. showed that large budgets can already block reconstruction</w:t>
      </w:r>
      <w:r>
        <w:t xml:space="preserve"> </w:t>
      </w:r>
      <w:r>
        <w:t xml:space="preserve">attacks.</w:t>
      </w:r>
      <w:r>
        <w:rPr>
          <w:vertAlign w:val="superscript"/>
        </w:rPr>
        <w:t xml:space="preserve">23</w:t>
      </w:r>
      <w:r>
        <w:t xml:space="preserve"> </w:t>
      </w:r>
      <w:r>
        <w:t xml:space="preserve">These studies protect single records, whereas the present work compares record-level and</w:t>
      </w:r>
      <w:r>
        <w:t xml:space="preserve"> </w:t>
      </w:r>
      <w:r>
        <w:t xml:space="preserve">patient-level guarantees on the same data and audits both empirically.</w:t>
      </w:r>
    </w:p>
    <w:p>
      <w:pPr>
        <w:pStyle w:val="BodyText"/>
        <w:spacing w:line="480" w:lineRule="auto"/>
        <w:jc w:val="left"/>
      </w:pPr>
      <w:r>
        <w:t xml:space="preserve">Membership inference measures privacy empirically, and the likelihood-ratio attack (LiRA) compares a target model’s</w:t>
      </w:r>
      <w:r>
        <w:t xml:space="preserve"> </w:t>
      </w:r>
      <w:r>
        <w:t xml:space="preserve">confidence on an example with that of shadow models trained with and without it.</w:t>
      </w:r>
      <w:r>
        <w:rPr>
          <w:vertAlign w:val="superscript"/>
        </w:rPr>
        <w:t xml:space="preserve">24</w:t>
      </w:r>
      <w:r>
        <w:t xml:space="preserve"> </w:t>
      </w:r>
      <w:r>
        <w:t xml:space="preserve">Knolle et al. reported that patients with several similar records can face</w:t>
      </w:r>
      <w:r>
        <w:t xml:space="preserve"> </w:t>
      </w:r>
      <w:r>
        <w:t xml:space="preserve">near-perfect attack success even when aggregate success looks random.</w:t>
      </w:r>
      <w:r>
        <w:rPr>
          <w:vertAlign w:val="superscript"/>
        </w:rPr>
        <w:t xml:space="preserve">6</w:t>
      </w:r>
      <w:r>
        <w:t xml:space="preserve"> </w:t>
      </w:r>
      <w:r>
        <w:t xml:space="preserve">The closest federated brain</w:t>
      </w:r>
      <w:r>
        <w:t xml:space="preserve"> </w:t>
      </w:r>
      <w:r>
        <w:t xml:space="preserve">tumour study adds Gaussian noise with standard deviation 0.5 to client weights without clipping, so its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about 3.4 cannot be derived from the mechanism.</w:t>
      </w:r>
      <w:r>
        <w:rPr>
          <w:vertAlign w:val="superscript"/>
        </w:rPr>
        <w:t xml:space="preserve">11</w:t>
      </w:r>
      <w:r>
        <w:t xml:space="preserve"> </w:t>
      </w:r>
      <w:r>
        <w:t xml:space="preserve">The present work runs LiRA at the</w:t>
      </w:r>
      <w:r>
        <w:t xml:space="preserve"> </w:t>
      </w:r>
      <w:r>
        <w:t xml:space="preserve">image and the patient level against formally private models and against that unclipped mechanism.</w:t>
      </w:r>
    </w:p>
    <w:p>
      <w:pPr>
        <w:pStyle w:val="BodyText"/>
        <w:spacing w:line="480" w:lineRule="auto"/>
        <w:jc w:val="left"/>
      </w:pPr>
      <w:r>
        <w:t xml:space="preserve">Private training also changes explanations, since Saifullah et al. and Manna and Sett reported that DP alters</w:t>
      </w:r>
      <w:r>
        <w:t xml:space="preserve"> </w:t>
      </w:r>
      <w:r>
        <w:t xml:space="preserve">attributions across many datasets and methods,</w:t>
      </w:r>
      <w:r>
        <w:rPr>
          <w:vertAlign w:val="superscript"/>
        </w:rPr>
        <w:t xml:space="preserve">25,26</w:t>
      </w:r>
      <w:r>
        <w:t xml:space="preserve"> </w:t>
      </w:r>
      <w:r>
        <w:t xml:space="preserve">and Adebayo et al. showed that some saliency methods</w:t>
      </w:r>
      <w:r>
        <w:t xml:space="preserve"> </w:t>
      </w:r>
      <w:r>
        <w:t xml:space="preserve">ignore the learned weights.</w:t>
      </w:r>
      <w:r>
        <w:rPr>
          <w:vertAlign w:val="superscript"/>
        </w:rPr>
        <w:t xml:space="preserve">27</w:t>
      </w:r>
      <w:r>
        <w:t xml:space="preserve"> </w:t>
      </w:r>
      <w:r>
        <w:t xml:space="preserve">The present work measures Grad-CAM localisation against expert tumour</w:t>
      </w:r>
      <w:r>
        <w:t xml:space="preserve"> </w:t>
      </w:r>
      <w:r>
        <w:t xml:space="preserve">masks, its consistency across seeds and a randomisation check, and asks whether privacy affects explanations beyond</w:t>
      </w:r>
      <w:r>
        <w:t xml:space="preserve"> </w:t>
      </w:r>
      <w:r>
        <w:t xml:space="preserve">its effect on accuracy.</w:t>
      </w:r>
    </w:p>
    <w:p>
      <w:pPr>
        <w:pStyle w:val="BodyText"/>
        <w:spacing w:line="480" w:lineRule="auto"/>
        <w:jc w:val="left"/>
      </w:pPr>
      <w:r>
        <w:t xml:space="preserve">Benchmark contamination is the last theme, and Vangala et al. found that 28.8% of a widely used Kaggle test split</w:t>
      </w:r>
      <w:r>
        <w:t xml:space="preserve"> </w:t>
      </w:r>
      <w:r>
        <w:t xml:space="preserve">has a near-twin in training,</w:t>
      </w:r>
      <w:r>
        <w:rPr>
          <w:vertAlign w:val="superscript"/>
        </w:rPr>
        <w:t xml:space="preserve">8</w:t>
      </w:r>
      <w:r>
        <w:t xml:space="preserve"> </w:t>
      </w:r>
      <w:r>
        <w:t xml:space="preserve">and the source collections differ in class</w:t>
      </w:r>
      <w:r>
        <w:t xml:space="preserve"> </w:t>
      </w:r>
      <w:r>
        <w:t xml:space="preserve">composition.</w:t>
      </w:r>
      <w:r>
        <w:rPr>
          <w:vertAlign w:val="superscript"/>
        </w:rPr>
        <w:t xml:space="preserve">28-30</w:t>
      </w:r>
      <w:r>
        <w:t xml:space="preserve"> </w:t>
      </w:r>
      <w:r>
        <w:t xml:space="preserve">The present work adds a mirror-aware correlation check, because</w:t>
      </w:r>
      <w:r>
        <w:t xml:space="preserve"> </w:t>
      </w:r>
      <w:r>
        <w:t xml:space="preserve">perceptual hashes do not match copies flipped left to right. Taken together, the accuracy cost and the empirical</w:t>
      </w:r>
      <w:r>
        <w:t xml:space="preserve"> </w:t>
      </w:r>
      <w:r>
        <w:t xml:space="preserve">leakage of record-level and patient-level DP for federated brain tumour MRI on contamination-checked data, together</w:t>
      </w:r>
      <w:r>
        <w:t xml:space="preserve"> </w:t>
      </w:r>
      <w:r>
        <w:t xml:space="preserve">with their effect on explanation fidelity, have not been measured side by side.</w:t>
      </w:r>
    </w:p>
    <w:bookmarkEnd w:id="22"/>
    <w:bookmarkStart w:id="23" w:name="contributions"/>
    <w:p>
      <w:pPr>
        <w:pStyle w:val="Heading2"/>
        <w:spacing w:line="480" w:lineRule="auto"/>
        <w:jc w:val="left"/>
      </w:pPr>
      <w:r>
        <w:t xml:space="preserve">Contributions</w:t>
      </w:r>
    </w:p>
    <w:p>
      <w:pPr>
        <w:pStyle w:val="FirstParagraph"/>
        <w:spacing w:line="480" w:lineRule="auto"/>
        <w:jc w:val="left"/>
      </w:pPr>
      <w:r>
        <w:t xml:space="preserve">The study makes five contributions, each answered by the measurements summarised in the abstract.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 deduplicated, patient-disjoint benchmark.</w:t>
      </w:r>
      <w:r>
        <w:t xml:space="preserve"> </w:t>
      </w:r>
      <w:r>
        <w:t xml:space="preserve">Perceptual-hash deduplication reduced 7828 labelled</w:t>
      </w:r>
      <w:r>
        <w:t xml:space="preserve"> </w:t>
      </w:r>
      <w:r>
        <w:t xml:space="preserve">images to 3845 images split by patient, and a mirror-aware correlation check found 66 contaminated test images,</w:t>
      </w:r>
      <w:r>
        <w:t xml:space="preserve"> </w:t>
      </w:r>
      <w:r>
        <w:t xml:space="preserve">which are excluded from every reported result.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accounted privacy and utility comparison at two privacy units.</w:t>
      </w:r>
      <w:r>
        <w:t xml:space="preserve"> </w:t>
      </w:r>
      <w:r>
        <w:t xml:space="preserve">Central and federated models were</w:t>
      </w:r>
      <w:r>
        <w:t xml:space="preserve"> </w:t>
      </w:r>
      <w:r>
        <w:t xml:space="preserve">trained under record-level and patient-level DP-SGD with Rényi accounting and five seeds per setting.</w:t>
      </w:r>
      <w:r>
        <w:t xml:space="preserve"> </w:t>
      </w: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cost 0.130 in central balanced accuracy, whereas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exceed that accuracy.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The effect of client count under DP.</w:t>
      </w:r>
      <w:r>
        <w:t xml:space="preserve"> </w:t>
      </w:r>
      <w:r>
        <w:t xml:space="preserve">Splitting the same images across more clients lowered accuracy</w:t>
      </w:r>
      <w:r>
        <w:t xml:space="preserve"> </w:t>
      </w:r>
      <w:r>
        <w:t xml:space="preserve">under DP by 0.096 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consistent with the aggregated noise scale, and FedProx</w:t>
      </w:r>
      <w:r>
        <w:t xml:space="preserve"> </w:t>
      </w:r>
      <w:r>
        <w:t xml:space="preserve">and SCAFFOLD did not recover the loss.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empirical privacy audit.</w:t>
      </w:r>
      <w:r>
        <w:t xml:space="preserve"> </w:t>
      </w:r>
      <w:r>
        <w:t xml:space="preserve">LiRA with 16 shadow models per setting identified training images and</w:t>
      </w:r>
      <w:r>
        <w:t xml:space="preserve"> </w:t>
      </w:r>
      <w:r>
        <w:t xml:space="preserve">patients without DP, stayed at chance under every DP setting, and still detected patients under an unclipped</w:t>
      </w:r>
      <w:r>
        <w:t xml:space="preserve"> </w:t>
      </w:r>
      <w:r>
        <w:t xml:space="preserve">weight-noise mechanism of matched utility.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Explanation fidelity under privacy.</w:t>
      </w:r>
      <w:r>
        <w:t xml:space="preserve"> </w:t>
      </w:r>
      <w:r>
        <w:t xml:space="preserve">Grad-CAM localisation and cross-seed consistency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decreased, consistency correlated with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, and the noise multiplier added no</w:t>
      </w:r>
      <w:r>
        <w:t xml:space="preserve"> </w:t>
      </w:r>
      <w:r>
        <w:t xml:space="preserve">explanatory power once accuracy was known.</w:t>
      </w:r>
    </w:p>
    <w:p>
      <w:pPr>
        <w:pStyle w:val="FirstParagraph"/>
        <w:spacing w:line="480" w:lineRule="auto"/>
        <w:jc w:val="left"/>
      </w:pPr>
      <w:r>
        <w:t xml:space="preserve">Section 2 states the threat model and describes the curation, training, audit and explanation</w:t>
      </w:r>
      <w:r>
        <w:t xml:space="preserve"> </w:t>
      </w:r>
      <w:r>
        <w:t xml:space="preserve">methods, Section 3 reports the results, Section 4 interprets them with their</w:t>
      </w:r>
      <w:r>
        <w:t xml:space="preserve"> </w:t>
      </w:r>
      <w:r>
        <w:t xml:space="preserve">limitations, and Section 5 concludes.</w:t>
      </w:r>
    </w:p>
    <w:bookmarkEnd w:id="23"/>
    <w:bookmarkEnd w:id="24"/>
    <w:bookmarkStart w:id="40" w:name="material-and-methods"/>
    <w:p>
      <w:pPr>
        <w:pStyle w:val="Heading1"/>
        <w:spacing w:line="480" w:lineRule="auto"/>
        <w:jc w:val="left"/>
      </w:pPr>
      <w:r>
        <w:t xml:space="preserve">Material and methods</w:t>
      </w:r>
    </w:p>
    <w:bookmarkStart w:id="25" w:name="problem-formulation-and-threat-model"/>
    <w:p>
      <w:pPr>
        <w:pStyle w:val="Heading2"/>
        <w:spacing w:line="480" w:lineRule="auto"/>
        <w:jc w:val="left"/>
      </w:pPr>
      <w:r>
        <w:t xml:space="preserve">Problem formulation and threat model</w:t>
      </w:r>
    </w:p>
    <w:p>
      <w:pPr>
        <w:pStyle w:val="FirstParagraph"/>
        <w:spacing w:line="480" w:lineRule="auto"/>
        <w:jc w:val="left"/>
      </w:pPr>
      <w:r>
        <w:t xml:space="preserve">Consider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clients, where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holds a dataset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images grouped into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units,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2610</m:t>
        </m:r>
      </m:oMath>
      <w:r>
        <w:t xml:space="preserve"> </w:t>
      </w:r>
      <w:r>
        <w:t xml:space="preserve">training images form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634</m:t>
        </m:r>
      </m:oMath>
      <w:r>
        <w:t xml:space="preserve"> </w:t>
      </w:r>
      <w:r>
        <w:t xml:space="preserve">units. A unit is one Figshare patient, or a group of</w:t>
      </w:r>
      <w:r>
        <w:t xml:space="preserve"> </w:t>
      </w:r>
      <w:r>
        <w:t xml:space="preserve">near-identical SARTAJ or Br35H images, because those two collections carry no patient identifiers. A server runs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rounds, and in each round every client runs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local steps on a model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with parameters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A randomised training mechanism</w:t>
      </w:r>
      <w:r>
        <w:t xml:space="preserve"> </w:t>
      </w:r>
      <m:oMath>
        <m:r>
          <m:rPr>
            <m:sty m:val="p"/>
            <m:scr m:val="script"/>
          </m:rP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-differentially private if, for all</w:t>
      </w:r>
      <w:r>
        <w:t xml:space="preserve"> </w:t>
      </w:r>
      <w:r>
        <w:t xml:space="preserve">neighbouring datasets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′</m:t>
        </m:r>
      </m:oMath>
      <w:r>
        <w:t xml:space="preserve"> </w:t>
      </w:r>
      <w:r>
        <w:t xml:space="preserve">and every set of outputs</w:t>
      </w:r>
      <w:r>
        <w:t xml:space="preserve"> </w:t>
      </w:r>
      <m:oMath>
        <m:r>
          <m:t>O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t>ε</m:t>
              </m:r>
            </m:sup>
          </m:sSup>
          <m:r>
            <m:t> </m:t>
          </m:r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Record-level neighbours differ in one image, and patient-level neighbours differ in one unit. Smaller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means stronger protection,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lies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Every client runs DP-SGD on its own data, so each update it sends is already a private release. The guarantee</w:t>
      </w:r>
      <w:r>
        <w:t xml:space="preserve"> </w:t>
      </w:r>
      <w:r>
        <w:t xml:space="preserve">therefore holds against an honest-but-curious server, against other clients and against anyone who sees the released</w:t>
      </w:r>
      <w:r>
        <w:t xml:space="preserve"> </w:t>
      </w:r>
      <w:r>
        <w:t xml:space="preserve">model. Client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server-held validation split are treated as public, and no secure</w:t>
      </w:r>
      <w:r>
        <w:t xml:space="preserve"> </w:t>
      </w:r>
      <w:r>
        <w:t xml:space="preserve">aggregation is used. A unit split 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clients is protected by the composition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guarantees, and the worst</w:t>
      </w:r>
      <w:r>
        <w:t xml:space="preserve"> </w:t>
      </w:r>
      <w:r>
        <w:t xml:space="preserve">case over units is reported.</w:t>
      </w:r>
    </w:p>
    <w:p>
      <w:pPr>
        <w:pStyle w:val="BodyText"/>
        <w:spacing w:line="480" w:lineRule="auto"/>
        <w:jc w:val="left"/>
      </w:pPr>
      <w:r>
        <w:t xml:space="preserve">The audit adversary has query access to the logits of the released model, knows the training recipe and the data</w:t>
      </w:r>
      <w:r>
        <w:t xml:space="preserve"> </w:t>
      </w:r>
      <w:r>
        <w:t xml:space="preserve">distribution, and can train shadow models on samples of the same population. The adversary’s goal is to decide</w:t>
      </w:r>
      <w:r>
        <w:t xml:space="preserve"> </w:t>
      </w:r>
      <w:r>
        <w:t xml:space="preserve">whether a given image, or a given patient, was used in training. The study pursues three goals, namely the accuracy</w:t>
      </w:r>
      <w:r>
        <w:t xml:space="preserve"> </w:t>
      </w:r>
      <w:r>
        <w:t xml:space="preserve">cost of each guarantee, the leakage that remains measurable, and the change in explanation quality.</w:t>
      </w:r>
    </w:p>
    <w:p>
      <w:pPr>
        <w:pStyle w:val="BodyText"/>
        <w:spacing w:line="480" w:lineRule="auto"/>
        <w:jc w:val="left"/>
      </w:pPr>
      <w:r>
        <w:t xml:space="preserve">The code enforces clipping, noise, sampling and accounting, whereas three elements rest on assumptions. The</w:t>
      </w:r>
      <w:r>
        <w:t xml:space="preserve"> </w:t>
      </w:r>
      <w:r>
        <w:t xml:space="preserve">patient-level guarantee is exact only for Figshare, the round with the lowest validation loss is selected on the public validation</w:t>
      </w:r>
      <w:r>
        <w:t xml:space="preserve"> </w:t>
      </w:r>
      <w:r>
        <w:t xml:space="preserve">split, and the learning-rate search adds a privacy cost that is reported but not calibrated.</w:t>
      </w:r>
    </w:p>
    <w:bookmarkEnd w:id="25"/>
    <w:bookmarkStart w:id="29" w:name="evaluation-framework"/>
    <w:p>
      <w:pPr>
        <w:pStyle w:val="Heading2"/>
        <w:spacing w:line="480" w:lineRule="auto"/>
        <w:jc w:val="left"/>
      </w:pPr>
      <w:r>
        <w:t xml:space="preserve">Evaluation framework</w:t>
      </w:r>
    </w:p>
    <w:p>
      <w:pPr>
        <w:pStyle w:val="FirstParagraph"/>
        <w:spacing w:line="480" w:lineRule="auto"/>
        <w:jc w:val="left"/>
      </w:pPr>
      <w:r>
        <w:t xml:space="preserve">Fig. 1 shows the four stages of the study. Curation builds a deduplicated benchmark with patient</w:t>
      </w:r>
      <w:r>
        <w:t xml:space="preserve"> </w:t>
      </w:r>
      <w:r>
        <w:t xml:space="preserve">units and a clean test set, private training produces central and federated models at two privacy units, and two</w:t>
      </w:r>
      <w:r>
        <w:t xml:space="preserve"> </w:t>
      </w:r>
      <w:r>
        <w:t xml:space="preserve">audits measure leakage and explanation quality on the released models.</w:t>
      </w:r>
    </w:p>
    <w:p>
      <w:pPr>
        <w:pStyle w:val="CaptionedFigure"/>
        <w:jc w:val="left"/>
      </w:pPr>
      <w:r>
        <w:drawing>
          <wp:inline>
            <wp:extent cx="5334000" cy="176403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4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1. Evaluation framework. (a) Curation of three public collections. (b) Federated training with local DP-SGD at</w:t>
      </w:r>
      <w:r>
        <w:t xml:space="preserve"> </w:t>
      </w:r>
      <w:r>
        <w:t xml:space="preserve">image or patient level and size-weighted FedAvg. (c) Membership inference audit with LiRA. (d) Explanation audit.</w:t>
      </w:r>
      <w:r>
        <w:t xml:space="preserve"> </w:t>
      </w:r>
      <w:r>
        <w:t xml:space="preserve">Alg., algorithm. NCC, normalised cross-correlation. TPR and FPR, true-positive and false-positive rate.</w:t>
      </w:r>
    </w:p>
    <w:bookmarkEnd w:id="29"/>
    <w:bookmarkStart w:id="31" w:name="data-curation-and-leakage-control"/>
    <w:p>
      <w:pPr>
        <w:pStyle w:val="Heading2"/>
        <w:spacing w:line="480" w:lineRule="auto"/>
        <w:jc w:val="left"/>
      </w:pPr>
      <w:r>
        <w:t xml:space="preserve">Data curation and leakage control</w:t>
      </w:r>
    </w:p>
    <w:p>
      <w:pPr>
        <w:pStyle w:val="FirstParagraph"/>
        <w:spacing w:line="480" w:lineRule="auto"/>
        <w:jc w:val="left"/>
      </w:pPr>
      <w:r>
        <w:t xml:space="preserve">Three public collections were combined, namely Figshare (3064 T1-weighted contrast-enhanced slices from 233 patients</w:t>
      </w:r>
      <w:r>
        <w:t xml:space="preserve"> </w:t>
      </w:r>
      <w:r>
        <w:t xml:space="preserve">with expert tumour masks),</w:t>
      </w:r>
      <w:r>
        <w:rPr>
          <w:vertAlign w:val="superscript"/>
        </w:rPr>
        <w:t xml:space="preserve">28,31</w:t>
      </w:r>
      <w:r>
        <w:t xml:space="preserve"> </w:t>
      </w:r>
      <w:r>
        <w:t xml:space="preserve">SARTAJ (3264 images)</w:t>
      </w:r>
      <w:r>
        <w:rPr>
          <w:vertAlign w:val="superscript"/>
        </w:rPr>
        <w:t xml:space="preserve">29</w:t>
      </w:r>
      <w:r>
        <w:t xml:space="preserve"> </w:t>
      </w:r>
      <w:r>
        <w:t xml:space="preserve">and Br35H (3861</w:t>
      </w:r>
      <w:r>
        <w:t xml:space="preserve"> </w:t>
      </w:r>
      <w:r>
        <w:t xml:space="preserve">images).</w:t>
      </w:r>
      <w:r>
        <w:rPr>
          <w:vertAlign w:val="superscript"/>
        </w:rPr>
        <w:t xml:space="preserve">30</w:t>
      </w:r>
      <w:r>
        <w:t xml:space="preserve"> </w:t>
      </w:r>
      <w:r>
        <w:t xml:space="preserve">Glioma, meningioma, pituitary tumour and no-tumour labels were kept, which left 7828 labelled</w:t>
      </w:r>
      <w:r>
        <w:t xml:space="preserve"> </w:t>
      </w:r>
      <w:r>
        <w:t xml:space="preserve">images, and Algorithm 1 summarises the curation steps described next.</w:t>
      </w:r>
    </w:p>
    <w:p>
      <w:pPr>
        <w:pStyle w:val="BodyText"/>
        <w:spacing w:line="480" w:lineRule="auto"/>
        <w:jc w:val="left"/>
      </w:pPr>
      <w:r>
        <w:t xml:space="preserve">Each image was clipped to its 0.5th and 99.5th intensity percentiles, scaled to 8 bits, padded to a square and resized</w:t>
      </w:r>
      <w:r>
        <w:t xml:space="preserve"> </w:t>
      </w:r>
      <w:r>
        <w:t xml:space="preserve">to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pixels with box filtering. Deduplication used a 64-bit discrete cosine transform perceptual hash and</w:t>
      </w:r>
      <w:r>
        <w:t xml:space="preserve"> </w:t>
      </w:r>
      <w:r>
        <w:t xml:space="preserve">visited images in the order Figshare, SARTAJ and Br35H, so that the expert-annotated copy was kept. An image within</w:t>
      </w:r>
      <w:r>
        <w:t xml:space="preserve"> </w:t>
      </w:r>
      <w:r>
        <w:t xml:space="preserve">Hamming distance 4 of a kept image was removed, and a label disagreement removed both images unless the kept image</w:t>
      </w:r>
      <w:r>
        <w:t xml:space="preserve"> </w:t>
      </w:r>
      <w:r>
        <w:t xml:space="preserve">came from Figshare. Deduplication removed 3934 images and label conflicts a further 49.</w:t>
      </w:r>
    </w:p>
    <w:p>
      <w:pPr>
        <w:pStyle w:val="BodyText"/>
        <w:spacing w:line="480" w:lineRule="auto"/>
        <w:jc w:val="left"/>
      </w:pPr>
      <w:r>
        <w:t xml:space="preserve">Split units are Figshare patients, with 48 pairs of patients that shared a slice merged into one unit, and groups of</w:t>
      </w:r>
      <w:r>
        <w:t xml:space="preserve"> </w:t>
      </w:r>
      <w:r>
        <w:t xml:space="preserve">SARTAJ and Br35H images linked within Hamming distance 6. Units were assigned to training, validation and test splits</w:t>
      </w:r>
      <w:r>
        <w:t xml:space="preserve"> </w:t>
      </w:r>
      <w:r>
        <w:t xml:space="preserve">in the proportions 70, 10 and 20%, stratified by dominant source and label with seed 2026. The result was 2610</w:t>
      </w:r>
      <w:r>
        <w:t xml:space="preserve"> </w:t>
      </w:r>
      <w:r>
        <w:t xml:space="preserve">training, 422 validation and 813 test images in 821 training and test units and 103 validation units, with no</w:t>
      </w:r>
      <w:r>
        <w:t xml:space="preserve"> </w:t>
      </w:r>
      <w:r>
        <w:t xml:space="preserve">Figshare patient in two splits (Table 1).</w:t>
      </w:r>
    </w:p>
    <w:p>
      <w:pPr>
        <w:pStyle w:val="BodyText"/>
        <w:spacing w:line="480" w:lineRule="auto"/>
        <w:jc w:val="left"/>
      </w:pPr>
      <w:r>
        <w:t xml:space="preserve">Perceptual hashes do not match mirrored copies, so every pair of curated images was compared by normalised</w:t>
      </w:r>
      <w:r>
        <w:t xml:space="preserve"> </w:t>
      </w:r>
      <w:r>
        <w:t xml:space="preserve">cross-correlation (NCC) 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pixels, both as stored and with one image flipped left to right. A test image</w:t>
      </w:r>
      <w:r>
        <w:t xml:space="preserve"> </w:t>
      </w:r>
      <w:r>
        <w:t xml:space="preserve">with NCC of at least 0.95 to any image in another split, a threshold fixed before the check, was marked contaminated,</w:t>
      </w:r>
      <w:r>
        <w:t xml:space="preserve"> </w:t>
      </w:r>
      <w:r>
        <w:t xml:space="preserve">and the check covered</w:t>
      </w:r>
      <w:r>
        <w:t xml:space="preserve"> </w:t>
      </w:r>
      <m:oMath>
        <m:r>
          <m:t>3845</m:t>
        </m:r>
        <m:r>
          <m:rPr>
            <m:sty m:val="p"/>
          </m:rPr>
          <m:t>×</m:t>
        </m:r>
        <m:r>
          <m:t>3844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390</m:t>
        </m:r>
        <m:r>
          <m:rPr>
            <m:sty m:val="p"/>
          </m:rPr>
          <m:t>,</m:t>
        </m:r>
        <m:r>
          <m:t>090</m:t>
        </m:r>
      </m:oMath>
      <w:r>
        <w:t xml:space="preserve"> </w:t>
      </w:r>
      <w:r>
        <w:t xml:space="preserve">pairs in two orientations.</w:t>
      </w:r>
    </w:p>
    <w:bookmarkStart w:id="30" w:name="X46c3f199d1434de278b0fd38ed527fcf8437790"/>
    <w:p>
      <w:pPr>
        <w:pStyle w:val="Heading4"/>
        <w:spacing w:line="480" w:lineRule="auto"/>
        <w:jc w:val="left"/>
      </w:pPr>
      <w:r>
        <w:t xml:space="preserve">Algorithm 1. Curation and leakage control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Input. labelled images from Figshare, SARTAJ and Br35H, Figshare patient identifiers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Output. curated images, split units, splits and the set</w:t>
      </w:r>
      <w:r>
        <w:t xml:space="preserve"> </w:t>
      </w:r>
      <m:oMath>
        <m:r>
          <m:rPr>
            <m:sty m:val="p"/>
            <m:scr m:val="script"/>
          </m:rPr>
          <m:t>C</m:t>
        </m:r>
      </m:oMath>
      <w:r>
        <w:t xml:space="preserve"> </w:t>
      </w:r>
      <w:r>
        <w:t xml:space="preserve">of contaminated test images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preprocess each image (percentile clipping, 8-bit scaling, square padding,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box resizing)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compute a 64-bit perceptual hash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image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K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image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source order Figshare, SARTAJ, Br35H, then file path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if no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has Hamming distance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≤</m:t>
        </m:r>
        <m:r>
          <m:t>4</m:t>
        </m:r>
      </m:oMath>
      <w:r>
        <w:t xml:space="preserve"> </w:t>
      </w:r>
      <w:r>
        <w:t xml:space="preserve">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add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 if the labels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differ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not from Figshare 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remove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and 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(label conflict)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(duplicate, or copy of a Figshare slice)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end if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form units from Figshare patients, merging patients that share a slice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link SARTAJ and Br35H images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into units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assign units to train, validation and test (70, 10, 20%), stratified by source and label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of curated images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</w:t>
      </w:r>
      <m:oMath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l</m:t>
                </m:r>
              </m:sub>
            </m:sSub>
          </m:e>
        </m:d>
        <m:r>
          <m:rPr>
            <m:sty m:val="p"/>
          </m:rPr>
          <m:t>,</m:t>
        </m:r>
        <m:r>
          <m:t> 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l</m:t>
                    </m:r>
                  </m:sub>
                </m:sSub>
              </m:e>
            </m:d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C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∈</m:t>
        </m:r>
        <m:r>
          <m:rPr>
            <m:nor/>
            <m:sty m:val="p"/>
          </m:rPr>
          <m:t>test</m:t>
        </m:r>
        <m:r>
          <m:rPr>
            <m:sty m:val="p"/>
          </m:rPr>
          <m:t>:</m:t>
        </m:r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≥</m:t>
        </m:r>
        <m:r>
          <m:t>0.95</m:t>
        </m:r>
        <m:r>
          <m:rPr>
            <m:nor/>
            <m:sty m:val="p"/>
          </m:rPr>
          <m:t> for some </m:t>
        </m:r>
        <m:r>
          <m:t>l</m:t>
        </m:r>
        <m:r>
          <m:rPr>
            <m:nor/>
            <m:sty m:val="p"/>
          </m:rPr>
          <m:t> in another split</m:t>
        </m:r>
        <m:r>
          <m:rPr>
            <m:sty m:val="p"/>
          </m:rPr>
          <m:t>}</m:t>
        </m:r>
      </m:oMath>
    </w:p>
    <w:bookmarkEnd w:id="30"/>
    <w:bookmarkEnd w:id="31"/>
    <w:bookmarkStart w:id="33" w:name="X26c43bd27d0a3b9c9974f2dc51ee3268a75e2c4"/>
    <w:p>
      <w:pPr>
        <w:pStyle w:val="Heading2"/>
        <w:spacing w:line="480" w:lineRule="auto"/>
        <w:jc w:val="left"/>
      </w:pPr>
      <w:r>
        <w:t xml:space="preserve">Federated training with record-level and patient-level DP</w:t>
      </w:r>
    </w:p>
    <w:p>
      <w:pPr>
        <w:pStyle w:val="FirstParagraph"/>
        <w:spacing w:line="480" w:lineRule="auto"/>
        <w:jc w:val="left"/>
      </w:pPr>
      <w:r>
        <w:t xml:space="preserve">Every client draws a Poisson batch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which each image is kept independently with rate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0.1</m:t>
        </m:r>
      </m:oMath>
      <w:r>
        <w:t xml:space="preserve">. Record-level</w:t>
      </w:r>
      <w:r>
        <w:t xml:space="preserve"> </w:t>
      </w:r>
      <w:r>
        <w:t xml:space="preserve">DP-SGD</w:t>
      </w:r>
      <w:r>
        <w:rPr>
          <w:vertAlign w:val="superscript"/>
        </w:rPr>
        <w:t xml:space="preserve">7</w:t>
      </w:r>
      <w:r>
        <w:t xml:space="preserve"> </w:t>
      </w:r>
      <w:r>
        <w:t xml:space="preserve">clips each per-example gradient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norm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adds Gaussian noise with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and divides by the expected batch size</w:t>
      </w:r>
      <w:r>
        <w:t xml:space="preserve"> </w:t>
      </w:r>
      <m:oMath>
        <m:r>
          <m:t>q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 which keeps the denominator independent of the data,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Patient-level DP samples units with rate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instead of images. For each sampled unit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images</w:t>
      </w:r>
      <w:r>
        <w:t xml:space="preserve"> </w:t>
      </w:r>
      <m:oMath>
        <m:sSub>
          <m:e>
            <m:r>
              <m:t>I</m:t>
            </m:r>
          </m:e>
          <m:sub>
            <m:r>
              <m:t>u</m:t>
            </m:r>
          </m:sub>
        </m:sSub>
      </m:oMath>
      <w:r>
        <w:t xml:space="preserve">, the mean</w:t>
      </w:r>
      <w:r>
        <w:t xml:space="preserve"> </w:t>
      </w:r>
      <w:r>
        <w:t xml:space="preserve">gradient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u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I</m:t>
                    </m:r>
                  </m:e>
                  <m:sub>
                    <m:r>
                      <m:t>u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∈</m:t>
            </m:r>
            <m:sSub>
              <m:e>
                <m:r>
                  <m:t>I</m:t>
                </m:r>
              </m:e>
              <m:sub>
                <m:r>
                  <m:t>u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clipped, so adding or removing a whole unit changes the sum by</w:t>
      </w:r>
      <w:r>
        <w:t xml:space="preserve"> </w:t>
      </w:r>
      <w:r>
        <w:t xml:space="preserve">at most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U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u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g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The server averages client models with size weights,</w:t>
      </w:r>
      <w:r>
        <w:t xml:space="preserve"> 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adds noise</w:t>
      </w:r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and receives weight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so each client contributes noise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N</m:t>
            </m:r>
          </m:e>
        </m:d>
      </m:oMath>
      <w:r>
        <w:t xml:space="preserve"> </w:t>
      </w:r>
      <w:r>
        <w:t xml:space="preserve">to the average whatever its size,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clients give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σ</m:t>
              </m:r>
              <m:r>
                <m:t>C</m:t>
              </m:r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num>
            <m:den>
              <m:r>
                <m:t>q</m:t>
              </m:r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Algorithm 2 lists one complete training run.</w:t>
      </w:r>
    </w:p>
    <w:p>
      <w:pPr>
        <w:pStyle w:val="BodyText"/>
        <w:spacing w:line="480" w:lineRule="auto"/>
        <w:jc w:val="left"/>
      </w:pPr>
      <w:r>
        <w:t xml:space="preserve">The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was calibrated by bisection so that Rényi DP accounting</w:t>
      </w:r>
      <w:r>
        <w:rPr>
          <w:vertAlign w:val="superscript"/>
        </w:rPr>
        <w:t xml:space="preserve">18</w:t>
      </w:r>
      <w:r>
        <w:t xml:space="preserve"> </w:t>
      </w:r>
      <w:r>
        <w:t xml:space="preserve">in</w:t>
      </w:r>
      <w:r>
        <w:t xml:space="preserve"> </w:t>
      </w:r>
      <w:r>
        <w:t xml:space="preserve">Opacus</w:t>
      </w:r>
      <w:r>
        <w:rPr>
          <w:vertAlign w:val="superscript"/>
        </w:rPr>
        <w:t xml:space="preserve">19</w:t>
      </w:r>
      <w:r>
        <w:t xml:space="preserve"> </w:t>
      </w:r>
      <w:r>
        <w:t xml:space="preserve">gives the target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over</w:t>
      </w:r>
      <w:r>
        <w:t xml:space="preserve"> </w:t>
      </w:r>
      <m:oMath>
        <m:r>
          <m:t>T</m:t>
        </m:r>
        <m:r>
          <m:rPr>
            <m:sty m:val="p"/>
          </m:rPr>
          <m:t>×</m:t>
        </m:r>
        <m:r>
          <m:t>S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Record-level targets were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1, 3 and 8, central patient-level targets 3, 8, 16, 32 and 64, and federated</w:t>
      </w:r>
      <w:r>
        <w:t xml:space="preserve"> </w:t>
      </w:r>
      <w:r>
        <w:t xml:space="preserve">patient-level runs used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. A clip-only ablation 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separates the cost of clipping from that</w:t>
      </w:r>
      <w:r>
        <w:t xml:space="preserve"> </w:t>
      </w:r>
      <w:r>
        <w:t xml:space="preserve">of noise. Because federated learning rates were chosen among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candidates trained on the same records,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candidates is also reported.</w:t>
      </w:r>
      <w:r>
        <w:rPr>
          <w:vertAlign w:val="superscript"/>
        </w:rPr>
        <w:t xml:space="preserve">32</w:t>
      </w:r>
    </w:p>
    <w:bookmarkStart w:id="32" w:name="X255289e7e36ba8b3a1ae439fbcf910d8bcb03ae"/>
    <w:p>
      <w:pPr>
        <w:pStyle w:val="Heading4"/>
        <w:spacing w:line="480" w:lineRule="auto"/>
        <w:jc w:val="left"/>
      </w:pPr>
      <w:r>
        <w:t xml:space="preserve">Algorithm 2. Federated training with client-side DP-SGD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Input. client data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(with units at patient level), rounds</w:t>
      </w:r>
      <w:r>
        <w:t xml:space="preserve"> </w:t>
      </w:r>
      <m:oMath>
        <m:r>
          <m:t>T</m:t>
        </m:r>
      </m:oMath>
      <w:r>
        <w:t xml:space="preserve">, local steps</w:t>
      </w:r>
      <w:r>
        <w:t xml:space="preserve"> </w:t>
      </w:r>
      <m:oMath>
        <m:r>
          <m:t>S</m:t>
        </m:r>
      </m:oMath>
      <w:r>
        <w:t xml:space="preserve">, rate</w:t>
      </w:r>
      <w:r>
        <w:t xml:space="preserve"> </w:t>
      </w:r>
      <m:oMath>
        <m:r>
          <m:t>q</m:t>
        </m:r>
      </m:oMath>
      <w:r>
        <w:t xml:space="preserve">, clip norm</w:t>
      </w:r>
      <w:r>
        <w:t xml:space="preserve"> </w:t>
      </w:r>
      <m:oMath>
        <m:r>
          <m:t>C</m:t>
        </m:r>
      </m:oMath>
      <w:r>
        <w:t xml:space="preserve">, noise multiplier</w:t>
      </w:r>
      <w:r>
        <w:t xml:space="preserve"> </w:t>
      </w:r>
      <m:oMath>
        <m:r>
          <m:t>σ</m:t>
        </m:r>
      </m:oMath>
      <w:r>
        <w:t xml:space="preserve">, learning rate</w:t>
      </w:r>
      <w:r>
        <w:t xml:space="preserve"> </w:t>
      </w:r>
      <m:oMath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, momentum</w:t>
      </w:r>
      <w:r>
        <w:t xml:space="preserve"> </w:t>
      </w:r>
      <m:oMath>
        <m:r>
          <m:t>β</m:t>
        </m:r>
      </m:oMath>
      <w:r>
        <w:t xml:space="preserve">, optional weight noise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Output. released parameters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and accounted</w:t>
      </w:r>
      <w:r>
        <w:t xml:space="preserve"> </w:t>
      </w:r>
      <m:oMath>
        <m:r>
          <m:t>ε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initialise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ImageNet weights,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sSub>
          <m:e>
            <m:r>
              <m:t>η</m:t>
            </m:r>
          </m:e>
          <m:sub>
            <m:r>
              <m:t>t</m:t>
            </m:r>
          </m:sub>
        </m:sSub>
        <m:r>
          <m:rPr>
            <m:sty m:val="p"/>
          </m:rPr>
          <m:t>←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t> 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{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/</m:t>
            </m:r>
            <m:r>
              <m:t>T</m:t>
            </m:r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(cosine schedule)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for each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draw a Poisson batch of images (record level) or units (patient level) with rate</w:t>
      </w:r>
      <w:r>
        <w:t xml:space="preserve"> </w:t>
      </w:r>
      <m:oMath>
        <m:r>
          <m:t>q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compute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by Eq. (2) or Eq. (3) on randomly flipped images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add the FedProx or SCAFFOLD correction if used, then take a momentum step with</w:t>
      </w:r>
      <w:r>
        <w:t xml:space="preserve"> </w:t>
      </w:r>
      <m:oMath>
        <m:sSub>
          <m:e>
            <m:r>
              <m:t>η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t>I</m:t>
            </m:r>
          </m:e>
        </m:d>
      </m:oMath>
      <w:r>
        <w:t xml:space="preserve"> </w:t>
      </w:r>
      <w:r>
        <w:t xml:space="preserve">(weight-noise comparator, no DP)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if the validation loss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lowest so far,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3"/>
        </w:numPr>
        <w:spacing w:line="480" w:lineRule="auto"/>
        <w:jc w:val="left"/>
      </w:pPr>
      <m:oMath>
        <m:r>
          <m:t>ε</m:t>
        </m:r>
        <m:r>
          <m:rPr>
            <m:sty m:val="p"/>
          </m:rPr>
          <m:t>←</m:t>
        </m:r>
      </m:oMath>
      <w:r>
        <w:t xml:space="preserve"> </w:t>
      </w:r>
      <w:r>
        <w:t xml:space="preserve">Rényi accountant</w:t>
      </w:r>
      <m:oMath>
        <m:d>
          <m:dPr>
            <m:begChr m:val="("/>
            <m:endChr m:val=")"/>
            <m:sepChr m:val=""/>
            <m:grow/>
          </m:dPr>
          <m:e>
            <m:r>
              <m:t>σ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T</m:t>
            </m:r>
            <m:r>
              <m:t>S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</w:p>
    <w:p>
      <w:pPr>
        <w:pStyle w:val="FirstParagraph"/>
        <w:spacing w:line="480" w:lineRule="auto"/>
        <w:jc w:val="left"/>
      </w:pPr>
      <w:r>
        <w:t xml:space="preserve">Per-example gradients were computed in physical chunks of 32 examples, so memory grows with the chunk size times the</w:t>
      </w:r>
      <w:r>
        <w:t xml:space="preserve"> </w:t>
      </w:r>
      <w:r>
        <w:t xml:space="preserve">number of parameters</w:t>
      </w:r>
      <w:r>
        <w:t xml:space="preserve"> </w:t>
      </w:r>
      <m:oMath>
        <m:r>
          <m:t>P</m:t>
        </m:r>
      </m:oMath>
      <w:r>
        <w:t xml:space="preserve">, and one local step costs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B</m:t>
                </m:r>
              </m:e>
            </m:d>
            <m:r>
              <m:t> </m:t>
            </m:r>
            <m:r>
              <m:t>P</m:t>
            </m:r>
          </m:e>
        </m:d>
      </m:oMath>
      <w:r>
        <w:t xml:space="preserve">. Central training is the one-client case on the pooled</w:t>
      </w:r>
      <w:r>
        <w:t xml:space="preserve"> </w:t>
      </w:r>
      <w:r>
        <w:t xml:space="preserve">training set.</w:t>
      </w:r>
    </w:p>
    <w:bookmarkEnd w:id="32"/>
    <w:bookmarkEnd w:id="33"/>
    <w:bookmarkStart w:id="34" w:name="X29264186cdc4cd87b752661ec230888cd01f510"/>
    <w:p>
      <w:pPr>
        <w:pStyle w:val="Heading2"/>
        <w:spacing w:line="480" w:lineRule="auto"/>
        <w:jc w:val="left"/>
      </w:pPr>
      <w:r>
        <w:t xml:space="preserve">Drift correction and the weight-noise comparator</w:t>
      </w:r>
    </w:p>
    <w:p>
      <w:pPr>
        <w:pStyle w:val="FirstParagraph"/>
        <w:spacing w:line="480" w:lineRule="auto"/>
        <w:jc w:val="left"/>
      </w:pPr>
      <w:r>
        <w:t xml:space="preserve">FedProx</w:t>
      </w:r>
      <w:r>
        <w:rPr>
          <w:vertAlign w:val="superscript"/>
        </w:rPr>
        <w:t xml:space="preserve">33</w:t>
      </w:r>
      <w:r>
        <w:t xml:space="preserve"> </w:t>
      </w:r>
      <w:r>
        <w:t xml:space="preserve">adds a proximal term with weight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to each local objective,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0.01, 0.1, 1 and 10</w:t>
      </w:r>
      <w:r>
        <w:t xml:space="preserve"> </w:t>
      </w:r>
      <w:r>
        <w:t xml:space="preserve">was screened on validation loss at seed 0. SCAFFOLD</w:t>
      </w:r>
      <w:r>
        <w:rPr>
          <w:vertAlign w:val="superscript"/>
        </w:rPr>
        <w:t xml:space="preserve">34</w:t>
      </w:r>
      <w:r>
        <w:t xml:space="preserve"> </w:t>
      </w:r>
      <w:r>
        <w:t xml:space="preserve">uses option II control variates with two</w:t>
      </w:r>
      <w:r>
        <w:t xml:space="preserve"> </w:t>
      </w:r>
      <w:r>
        <w:t xml:space="preserve">corrections that the present setting requires. The control-variate normaliser uses the displacement of heavy-ball</w:t>
      </w:r>
      <w:r>
        <w:t xml:space="preserve"> </w:t>
      </w:r>
      <w:r>
        <w:t xml:space="preserve">momentum,</w:t>
      </w:r>
      <w:r>
        <w:t xml:space="preserve"> </w:t>
      </w:r>
      <m:oMath>
        <m:r>
          <m:t>η</m:t>
        </m:r>
        <m:r>
          <m:t> </m:t>
        </m:r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l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L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β</m:t>
                    </m:r>
                  </m:e>
                  <m:sup>
                    <m:r>
                      <m:t>l</m:t>
                    </m:r>
                  </m:sup>
                </m:sSup>
              </m:e>
            </m:d>
          </m:e>
        </m:nary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 </w:t>
      </w:r>
      <w:r>
        <w:t xml:space="preserve">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local steps, in place of</w:t>
      </w:r>
      <w:r>
        <w:t xml:space="preserve"> </w:t>
      </w:r>
      <m:oMath>
        <m:r>
          <m:t>L</m:t>
        </m:r>
        <m:r>
          <m:t>η</m:t>
        </m:r>
      </m:oMath>
      <w:r>
        <w:t xml:space="preserve">,</w:t>
      </w:r>
      <w:r>
        <w:t xml:space="preserve"> </w:t>
      </w:r>
      <w:r>
        <w:t xml:space="preserve">and the server control variate is averaged with the same size weights as the model. An ablation keeps the uniform</w:t>
      </w:r>
      <w:r>
        <w:t xml:space="preserve"> </w:t>
      </w:r>
      <w:r>
        <w:t xml:space="preserve">average of the original algorithm.</w:t>
      </w:r>
    </w:p>
    <w:p>
      <w:pPr>
        <w:pStyle w:val="BodyText"/>
        <w:spacing w:line="480" w:lineRule="auto"/>
        <w:jc w:val="left"/>
      </w:pPr>
      <w:r>
        <w:t xml:space="preserve">To test the mechanism of the closest prior work,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Gaussian noise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was added to</w:t>
      </w:r>
      <w:r>
        <w:t xml:space="preserve"> </w:t>
      </w:r>
      <w:r>
        <w:t xml:space="preserve">each client’s weights after local training, without clipping or accounting.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was kept, and</w:t>
      </w:r>
      <w:r>
        <w:t xml:space="preserve"> </w:t>
      </w:r>
      <w:r>
        <w:t xml:space="preserve">a utility-matched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was chosen by a rule fixed beforehand. The rule took the largest value in</w:t>
      </w:r>
      <w:r>
        <w:t xml:space="preserve"> </w:t>
      </w:r>
      <m:oMath>
        <m:r>
          <m:rPr>
            <m:sty m:val="p"/>
          </m:rPr>
          <m:t>{</m:t>
        </m:r>
        <m:r>
          <m:t>0.5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0.01</m:t>
        </m:r>
        <m:r>
          <m:rPr>
            <m:sty m:val="p"/>
          </m:rPr>
          <m:t>,</m:t>
        </m:r>
        <m:r>
          <m:t>0.003</m:t>
        </m:r>
        <m:r>
          <m:rPr>
            <m:sty m:val="p"/>
          </m:rPr>
          <m:t>,</m:t>
        </m:r>
        <m:r>
          <m:t>0.001</m:t>
        </m:r>
        <m:r>
          <m:rPr>
            <m:sty m:val="p"/>
          </m:rPr>
          <m:t>}</m:t>
        </m:r>
      </m:oMath>
      <w:r>
        <w:t xml:space="preserve"> </w:t>
      </w:r>
      <w:r>
        <w:t xml:space="preserve">whose seed-0 validation loss did not exceed that of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FedAvg on the</w:t>
      </w:r>
      <w:r>
        <w:t xml:space="preserve"> </w:t>
      </w:r>
      <w:r>
        <w:t xml:space="preserve">natural partition, which selected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.</w:t>
      </w:r>
    </w:p>
    <w:bookmarkEnd w:id="34"/>
    <w:bookmarkStart w:id="36" w:name="membership-inference-audit"/>
    <w:p>
      <w:pPr>
        <w:pStyle w:val="Heading2"/>
        <w:spacing w:line="480" w:lineRule="auto"/>
        <w:jc w:val="left"/>
      </w:pPr>
      <w:r>
        <w:t xml:space="preserve">Membership inference audit</w:t>
      </w:r>
    </w:p>
    <w:p>
      <w:pPr>
        <w:pStyle w:val="FirstParagraph"/>
        <w:spacing w:line="480" w:lineRule="auto"/>
        <w:jc w:val="left"/>
      </w:pPr>
      <w:r>
        <w:t xml:space="preserve">LiRA</w:t>
      </w:r>
      <w:r>
        <w:rPr>
          <w:vertAlign w:val="superscript"/>
        </w:rPr>
        <w:t xml:space="preserve">24</w:t>
      </w:r>
      <w:r>
        <w:t xml:space="preserve"> </w:t>
      </w:r>
      <w:r>
        <w:t xml:space="preserve">was run against FedAvg on the natural partition without DP and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1,</w:t>
      </w:r>
      <w:r>
        <w:t xml:space="preserve"> </w:t>
      </w:r>
      <w:r>
        <w:t xml:space="preserve">and against the weight-noise comparator (Algorithm 3). Each target configuration has 16 shadow models</w:t>
      </w:r>
      <w:r>
        <w:t xml:space="preserve"> </w:t>
      </w:r>
      <w:r>
        <w:t xml:space="preserve">trained with the target’s settings on a random half of the training and test units. Every patient is therefore</w:t>
      </w:r>
      <w:r>
        <w:t xml:space="preserve"> </w:t>
      </w:r>
      <w:r>
        <w:t xml:space="preserve">wholly in or out of a shadow’s training set.</w:t>
      </w:r>
    </w:p>
    <w:p>
      <w:pPr>
        <w:pStyle w:val="BodyText"/>
        <w:spacing w:line="480" w:lineRule="auto"/>
        <w:jc w:val="left"/>
      </w:pPr>
      <w:r>
        <w:t xml:space="preserve">The attack statistic is the logit-scaled confidence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the logits, computed 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image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). For each example, Gaussian fits to the</w:t>
      </w:r>
      <w:r>
        <w:t xml:space="preserve"> </w:t>
      </w:r>
      <w:r>
        <w:t xml:space="preserve">statistics of shadows that included (IN) and excluded (OUT) it give the online score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with per-example means and one pooled standard deviation per side, the variant suited to few shadows. A patient’s</w:t>
      </w:r>
      <w:r>
        <w:t xml:space="preserve"> </w:t>
      </w:r>
      <w:r>
        <w:t xml:space="preserve">score is the sum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over the patient’s slices.</w:t>
      </w:r>
    </w:p>
    <w:p>
      <w:pPr>
        <w:pStyle w:val="BodyText"/>
        <w:spacing w:line="480" w:lineRule="auto"/>
        <w:jc w:val="left"/>
      </w:pPr>
      <w:r>
        <w:t xml:space="preserve">Members are the training images and non-members the clean test images. Patient scores compare 126 Figshare training</w:t>
      </w:r>
      <w:r>
        <w:t xml:space="preserve"> </w:t>
      </w:r>
      <w:r>
        <w:t xml:space="preserve">units with 40 test units. True-positive rates (TPR) at 1% and 0.1% false-positive rate (FPR) are the primary</w:t>
      </w:r>
      <w:r>
        <w:t xml:space="preserve"> </w:t>
      </w:r>
      <w:r>
        <w:t xml:space="preserve">measures, and the area under the curve (AUC) is reported alongside. A loss-threshold attack, computed overall and within</w:t>
      </w:r>
      <w:r>
        <w:t xml:space="preserve"> </w:t>
      </w:r>
      <w:r>
        <w:t xml:space="preserve">each source and class stratum, served as a simpler reference.</w:t>
      </w:r>
    </w:p>
    <w:bookmarkStart w:id="35" w:name="Xd99665ea91dec86863756b48a35e796f224f496"/>
    <w:p>
      <w:pPr>
        <w:pStyle w:val="Heading4"/>
        <w:spacing w:line="480" w:lineRule="auto"/>
        <w:jc w:val="left"/>
      </w:pPr>
      <w:r>
        <w:t xml:space="preserve">Algorithm 3. Online LiRA at image and patient level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Input. target models, 16 shadow models with membership masks, labels</w:t>
      </w:r>
      <w:r>
        <w:t xml:space="preserve"> </w:t>
      </w:r>
      <m:oMath>
        <m:r>
          <m:t>y</m:t>
        </m:r>
      </m:oMath>
      <w:r>
        <w:t xml:space="preserve">, Figshare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Output. image-level and patient-level TPR at fixed FPR, and AUC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shadow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each example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</w:t>
      </w:r>
      <m:oMath>
        <m:sSub>
          <m:e>
            <m:r>
              <m:t>ϕ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</m:sSub>
        <m:r>
          <m:rPr>
            <m:sty m:val="p"/>
          </m:rPr>
          <m:t>←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fit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  <w:r>
        <w:t xml:space="preserve"> </w:t>
      </w:r>
      <w:r>
        <w:t xml:space="preserve">per example and pooled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target model 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score every example by Eq. (5), keeping examples with at least one IN and one OUT shadow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image level, training images against clean test images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patient level, summed scores of Figshare training units against test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pStyle w:val="FirstParagraph"/>
        <w:spacing w:line="480" w:lineRule="auto"/>
        <w:jc w:val="left"/>
      </w:pPr>
      <w:r>
        <w:t xml:space="preserve">The audit costs 16 shadow trainings per target configuration, in addition to inference of every model on all 3845</w:t>
      </w:r>
      <w:r>
        <w:t xml:space="preserve"> </w:t>
      </w:r>
      <w:r>
        <w:t xml:space="preserve">images and their mirrors.</w:t>
      </w:r>
    </w:p>
    <w:bookmarkEnd w:id="35"/>
    <w:bookmarkEnd w:id="36"/>
    <w:bookmarkStart w:id="37" w:name="explanation-evaluation"/>
    <w:p>
      <w:pPr>
        <w:pStyle w:val="Heading2"/>
        <w:spacing w:line="480" w:lineRule="auto"/>
        <w:jc w:val="left"/>
      </w:pPr>
      <w:r>
        <w:t xml:space="preserve">Explanation evaluation</w:t>
      </w:r>
    </w:p>
    <w:p>
      <w:pPr>
        <w:pStyle w:val="FirstParagraph"/>
        <w:spacing w:line="480" w:lineRule="auto"/>
        <w:jc w:val="left"/>
      </w:pPr>
      <w:r>
        <w:t xml:space="preserve">Grad-CAM</w:t>
      </w:r>
      <w:r>
        <w:rPr>
          <w:vertAlign w:val="superscript"/>
        </w:rPr>
        <w:t xml:space="preserve">35</w:t>
      </w:r>
      <w:r>
        <w:t xml:space="preserve"> </w:t>
      </w:r>
      <w:r>
        <w:t xml:space="preserve">on the last residual block, Grad-CAM++</w:t>
      </w:r>
      <w:r>
        <w:rPr>
          <w:vertAlign w:val="superscript"/>
        </w:rPr>
        <w:t xml:space="preserve">36</w:t>
      </w:r>
      <w:r>
        <w:t xml:space="preserve"> </w:t>
      </w:r>
      <w:r>
        <w:t xml:space="preserve">and Integrated Gradients</w:t>
      </w:r>
      <w:r>
        <w:t xml:space="preserve"> </w:t>
      </w:r>
      <w:r>
        <w:t xml:space="preserve">(IG)</w:t>
      </w:r>
      <w:r>
        <w:rPr>
          <w:vertAlign w:val="superscript"/>
        </w:rPr>
        <w:t xml:space="preserve">37</w:t>
      </w:r>
      <w:r>
        <w:t xml:space="preserve"> </w:t>
      </w:r>
      <w:r>
        <w:t xml:space="preserve">with a black baseline and 32 steps were computed for the true class of the 645 Figshare</w:t>
      </w:r>
      <w:r>
        <w:t xml:space="preserve"> </w:t>
      </w:r>
      <w:r>
        <w:t xml:space="preserve">test tumour images that have expert masks. At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input the last block has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resolution, and maps</w:t>
      </w:r>
      <w:r>
        <w:t xml:space="preserve"> </w:t>
      </w:r>
      <w:r>
        <w:t xml:space="preserve">are upsampled bilinearly. Localisation used the pointing game with a 3-pixel tolerance, the intersection over union</w:t>
      </w:r>
      <w:r>
        <w:t xml:space="preserve"> </w:t>
      </w:r>
      <w:r>
        <w:t xml:space="preserve">(IoU) of the top 15% of pixels with the mask and the share of saliency inside the mask, on correctly classified</w:t>
      </w:r>
      <w:r>
        <w:t xml:space="preserve"> </w:t>
      </w:r>
      <w:r>
        <w:t xml:space="preserve">images.</w:t>
      </w:r>
    </w:p>
    <w:p>
      <w:pPr>
        <w:pStyle w:val="BodyText"/>
        <w:spacing w:line="480" w:lineRule="auto"/>
        <w:jc w:val="left"/>
      </w:pPr>
      <w:r>
        <w:t xml:space="preserve">Faithfulness used deletion and insertion curves over 20 steps.</w:t>
      </w:r>
      <w:r>
        <w:rPr>
          <w:vertAlign w:val="superscript"/>
        </w:rPr>
        <w:t xml:space="preserve">38</w:t>
      </w:r>
      <w:r>
        <w:t xml:space="preserve"> </w:t>
      </w:r>
      <w:r>
        <w:t xml:space="preserve">A model-parameter randomisation</w:t>
      </w:r>
      <w:r>
        <w:t xml:space="preserve"> </w:t>
      </w:r>
      <w:r>
        <w:t xml:space="preserve">test</w:t>
      </w:r>
      <w:r>
        <w:rPr>
          <w:vertAlign w:val="superscript"/>
        </w:rPr>
        <w:t xml:space="preserve">27</w:t>
      </w:r>
      <w:r>
        <w:t xml:space="preserve"> </w:t>
      </w:r>
      <w:r>
        <w:t xml:space="preserve">on 64 images compared maps of each trained model with those of a fully re-initialised network.</w:t>
      </w:r>
      <w:r>
        <w:t xml:space="preserve"> </w:t>
      </w:r>
      <w:r>
        <w:t xml:space="preserve">The share of Grad-CAM mass on the outer 8-pixel rim of the brain tested for skull-border artefacts. Consistency</w:t>
      </w:r>
      <w:r>
        <w:t xml:space="preserve"> </w:t>
      </w:r>
      <w:r>
        <w:t xml:space="preserve">across seeds adapts the metric of Gupta et al.,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with the five seeds of one configuration in place of</w:t>
      </w:r>
      <w:r>
        <w:t xml:space="preserve"> </w:t>
      </w:r>
      <w:r>
        <w:t xml:space="preserve">clients. It is the IoU between the top 10% of pixels of each model’s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Grad-CAM map and those of the mean map</w:t>
      </w:r>
      <w:r>
        <w:t xml:space="preserve"> </w:t>
      </w:r>
      <w:r>
        <w:t xml:space="preserve">over seeds.</w:t>
      </w:r>
    </w:p>
    <w:bookmarkEnd w:id="37"/>
    <w:bookmarkStart w:id="38" w:name="experimental-setup"/>
    <w:p>
      <w:pPr>
        <w:pStyle w:val="Heading2"/>
        <w:spacing w:line="480" w:lineRule="auto"/>
        <w:jc w:val="left"/>
      </w:pPr>
      <w:r>
        <w:t xml:space="preserve">Experimental setup</w:t>
      </w:r>
    </w:p>
    <w:p>
      <w:pPr>
        <w:pStyle w:val="FirstParagraph"/>
        <w:spacing w:line="480" w:lineRule="auto"/>
        <w:jc w:val="left"/>
      </w:pPr>
      <w:r>
        <w:t xml:space="preserve">Table 1 gives the data per source. The natural partition assigns each source to one client, giving</w:t>
      </w:r>
      <w:r>
        <w:t xml:space="preserve"> </w:t>
      </w:r>
      <w:r>
        <w:t xml:space="preserve">clients of 2029 (Figshare), 351 (SARTAJ) and 230 (Br35H) training images with strong label skew, since no-tumour</w:t>
      </w:r>
      <w:r>
        <w:t xml:space="preserve"> </w:t>
      </w:r>
      <w:r>
        <w:t xml:space="preserve">images come only from SARTAJ and Br35H. Synthetic partitions split the same 2610 images into 10 clients uniformly at</w:t>
      </w:r>
      <w:r>
        <w:t xml:space="preserve"> </w:t>
      </w:r>
      <w:r>
        <w:t xml:space="preserve">random or by a Dirichlet prior over class proportions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or 5.0.</w:t>
      </w:r>
      <w:r>
        <w:rPr>
          <w:vertAlign w:val="superscript"/>
        </w:rPr>
        <w:t xml:space="preserve">39</w:t>
      </w:r>
      <w:r>
        <w:t xml:space="preserve"> </w:t>
      </w:r>
      <w:r>
        <w:t xml:space="preserve">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partition was also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3, 5 and 15 clients, and a Dirichlet partition over whole units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serves patient-level DP.</w:t>
      </w:r>
    </w:p>
    <w:p>
      <w:pPr>
        <w:pStyle w:val="TableCaption"/>
        <w:jc w:val="left"/>
      </w:pPr>
      <w:r>
        <w:t xml:space="preserve">Table 1. Images per source through curation and splitting.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 Images per source through curation and splitting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Four-class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Deduplicated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Clean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SARTAJ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Br35H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Each baseline isolates one effect. Non-private central and FedAvg models give the utility without protection, the</w:t>
      </w:r>
      <w:r>
        <w:t xml:space="preserve"> </w:t>
      </w:r>
      <w:r>
        <w:t xml:space="preserve">clip-only ablation isolates clipping, and local-only models trained on one client give the floor that federation</w:t>
      </w:r>
      <w:r>
        <w:t xml:space="preserve"> </w:t>
      </w:r>
      <w:r>
        <w:t xml:space="preserve">must beat. FedProx and SCAFFOLD are standard corrections for client drift, and the weight-noise comparator</w:t>
      </w:r>
      <w:r>
        <w:t xml:space="preserve"> </w:t>
      </w:r>
      <w:r>
        <w:t xml:space="preserve">reproduces the mechanism of the closest prior work. Balanced accuracy is the primary utility metric because the four</w:t>
      </w:r>
      <w:r>
        <w:t xml:space="preserve"> </w:t>
      </w:r>
      <w:r>
        <w:t xml:space="preserve">classes are imbalanced across sources, and Table 2 lists the training settings.</w:t>
      </w:r>
    </w:p>
    <w:p>
      <w:pPr>
        <w:pStyle w:val="BodyText"/>
        <w:spacing w:line="480" w:lineRule="auto"/>
        <w:jc w:val="left"/>
      </w:pPr>
      <w:r>
        <w:t xml:space="preserve">The classifier is an ImageNet-pretrained ResNet-18</w:t>
      </w:r>
      <w:r>
        <w:rPr>
          <w:vertAlign w:val="superscript"/>
        </w:rPr>
        <w:t xml:space="preserve">40</w:t>
      </w:r>
      <w:r>
        <w:t xml:space="preserve"> </w:t>
      </w:r>
      <w:r>
        <w:t xml:space="preserve">whose first convolution sums the three colour filters</w:t>
      </w:r>
      <w:r>
        <w:t xml:space="preserve"> </w:t>
      </w:r>
      <w:r>
        <w:t xml:space="preserve">into one input channel. Batch normalisation layers stay in inference mode with their pretrained statistics, so the</w:t>
      </w:r>
      <w:r>
        <w:t xml:space="preserve"> </w:t>
      </w:r>
      <w:r>
        <w:t xml:space="preserve">network treats every example independently and per-example clipping remains valid, while their affine parameters are</w:t>
      </w:r>
      <w:r>
        <w:t xml:space="preserve"> </w:t>
      </w:r>
      <w:r>
        <w:t xml:space="preserve">trained.</w:t>
      </w:r>
    </w:p>
    <w:p>
      <w:pPr>
        <w:pStyle w:val="TableCaption"/>
        <w:jc w:val="left"/>
      </w:pPr>
      <w:r>
        <w:t xml:space="preserve">Table 2. Training and audit settings.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 Training and audit setting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ResNet-18, ImageNet weights, one-channel stem, frozen BatchNorm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and augmentation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128</m:t>
              </m:r>
              <m:r>
                <m:rPr>
                  <m:sty m:val="p"/>
                </m:rPr>
                <m:t>×</m:t>
              </m:r>
              <m:r>
                <m:t>128</m:t>
              </m:r>
            </m:oMath>
            <w:r>
              <w:t xml:space="preserve"> </w:t>
            </w:r>
            <w:r>
              <w:t xml:space="preserve">pixels, random horizontal flip with probability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SGD, momentum 0.9, no weight decay, cosine decay over rounds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 central, 0.003 or 0.01 federated (selected at seed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Rounds and local steps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(one local epoch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Clipping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example or unit under DP, global norm 1.0 without 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Noise multiplier</w:t>
            </w:r>
            <w:r>
              <w:t xml:space="preserve"> 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12.885, 4.832, 2.179, 1.353, 0.922, 0.673 for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 </w:t>
            </w:r>
            <w:r>
              <w:t xml:space="preserve">of 1, 3, 8, 16, 32, 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with the lowest validation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to 5 reported, 0 for selection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Membership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shadow models per target configuration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All models were trained in PyTorch [CHECK: PyTorch version on Kaggle] with per-example gradients from</w:t>
      </w:r>
      <w:r>
        <w:t xml:space="preserve"> </w:t>
      </w:r>
      <w:r>
        <w:rPr>
          <w:rStyle w:val="VerbatimChar"/>
        </w:rPr>
        <w:t xml:space="preserve">torch.func</w:t>
      </w:r>
      <w:r>
        <w:t xml:space="preserve"> </w:t>
      </w:r>
      <w:r>
        <w:t xml:space="preserve">and the Rényi accountant of Opacus 1.6.0, on Kaggle machines with two NVIDIA T4 GPUs. The 608</w:t>
      </w:r>
      <w:r>
        <w:t xml:space="preserve"> </w:t>
      </w:r>
      <w:r>
        <w:t xml:space="preserve">reported runs and the audit took about 59 GPU hours [CHECK: the lab notebook gives 52 hours to the end of Phase 3 and</w:t>
      </w:r>
      <w:r>
        <w:t xml:space="preserve"> </w:t>
      </w:r>
      <w:r>
        <w:t xml:space="preserve">1.7, 4.7 and 0.3 hours for the audit runs, 58.7 hours in all]. Each run is identified by a hash of its resolved</w:t>
      </w:r>
      <w:r>
        <w:t xml:space="preserve"> </w:t>
      </w:r>
      <w:r>
        <w:t xml:space="preserve">configuration, and all tables and figures were regenerated on Kaggle from the stored run files and frozen with SHA-256</w:t>
      </w:r>
      <w:r>
        <w:t xml:space="preserve"> </w:t>
      </w:r>
      <w:r>
        <w:t xml:space="preserve">hashes before writing.</w:t>
      </w:r>
    </w:p>
    <w:bookmarkEnd w:id="38"/>
    <w:bookmarkStart w:id="39" w:name="statistical-analysis"/>
    <w:p>
      <w:pPr>
        <w:pStyle w:val="Heading2"/>
        <w:spacing w:line="480" w:lineRule="auto"/>
        <w:jc w:val="left"/>
      </w:pPr>
      <w:r>
        <w:t xml:space="preserve">Statistical analysis</w:t>
      </w:r>
    </w:p>
    <w:p>
      <w:pPr>
        <w:pStyle w:val="FirstParagraph"/>
        <w:spacing w:line="480" w:lineRule="auto"/>
        <w:jc w:val="left"/>
      </w:pPr>
      <w:r>
        <w:t xml:space="preserve">Every setting was trained with seeds 1 to 5, and seed 0 was reserved for learning-rate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selection. Results</w:t>
      </w:r>
      <w:r>
        <w:t xml:space="preserve"> </w:t>
      </w:r>
      <w:r>
        <w:t xml:space="preserve">are seed means with</w:t>
      </w:r>
      <w:r>
        <w:t xml:space="preserve"> </w:t>
      </w:r>
      <m:oMath>
        <m:r>
          <m:t>t</m:t>
        </m:r>
      </m:oMath>
      <w:r>
        <w:t xml:space="preserve">-based 95% confidence intervals from the sample standard deviation, and SCAFFOLD was compared</w:t>
      </w:r>
      <w:r>
        <w:t xml:space="preserve"> </w:t>
      </w:r>
      <w:r>
        <w:t xml:space="preserve">with FedAvg by paired</w:t>
      </w:r>
      <w:r>
        <w:t xml:space="preserve"> </w:t>
      </w:r>
      <m:oMath>
        <m:r>
          <m:t>t</m:t>
        </m:r>
      </m:oMath>
      <w:r>
        <w:t xml:space="preserve">-tests over seeds with Holm correction across 15 configurations. The client-count effect is</w:t>
      </w:r>
      <w:r>
        <w:t xml:space="preserve"> </w:t>
      </w:r>
      <w:r>
        <w:t xml:space="preserve">the least-squares slope of balanced accuracy on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over 20 runs per setting.</w:t>
      </w:r>
    </w:p>
    <w:p>
      <w:pPr>
        <w:pStyle w:val="BodyText"/>
        <w:spacing w:line="480" w:lineRule="auto"/>
        <w:jc w:val="left"/>
      </w:pPr>
      <w:r>
        <w:t xml:space="preserve">Explanation metrics within one model carry 95% intervals from 2000 bootstrap resamples of test patients. The</w:t>
      </w:r>
      <w:r>
        <w:t xml:space="preserve"> </w:t>
      </w:r>
      <w:r>
        <w:t xml:space="preserve">relation between explanation quality and privacy was tested with the Pearson correlation between each metric and clean</w:t>
      </w:r>
      <w:r>
        <w:t xml:space="preserve"> </w:t>
      </w:r>
      <w:r>
        <w:t xml:space="preserve">balanced accuracy, and with an ordinary least-squares fit on accuracy and</w:t>
      </w:r>
      <w:r>
        <w:t xml:space="preserve"> </w:t>
      </w:r>
      <m:oMath>
        <m:r>
          <m:t>σ</m:t>
        </m:r>
      </m:oMath>
      <w:r>
        <w:t xml:space="preserve">. Metrics are reported to three</w:t>
      </w:r>
      <w:r>
        <w:t xml:space="preserve"> </w:t>
      </w:r>
      <w:r>
        <w:t xml:space="preserve">decimal places and</w:t>
      </w:r>
      <w:r>
        <w:t xml:space="preserve"> </w:t>
      </w:r>
      <m:oMath>
        <m:r>
          <m:t>p</m:t>
        </m:r>
      </m:oMath>
      <w:r>
        <w:t xml:space="preserve">-values to three decimal places or 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These methods produced the measurements</w:t>
      </w:r>
      <w:r>
        <w:t xml:space="preserve"> </w:t>
      </w:r>
      <w:r>
        <w:t xml:space="preserve">reported next, starting with the benchmark itself.</w:t>
      </w:r>
    </w:p>
    <w:bookmarkEnd w:id="39"/>
    <w:bookmarkEnd w:id="40"/>
    <w:bookmarkStart w:id="63" w:name="results"/>
    <w:p>
      <w:pPr>
        <w:pStyle w:val="Heading1"/>
        <w:spacing w:line="480" w:lineRule="auto"/>
        <w:jc w:val="left"/>
      </w:pPr>
      <w:r>
        <w:t xml:space="preserve">Results</w:t>
      </w:r>
    </w:p>
    <w:bookmarkStart w:id="41" w:name="curated-benchmark"/>
    <w:p>
      <w:pPr>
        <w:pStyle w:val="Heading2"/>
        <w:spacing w:line="480" w:lineRule="auto"/>
        <w:jc w:val="left"/>
      </w:pPr>
      <w:r>
        <w:t xml:space="preserve">Curated benchmark</w:t>
      </w:r>
    </w:p>
    <w:p>
      <w:pPr>
        <w:pStyle w:val="FirstParagraph"/>
        <w:spacing w:line="480" w:lineRule="auto"/>
        <w:jc w:val="left"/>
      </w:pPr>
      <w:r>
        <w:t xml:space="preserve">Table 1 shows that deduplication removed more than half of the labelled images, mostly because SARTAJ and</w:t>
      </w:r>
      <w:r>
        <w:t xml:space="preserve"> </w:t>
      </w:r>
      <w:r>
        <w:t xml:space="preserve">Br35H repeat each other and Figshare. The NCC check then found 148 cross-split pairs at NCC of 0.95 or more, of which</w:t>
      </w:r>
      <w:r>
        <w:t xml:space="preserve"> </w:t>
      </w:r>
      <w:r>
        <w:t xml:space="preserve">120 matched only after flipping, and these pairs marked 66 of the 813 test images as contaminated. Of the 66, 60 were</w:t>
      </w:r>
      <w:r>
        <w:t xml:space="preserve"> </w:t>
      </w:r>
      <w:r>
        <w:t xml:space="preserve">Br35H no-tumour images, 5 SARTAJ no-tumour images and 1 a Figshare glioma.</w:t>
      </w:r>
    </w:p>
    <w:p>
      <w:pPr>
        <w:pStyle w:val="BodyText"/>
        <w:spacing w:line="480" w:lineRule="auto"/>
        <w:jc w:val="left"/>
      </w:pPr>
      <w:r>
        <w:t xml:space="preserve">Removing the contaminated images changed configuration means of balanced accuracy by</w:t>
      </w:r>
      <w:r>
        <w:t xml:space="preserve"> </w:t>
      </w:r>
      <m:oMath>
        <m:r>
          <m:rPr>
            <m:sty m:val="p"/>
          </m:rPr>
          <m:t>−</m:t>
        </m:r>
        <m:r>
          <m:t>0.049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0.007</m:t>
        </m:r>
      </m:oMath>
      <w:r>
        <w:t xml:space="preserve">, and single</w:t>
      </w:r>
      <w:r>
        <w:t xml:space="preserve"> </w:t>
      </w:r>
      <w:r>
        <w:t xml:space="preserve">runs by at most 0.072 in absolute value. Private configurations lost more on average (</w:t>
      </w:r>
      <m:oMath>
        <m:r>
          <m:rPr>
            <m:sty m:val="p"/>
          </m:rPr>
          <m:t>−</m:t>
        </m:r>
        <m:r>
          <m:t>0.031</m:t>
        </m:r>
      </m:oMath>
      <w:r>
        <w:t xml:space="preserve">) than non-private ones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0.017</m:t>
        </m:r>
      </m:oMath>
      <w:r>
        <w:t xml:space="preserve">), so the full test set flattered private models slightly more. Every comparison below uses the 747 clean test</w:t>
      </w:r>
      <w:r>
        <w:t xml:space="preserve"> </w:t>
      </w:r>
      <w:r>
        <w:t xml:space="preserve">images, and the full-set values appear in Supplementary Table S3.</w:t>
      </w:r>
    </w:p>
    <w:bookmarkEnd w:id="41"/>
    <w:bookmarkStart w:id="45" w:name="Xaa0c2682b3e4651f9773d96706565cad5b93c87"/>
    <w:p>
      <w:pPr>
        <w:pStyle w:val="Heading2"/>
        <w:spacing w:line="480" w:lineRule="auto"/>
        <w:jc w:val="left"/>
      </w:pPr>
      <w:r>
        <w:t xml:space="preserve">Accuracy cost of record-level and patient-level DP</w:t>
      </w:r>
    </w:p>
    <w:p>
      <w:pPr>
        <w:pStyle w:val="FirstParagraph"/>
        <w:spacing w:line="480" w:lineRule="auto"/>
        <w:jc w:val="left"/>
      </w:pPr>
      <w:r>
        <w:t xml:space="preserve">Table 3 and Fig. 2 show the cost of each guarantee.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reduced central balanced accuracy from 0.908 to 0.778, a cost of 0.130, and accuracy approached the four-class chance</w:t>
      </w:r>
      <w:r>
        <w:t xml:space="preserve"> </w:t>
      </w:r>
      <w:r>
        <w:t xml:space="preserve">level of 0.25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Clipping alone accounted for 0.063 of the 0.130 decrease (</w:t>
      </w:r>
      <m:oMath>
        <m:r>
          <m:t>0.908</m:t>
        </m:r>
        <m:r>
          <m:rPr>
            <m:sty m:val="p"/>
          </m:rPr>
          <m:t>−</m:t>
        </m:r>
        <m:r>
          <m:t>0.845</m:t>
        </m:r>
      </m:oMath>
      <w:r>
        <w:t xml:space="preserve">) and noise</w:t>
      </w:r>
      <w:r>
        <w:t xml:space="preserve"> </w:t>
      </w:r>
      <w:r>
        <w:t xml:space="preserve">for the remaining 0.067 (</w:t>
      </w:r>
      <m:oMath>
        <m:r>
          <m:t>0.845</m:t>
        </m:r>
        <m:r>
          <m:rPr>
            <m:sty m:val="p"/>
          </m:rPr>
          <m:t>−</m:t>
        </m:r>
        <m:r>
          <m:t>0.778</m:t>
        </m:r>
      </m:oMath>
      <w:r>
        <w:t xml:space="preserve">).</w:t>
      </w:r>
    </w:p>
    <w:p>
      <w:pPr>
        <w:pStyle w:val="TableCaption"/>
        <w:jc w:val="left"/>
      </w:pPr>
      <w:r>
        <w:t xml:space="preserve">Table 3. Balanced accuracy on the clean test set (747 images), mean over five seeds with 95% confidence interval.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 Balanced accuracy on the clean test set (747 images), mean over five seeds with 95% confidence interval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(0.818, 0.871)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(0.739, 0.818)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(0.572, 0.723)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(0.272, 0.379)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(0.852, 0.891)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(0.284, 0.390)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(0.248, 0.253)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natural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(0.833, 0.848)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(0.731, 0.800)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(0.659, 0.688)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(0.463, 0.586)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Dir. 0.5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(0.852, 0.887)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(0.626, 0.712)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(0.548, 0.631)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(0.280, 0.383)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For FedAvg on the natural partition the cost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0.076 (</w:t>
      </w:r>
      <m:oMath>
        <m:r>
          <m:t>0.841</m:t>
        </m:r>
        <m:r>
          <m:rPr>
            <m:sty m:val="p"/>
          </m:rPr>
          <m:t>−</m:t>
        </m:r>
        <m:r>
          <m:t>0.765</m:t>
        </m:r>
      </m:oMath>
      <w:r>
        <w:t xml:space="preserve">). Local-only training on any</w:t>
      </w:r>
      <w:r>
        <w:t xml:space="preserve"> </w:t>
      </w:r>
      <w:r>
        <w:t xml:space="preserve">single natural client stayed below federated accuracy, at most 0.625 for the Figshare client (Supplementary Table S4).</w:t>
      </w:r>
      <w:r>
        <w:t xml:space="preserve"> </w:t>
      </w:r>
      <w:r>
        <w:t xml:space="preserve">Patient-level DP was far more expensive at the same</w:t>
      </w:r>
      <w:r>
        <w:t xml:space="preserve"> </w:t>
      </w:r>
      <m:oMath>
        <m:r>
          <m:t>ε</m:t>
        </m:r>
      </m:oMath>
      <w:r>
        <w:t xml:space="preserve">. Patient-level clip-only training reached 0.872, so</w:t>
      </w:r>
      <w:r>
        <w:t xml:space="preserve"> </w:t>
      </w:r>
      <w:r>
        <w:t xml:space="preserve">counting each patient once did not by itself harm accuracy, but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accuracy fell to 0.337.</w:t>
      </w:r>
    </w:p>
    <w:p>
      <w:pPr>
        <w:pStyle w:val="CaptionedFigure"/>
        <w:jc w:val="left"/>
      </w:pPr>
      <w:r>
        <w:drawing>
          <wp:inline>
            <wp:extent cx="5334000" cy="350043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2. Privacy and utility. Balanced accuracy on 747 clean test images against the privacy budget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 for central training at two privacy units and for FedAvg on two partitions. Points are means over</w:t>
      </w:r>
      <w:r>
        <w:t xml:space="preserve"> </w:t>
      </w:r>
      <w:r>
        <w:t xml:space="preserve">five seeds and error bars 95%</w:t>
      </w:r>
      <w:r>
        <w:t xml:space="preserve"> </w:t>
      </w:r>
      <m:oMath>
        <m:r>
          <m:t>t</m:t>
        </m:r>
      </m:oMath>
      <w:r>
        <w:t xml:space="preserve">-intervals. The diamond marks unclipped weight noise (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), which has no formal</w:t>
      </w:r>
      <w:r>
        <w:t xml:space="preserve"> </w:t>
      </w:r>
      <m:oMath>
        <m:r>
          <m:t>ε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The patient-level curve recovered only at large budgets, with 0.565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16</m:t>
        </m:r>
      </m:oMath>
      <w:r>
        <w:t xml:space="preserve">, 0.727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0.820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so a budget eight times larger than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needed to exceed its</w:t>
      </w:r>
      <w:r>
        <w:t xml:space="preserve"> </w:t>
      </w:r>
      <w:r>
        <w:t xml:space="preserve">accuracy. The gap follows from Eq. (3), whose noise is divided by 634 training units instead of 2610</w:t>
      </w:r>
      <w:r>
        <w:t xml:space="preserve"> </w:t>
      </w:r>
      <w:r>
        <w:t xml:space="preserve">images, a factor of</w:t>
      </w:r>
      <w:r>
        <w:t xml:space="preserve"> </w:t>
      </w:r>
      <m:oMath>
        <m:r>
          <m:t>2610</m:t>
        </m:r>
        <m:r>
          <m:rPr>
            <m:sty m:val="p"/>
          </m:rPr>
          <m:t>/</m:t>
        </m:r>
        <m:r>
          <m:t>634</m:t>
        </m:r>
        <m:r>
          <m:rPr>
            <m:sty m:val="p"/>
          </m:rPr>
          <m:t>=</m:t>
        </m:r>
        <m:r>
          <m:t>4.117</m:t>
        </m:r>
      </m:oMath>
      <w:r>
        <w:t xml:space="preserve"> </w:t>
      </w:r>
      <w:r>
        <w:t xml:space="preserve">more noise in each averaged update at the same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is correspondingly weak per patient, because a Figshare patient contributes a median of</w:t>
      </w:r>
      <w:r>
        <w:t xml:space="preserve"> </w:t>
      </w:r>
      <w:r>
        <w:t xml:space="preserve">13 slices and group privacy bounds that patient’s privacy loss only at about 13 times the per-image budget. Composing over the two</w:t>
      </w:r>
      <w:r>
        <w:t xml:space="preserve"> </w:t>
      </w:r>
      <w:r>
        <w:t xml:space="preserve">learning-rate candidates raised federated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to 11.98 (Supplementary Table S7).</w:t>
      </w:r>
    </w:p>
    <w:bookmarkEnd w:id="45"/>
    <w:bookmarkStart w:id="49" w:name="client-count-under-dp"/>
    <w:p>
      <w:pPr>
        <w:pStyle w:val="Heading2"/>
        <w:spacing w:line="480" w:lineRule="auto"/>
        <w:jc w:val="left"/>
      </w:pPr>
      <w:r>
        <w:t xml:space="preserve">Client count under DP</w:t>
      </w:r>
    </w:p>
    <w:p>
      <w:pPr>
        <w:pStyle w:val="FirstParagraph"/>
        <w:spacing w:line="480" w:lineRule="auto"/>
        <w:jc w:val="left"/>
      </w:pPr>
      <w:r>
        <w:t xml:space="preserve">Fig. 3 shows that, with the same 2610 images split across more clients, accuracy fell under DP but not</w:t>
      </w:r>
      <w:r>
        <w:t xml:space="preserve"> </w:t>
      </w:r>
      <w:r>
        <w:t xml:space="preserve">without it.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0.096</m:t>
        </m:r>
      </m:oMath>
      <w:r>
        <w:t xml:space="preserve"> </w:t>
      </w:r>
      <w:r>
        <w:t xml:space="preserve">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 from 0.677 with three clients</w:t>
      </w:r>
      <w:r>
        <w:t xml:space="preserve"> </w:t>
      </w:r>
      <w:r>
        <w:t xml:space="preserve">to 0.525 with 15.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0.156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with learning rate 0.01, from 0.779 to 0.525,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0.380</m:t>
        </m:r>
      </m:oMath>
      <w:r>
        <w:t xml:space="preserve">) with the rate of 0.003 selected for 10 clients, whereas without DP the slope was</w:t>
      </w:r>
      <w:r>
        <w:t xml:space="preserve"> </w:t>
      </w:r>
      <m:oMath>
        <m:r>
          <m:rPr>
            <m:sty m:val="p"/>
          </m:rPr>
          <m:t>+</m:t>
        </m:r>
        <m:r>
          <m:t>0.013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0.079</m:t>
        </m:r>
      </m:oMath>
      <w:r>
        <w:t xml:space="preserve">).</w:t>
      </w:r>
    </w:p>
    <w:p>
      <w:pPr>
        <w:pStyle w:val="CaptionedFigure"/>
        <w:jc w:val="left"/>
      </w:pPr>
      <w:r>
        <w:drawing>
          <wp:inline>
            <wp:extent cx="5321257" cy="366983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3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7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3. Client count under DP. Clean balanced accuracy of FedAvg on Dirichlet (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) partitions of the same</w:t>
      </w:r>
      <w:r>
        <w:t xml:space="preserve"> </w:t>
      </w:r>
      <w:r>
        <w:t xml:space="preserve">2610 images into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, 5, 10 and 15 clients, against the aggregated noise standard deviation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Eq. (4). Error bars are 95%</w:t>
      </w:r>
      <w:r>
        <w:t xml:space="preserve"> </w:t>
      </w:r>
      <m:oMath>
        <m:r>
          <m:t>t</m:t>
        </m:r>
      </m:oMath>
      <w:r>
        <w:t xml:space="preserve">-intervals over five seeds, and the dashed series uses learning rate</w:t>
      </w:r>
      <w:r>
        <w:t xml:space="preserve"> </w:t>
      </w:r>
      <w:r>
        <w:t xml:space="preserve">0.003.</w:t>
      </w:r>
    </w:p>
    <w:p>
      <w:pPr>
        <w:pStyle w:val="BodyText"/>
        <w:spacing w:line="480" w:lineRule="auto"/>
        <w:jc w:val="left"/>
      </w:pPr>
      <w:r>
        <w:t xml:space="preserve">The decline follows the aggregated noise of Eq. (4), which grows with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 </w:t>
      </w:r>
      <w:r>
        <w:t xml:space="preserve">at fixed</w:t>
      </w:r>
      <w:r>
        <w:t xml:space="preserve"> </w:t>
      </w:r>
      <m:oMath>
        <m:r>
          <m:t>N</m:t>
        </m:r>
      </m:oMath>
      <w:r>
        <w:t xml:space="preserve">. Label</w:t>
      </w:r>
      <w:r>
        <w:t xml:space="preserve"> </w:t>
      </w:r>
      <w:r>
        <w:t xml:space="preserve">skew mattered less, since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Dirichlet partitions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and 5.0 and</w:t>
      </w:r>
      <w:r>
        <w:t xml:space="preserve"> </w:t>
      </w:r>
      <w:r>
        <w:t xml:space="preserve">the uniform partition reached 0.589, 0.590, 0.583 and 0.593. The three-client natural partition kept the highest</w:t>
      </w:r>
      <w:r>
        <w:t xml:space="preserve"> </w:t>
      </w:r>
      <w:r>
        <w:t xml:space="preserve">federated accuracy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(0.525).</w:t>
      </w:r>
    </w:p>
    <w:bookmarkEnd w:id="49"/>
    <w:bookmarkStart w:id="50" w:name="drift-correction"/>
    <w:p>
      <w:pPr>
        <w:pStyle w:val="Heading2"/>
        <w:spacing w:line="480" w:lineRule="auto"/>
        <w:jc w:val="left"/>
      </w:pPr>
      <w:r>
        <w:t xml:space="preserve">Drift correction</w:t>
      </w:r>
    </w:p>
    <w:p>
      <w:pPr>
        <w:pStyle w:val="FirstParagraph"/>
        <w:spacing w:line="480" w:lineRule="auto"/>
        <w:jc w:val="left"/>
      </w:pPr>
      <w:r>
        <w:t xml:space="preserve">Neither FedProx nor SCAFFOLD recovered the utility lost to DP. FedProx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 or 0.1 changed the seed-0</w:t>
      </w:r>
      <w:r>
        <w:t xml:space="preserve"> </w:t>
      </w:r>
      <w:r>
        <w:t xml:space="preserve">validation loss of FedAvg by at most 0.0098 in all 15 configurations, and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changed it by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0.038</m:t>
        </m:r>
      </m:oMath>
      <w:r>
        <w:t xml:space="preserve">. A weight of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raised the loss in every configuration without DP and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(Supplementary Table S10).</w:t>
      </w:r>
    </w:p>
    <w:p>
      <w:pPr>
        <w:pStyle w:val="BodyText"/>
        <w:spacing w:line="480" w:lineRule="auto"/>
        <w:jc w:val="left"/>
      </w:pPr>
      <w:r>
        <w:t xml:space="preserve">Size-weighted SCAFFOLD did not differ from FedAvg in any configuration after Holm correction, with the smallest 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0.064</m:t>
        </m:r>
      </m:oMath>
      <w:r>
        <w:t xml:space="preserve">. With the uniform server average of the original algorithm, SCAFFOLD collapsed on unequal clients, reaching</w:t>
      </w:r>
      <w:r>
        <w:t xml:space="preserve"> </w:t>
      </w:r>
      <w:r>
        <w:t xml:space="preserve">0.590 against 0.825 for size-weighted SCAFFOLD on the natural partition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(full test set,</w:t>
      </w:r>
      <w:r>
        <w:t xml:space="preserve"> </w:t>
      </w:r>
      <w:r>
        <w:t xml:space="preserve">Supplementary Table S11).</w:t>
      </w:r>
    </w:p>
    <w:bookmarkEnd w:id="50"/>
    <w:bookmarkStart w:id="54" w:name="membership-inference"/>
    <w:p>
      <w:pPr>
        <w:pStyle w:val="Heading2"/>
        <w:spacing w:line="480" w:lineRule="auto"/>
        <w:jc w:val="left"/>
      </w:pPr>
      <w:r>
        <w:t xml:space="preserve">Membership inference</w:t>
      </w:r>
    </w:p>
    <w:p>
      <w:pPr>
        <w:pStyle w:val="FirstParagraph"/>
        <w:spacing w:line="480" w:lineRule="auto"/>
        <w:jc w:val="left"/>
      </w:pPr>
      <w:r>
        <w:t xml:space="preserve">Table 4 and Fig. 4 show that, without DP, LiRA identified training images and especially</w:t>
      </w:r>
      <w:r>
        <w:t xml:space="preserve"> </w:t>
      </w:r>
      <w:r>
        <w:t xml:space="preserve">training patients above chance. At a 1% FPR it found 10.8% of training images (TPR 0.108), and summed over slices it</w:t>
      </w:r>
      <w:r>
        <w:t xml:space="preserve"> </w:t>
      </w:r>
      <w:r>
        <w:t xml:space="preserve">separated training from test patients with AUC 0.805.</w:t>
      </w:r>
    </w:p>
    <w:p>
      <w:pPr>
        <w:pStyle w:val="TableCaption"/>
        <w:jc w:val="left"/>
      </w:pPr>
      <w:r>
        <w:t xml:space="preserve">Table 4. Online LiRA against FedAvg on the natural partition, mean over five target models with 95% confidence</w:t>
      </w:r>
      <w:r>
        <w:t xml:space="preserve"> </w:t>
      </w:r>
      <w:r>
        <w:t xml:space="preserve">interval.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 Online LiRA against FedAvg on the natural partition, mean over five target models with 95% confidence interval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Bal. acc.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1% FPR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0.1% FPR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AUC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(0.642, 0.689)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(0.081, 0.135)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(0.019, 0.046)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(0.762, 0.848)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(0.448, 0.480)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(0.427, 0.481)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(0.522, 0.567)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(0.008, 0.023)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(0.529, 0.605)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(0.469, 0.489)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(0.000, 0.005)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(0.413, 0.500)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noise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(0.572, 0.616)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(0.038, 0.051)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(0.713, 0.778)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Under every DP setting the TPR at 1% FPR stayed between 0.010 and 0.017, the level of a random guess. Average-case AUC</w:t>
      </w:r>
      <w:r>
        <w:t xml:space="preserve"> </w:t>
      </w:r>
      <w:r>
        <w:t xml:space="preserve">under DP moved slightly away from 0.5 in both directions, which likely reflects the smaller training sets of the shadow</w:t>
      </w:r>
      <w:r>
        <w:t xml:space="preserve"> </w:t>
      </w:r>
      <w:r>
        <w:t xml:space="preserve">models, since the low-FPR tail stayed at chance.</w:t>
      </w:r>
    </w:p>
    <w:p>
      <w:pPr>
        <w:pStyle w:val="CaptionedFigure"/>
        <w:jc w:val="left"/>
      </w:pPr>
      <w:r>
        <w:drawing>
          <wp:inline>
            <wp:extent cx="5334000" cy="2667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ure4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4. Membership inference. Online LiRA receiver operating characteristic curves on logarithmic axes against FedAvg</w:t>
      </w:r>
      <w:r>
        <w:t xml:space="preserve"> </w:t>
      </w:r>
      <w:r>
        <w:t xml:space="preserve">on the natural partition, each the mean over five target models with 16 shadow models per configuration. (a) Image</w:t>
      </w:r>
      <w:r>
        <w:t xml:space="preserve"> </w:t>
      </w:r>
      <w:r>
        <w:t xml:space="preserve">level. (b) Figshare patient level. Shaded regions lie below the FPR resolution of the test set.</w:t>
      </w:r>
    </w:p>
    <w:p>
      <w:pPr>
        <w:pStyle w:val="BodyText"/>
        <w:spacing w:line="480" w:lineRule="auto"/>
        <w:jc w:val="left"/>
      </w:pPr>
      <w:r>
        <w:t xml:space="preserve">The weight-noise comparator behaved differently, and at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training diverged in all 21</w:t>
      </w:r>
      <w:r>
        <w:t xml:space="preserve"> </w:t>
      </w:r>
      <w:r>
        <w:t xml:space="preserve">runs (five targets and 16 shadows).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accuracy was 0.801, above FedAvg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(0.765), yet the attack</w:t>
      </w:r>
      <w:r>
        <w:t xml:space="preserve"> </w:t>
      </w:r>
      <w:r>
        <w:t xml:space="preserve">found 4.5% of training images at 1% FPR and separated training patients with AUC 0.745. The loss-threshold attack was</w:t>
      </w:r>
      <w:r>
        <w:t xml:space="preserve"> </w:t>
      </w:r>
      <w:r>
        <w:t xml:space="preserve">weak even without DP, with pooled AUC from 0.521 to 0.550, and its within-stratum AUC under DP ranged from 0.458 to</w:t>
      </w:r>
      <w:r>
        <w:t xml:space="preserve"> </w:t>
      </w:r>
      <w:r>
        <w:t xml:space="preserve">0.507 (Supplementary Table S15).</w:t>
      </w:r>
    </w:p>
    <w:bookmarkEnd w:id="54"/>
    <w:bookmarkStart w:id="61" w:name="explanations"/>
    <w:p>
      <w:pPr>
        <w:pStyle w:val="Heading2"/>
        <w:spacing w:line="480" w:lineRule="auto"/>
        <w:jc w:val="left"/>
      </w:pPr>
      <w:r>
        <w:t xml:space="preserve">Explanations</w:t>
      </w:r>
    </w:p>
    <w:p>
      <w:pPr>
        <w:pStyle w:val="FirstParagraph"/>
        <w:spacing w:line="480" w:lineRule="auto"/>
        <w:jc w:val="left"/>
      </w:pPr>
      <w:r>
        <w:t xml:space="preserve">Grad-CAM localisation against expert masks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decreased. For correctly classified test images of</w:t>
      </w:r>
      <w:r>
        <w:t xml:space="preserve"> </w:t>
      </w:r>
      <w:r>
        <w:t xml:space="preserve">central models, the pointing-game hit rate fell from 0.197 without DP to 0.156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 0.089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and the top-15% IoU fell from 0.087 to 0.032. Masks cover 1.76% of the image on average (0.01758),</w:t>
      </w:r>
      <w:r>
        <w:t xml:space="preserve"> </w:t>
      </w:r>
      <w:r>
        <w:t xml:space="preserve">so these values remain above chance but far from precise localisation.</w:t>
      </w:r>
    </w:p>
    <w:p>
      <w:pPr>
        <w:pStyle w:val="BodyText"/>
        <w:spacing w:line="480" w:lineRule="auto"/>
        <w:jc w:val="left"/>
      </w:pPr>
      <w:r>
        <w:t xml:space="preserve">Fig. 5a shows that consistency across seeds fell from 0.700 without DP to 0.663 with clipping alone and to</w:t>
      </w:r>
      <w:r>
        <w:t xml:space="preserve"> </w:t>
      </w:r>
      <w:r>
        <w:t xml:space="preserve">0.485, 0.309 and 0.235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1. Patient-level models stayed between 0.218 and 0.291 up to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 reached 0.368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</w:t>
      </w:r>
    </w:p>
    <w:p>
      <w:pPr>
        <w:pStyle w:val="CaptionedFigure"/>
        <w:jc w:val="left"/>
      </w:pPr>
      <w:r>
        <w:drawing>
          <wp:inline>
            <wp:extent cx="5334000" cy="253023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e5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0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5. Explanations under privacy. (a) Cross-seed Grad-CAM consistency, the IoU of the top 10% of each model’s map</w:t>
      </w:r>
      <w:r>
        <w:t xml:space="preserve"> </w:t>
      </w:r>
      <w:r>
        <w:t xml:space="preserve">with that of the five-seed mean map, against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central models, with 95%</w:t>
      </w:r>
      <w:r>
        <w:t xml:space="preserve"> </w:t>
      </w:r>
      <m:oMath>
        <m:r>
          <m:t>t</m:t>
        </m:r>
      </m:oMath>
      <w:r>
        <w:t xml:space="preserve">-intervals. (b) Consistency</w:t>
      </w:r>
      <w:r>
        <w:t xml:space="preserve"> </w:t>
      </w:r>
      <w:r>
        <w:t xml:space="preserve">against clean balanced accuracy for 115 models.</w:t>
      </w:r>
    </w:p>
    <w:p>
      <w:pPr>
        <w:pStyle w:val="BodyText"/>
        <w:spacing w:line="480" w:lineRule="auto"/>
        <w:jc w:val="left"/>
      </w:pPr>
      <w:r>
        <w:t xml:space="preserve">Across 115 explained models, consistency correlated with clean balanced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 </w:t>
      </w:r>
      <w:r>
        <w:t xml:space="preserve">(Fig. 5b),</w:t>
      </w:r>
      <w:r>
        <w:t xml:space="preserve"> </w:t>
      </w:r>
      <w:r>
        <w:t xml:space="preserve">and across 111 models with correctly classified masked images, top-15% IoU correlated with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0.839</m:t>
        </m:r>
      </m:oMath>
      <w:r>
        <w:t xml:space="preserve">. With</w:t>
      </w:r>
      <w:r>
        <w:t xml:space="preserve"> </w:t>
      </w:r>
      <w:r>
        <w:t xml:space="preserve">accuracy in the regression,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 explanatory power for IoU (</w:t>
      </w:r>
      <m:oMath>
        <m:r>
          <m:t>p</m:t>
        </m:r>
        <m:r>
          <m:rPr>
            <m:sty m:val="p"/>
          </m:rPr>
          <m:t>=</m:t>
        </m:r>
        <m:r>
          <m:t>0.834</m:t>
        </m:r>
      </m:oMath>
      <w:r>
        <w:t xml:space="preserve">) or consistency (</w:t>
      </w:r>
      <m:oMath>
        <m:r>
          <m:t>p</m:t>
        </m:r>
        <m:r>
          <m:rPr>
            <m:sty m:val="p"/>
          </m:rPr>
          <m:t>=</m:t>
        </m:r>
        <m:r>
          <m:t>0.153</m:t>
        </m:r>
      </m:oMath>
      <w:r>
        <w:t xml:space="preserve">,</w:t>
      </w:r>
      <w:r>
        <w:t xml:space="preserve"> </w:t>
      </w:r>
      <w:r>
        <w:t xml:space="preserve">Supplementary Table S19). Fig. 6 illustrates the pattern on one image per tumour class.</w:t>
      </w:r>
    </w:p>
    <w:p>
      <w:pPr>
        <w:pStyle w:val="CaptionedFigure"/>
        <w:jc w:val="left"/>
      </w:pPr>
      <w:r>
        <w:drawing>
          <wp:inline>
            <wp:extent cx="5334000" cy="28575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ure6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6. Grad-CAM examples. One clean Figshare test image per tumour class, chosen by a fixed rule (mask area closest to</w:t>
      </w:r>
      <w:r>
        <w:t xml:space="preserve"> </w:t>
      </w:r>
      <w:r>
        <w:t xml:space="preserve">the class median among images the non-private model classifies correctly), with the expert mask outline in cyan and the</w:t>
      </w:r>
      <w:r>
        <w:t xml:space="preserve"> </w:t>
      </w:r>
      <w:r>
        <w:t xml:space="preserve">Grad-CAM maps of central seed-1 models. Labels give each model’s prediction, in red when wrong.</w:t>
      </w:r>
    </w:p>
    <w:p>
      <w:pPr>
        <w:pStyle w:val="BodyText"/>
        <w:spacing w:line="480" w:lineRule="auto"/>
        <w:jc w:val="left"/>
      </w:pPr>
      <w:r>
        <w:t xml:space="preserve">IG failed the randomisation test, since maps from a fully re-initialised network kept a Spearman correlation of 0.683 to</w:t>
      </w:r>
      <w:r>
        <w:t xml:space="preserve"> </w:t>
      </w:r>
      <w:r>
        <w:t xml:space="preserve">0.712 with the trained maps. Grad-CAM passed, with correlations from</w:t>
      </w:r>
      <w:r>
        <w:t xml:space="preserve"> </w:t>
      </w:r>
      <m:oMath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to 0.388, so its numbers are the ones</w:t>
      </w:r>
      <w:r>
        <w:t xml:space="preserve"> </w:t>
      </w:r>
      <w:r>
        <w:t xml:space="preserve">interpreted here. Grad-CAM placed 0.174 to 0.181 of its mass on the outer brain rim, below the rim’s area share of 0.308</w:t>
      </w:r>
      <w:r>
        <w:t xml:space="preserve"> </w:t>
      </w:r>
      <w:r>
        <w:t xml:space="preserve">to 0.351, which indicates no skull-border artefact (Supplementary Table S18).</w:t>
      </w:r>
    </w:p>
    <w:bookmarkEnd w:id="61"/>
    <w:bookmarkStart w:id="62" w:name="source-controls"/>
    <w:p>
      <w:pPr>
        <w:pStyle w:val="Heading2"/>
        <w:spacing w:line="480" w:lineRule="auto"/>
        <w:jc w:val="left"/>
      </w:pPr>
      <w:r>
        <w:t xml:space="preserve">Source controls</w:t>
      </w:r>
    </w:p>
    <w:p>
      <w:pPr>
        <w:pStyle w:val="FirstParagraph"/>
        <w:spacing w:line="480" w:lineRule="auto"/>
        <w:jc w:val="left"/>
      </w:pPr>
      <w:r>
        <w:t xml:space="preserve">The source collection was linearly decodable from penultimate features in every setting. Among tumour images, a probe</w:t>
      </w:r>
      <w:r>
        <w:t xml:space="preserve"> </w:t>
      </w:r>
      <w:r>
        <w:t xml:space="preserve">separated Figshare from SARTAJ with balanced accuracy 0.913 for the central model without DP and 0.851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The ImageNet initialisation reached 0.871 and a random network 0.846, so training added only 0.042</w:t>
      </w:r>
      <w:r>
        <w:t xml:space="preserve"> </w:t>
      </w:r>
      <w:r>
        <w:t xml:space="preserve">(</w:t>
      </w:r>
      <m:oMath>
        <m:r>
          <m:t>0.913</m:t>
        </m:r>
        <m:r>
          <m:rPr>
            <m:sty m:val="p"/>
          </m:rPr>
          <m:t>−</m:t>
        </m:r>
        <m:r>
          <m:t>0.871</m:t>
        </m:r>
      </m:oMath>
      <w:r>
        <w:t xml:space="preserve">). Accuracy on SARTAJ alone, the one source with all four classes, was 0.663 for central models</w:t>
      </w:r>
      <w:r>
        <w:t xml:space="preserve"> </w:t>
      </w:r>
      <w:r>
        <w:t xml:space="preserve">without DP on the full test set, against 0.919 pooled (Supplementary Table S5). These measurements raise the question</w:t>
      </w:r>
      <w:r>
        <w:t xml:space="preserve"> </w:t>
      </w:r>
      <w:r>
        <w:t xml:space="preserve">of what the privacy budget actually buys, which Section 4 addresses.</w:t>
      </w:r>
    </w:p>
    <w:bookmarkEnd w:id="62"/>
    <w:bookmarkEnd w:id="63"/>
    <w:bookmarkStart w:id="70" w:name="discussion"/>
    <w:p>
      <w:pPr>
        <w:pStyle w:val="Heading1"/>
        <w:spacing w:line="480" w:lineRule="auto"/>
        <w:jc w:val="left"/>
      </w:pPr>
      <w:r>
        <w:t xml:space="preserve">Discussion</w:t>
      </w:r>
    </w:p>
    <w:bookmarkStart w:id="64" w:name="protection-bought-by-the-privacy-budget"/>
    <w:p>
      <w:pPr>
        <w:pStyle w:val="Heading2"/>
        <w:spacing w:line="480" w:lineRule="auto"/>
        <w:jc w:val="left"/>
      </w:pPr>
      <w:r>
        <w:t xml:space="preserve">Protection bought by the privacy budget</w:t>
      </w:r>
    </w:p>
    <w:p>
      <w:pPr>
        <w:pStyle w:val="FirstParagraph"/>
        <w:spacing w:line="480" w:lineRule="auto"/>
        <w:jc w:val="left"/>
      </w:pPr>
      <w:r>
        <w:t xml:space="preserve">The audit and the accounting agree. Without DP, a federated model trained on 2610 images leaked enough for LiRA to flag</w:t>
      </w:r>
      <w:r>
        <w:t xml:space="preserve"> </w:t>
      </w:r>
      <w:r>
        <w:t xml:space="preserve">one training image in ten at 1% FPR, and aggregating over slices made the patient-level signal stronger still (AUC</w:t>
      </w:r>
      <w:r>
        <w:t xml:space="preserve"> </w:t>
      </w:r>
      <w:r>
        <w:t xml:space="preserve">0.805).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removed every measurable signal at a cost of 0.076 for FedAvg on the natural</w:t>
      </w:r>
      <w:r>
        <w:t xml:space="preserve"> </w:t>
      </w:r>
      <w:r>
        <w:t xml:space="preserve">partition and 0.130 centrally. The result agrees with reports that moderate budgets defeat practical</w:t>
      </w:r>
      <w:r>
        <w:t xml:space="preserve"> </w:t>
      </w:r>
      <w:r>
        <w:t xml:space="preserve">attacks,</w:t>
      </w:r>
      <w:r>
        <w:rPr>
          <w:vertAlign w:val="superscript"/>
        </w:rPr>
        <w:t xml:space="preserve">23</w:t>
      </w:r>
      <w:r>
        <w:t xml:space="preserve"> </w:t>
      </w:r>
      <w:r>
        <w:t xml:space="preserve">although an attack that fails does not prove that no stronger attack exists.</w:t>
      </w:r>
    </w:p>
    <w:p>
      <w:pPr>
        <w:pStyle w:val="BodyText"/>
        <w:spacing w:line="480" w:lineRule="auto"/>
        <w:jc w:val="left"/>
      </w:pPr>
      <w:r>
        <w:t xml:space="preserve">The weight-noise comparator separates noise from guarantee, since unclipped noise on weights can be tuned to keep</w:t>
      </w:r>
      <w:r>
        <w:t xml:space="preserve"> </w:t>
      </w:r>
      <w:r>
        <w:t xml:space="preserve">accuracy, as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, but it then leaves training patients identifiable (AUC 0.745), and at the published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it</w:t>
      </w:r>
      <w:r>
        <w:t xml:space="preserve"> </w:t>
      </w:r>
      <w:r>
        <w:t xml:space="preserve">destroys the model. Neither setting supports a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that mechanism.</w:t>
      </w:r>
      <w:r>
        <w:rPr>
          <w:vertAlign w:val="superscript"/>
        </w:rPr>
        <w:t xml:space="preserve">11</w:t>
      </w:r>
    </w:p>
    <w:bookmarkEnd w:id="64"/>
    <w:bookmarkStart w:id="65" w:name="cost-of-patient-level-protection"/>
    <w:p>
      <w:pPr>
        <w:pStyle w:val="Heading2"/>
        <w:spacing w:line="480" w:lineRule="auto"/>
        <w:jc w:val="left"/>
      </w:pPr>
      <w:r>
        <w:t xml:space="preserve">Cost of patient-level protection</w:t>
      </w:r>
    </w:p>
    <w:p>
      <w:pPr>
        <w:pStyle w:val="FirstParagraph"/>
        <w:spacing w:line="480" w:lineRule="auto"/>
        <w:jc w:val="left"/>
      </w:pPr>
      <w:r>
        <w:t xml:space="preserve">Patient-level DP protects the unit that matters clinically but needed a budget eight times larger for comparable</w:t>
      </w:r>
      <w:r>
        <w:t xml:space="preserve"> </w:t>
      </w:r>
      <w:r>
        <w:t xml:space="preserve">accuracy. The clip-only control (0.872) shows that weighting each patient once is harmless, so the loss comes from</w:t>
      </w:r>
      <w:r>
        <w:t xml:space="preserve"> </w:t>
      </w:r>
      <w:r>
        <w:t xml:space="preserve">noise divided among 634 units instead of 2610 images. The finding supports the observation of Knolle et al. that</w:t>
      </w:r>
      <w:r>
        <w:t xml:space="preserve"> </w:t>
      </w:r>
      <w:r>
        <w:t xml:space="preserve">patients with several records carry the real privacy risk,</w:t>
      </w:r>
      <w:r>
        <w:rPr>
          <w:vertAlign w:val="superscript"/>
        </w:rPr>
        <w:t xml:space="preserve">6</w:t>
      </w:r>
      <w:r>
        <w:t xml:space="preserve"> </w:t>
      </w:r>
      <w:r>
        <w:t xml:space="preserve">and suggests that a larger number of</w:t>
      </w:r>
      <w:r>
        <w:t xml:space="preserve"> </w:t>
      </w:r>
      <w:r>
        <w:t xml:space="preserve">patients is the most direct route to useful per-patient guarantees.</w:t>
      </w:r>
    </w:p>
    <w:bookmarkEnd w:id="65"/>
    <w:bookmarkStart w:id="66" w:name="client-count-and-drift-correction"/>
    <w:p>
      <w:pPr>
        <w:pStyle w:val="Heading2"/>
        <w:spacing w:line="480" w:lineRule="auto"/>
        <w:jc w:val="left"/>
      </w:pPr>
      <w:r>
        <w:t xml:space="preserve">Client count and drift correction</w:t>
      </w:r>
    </w:p>
    <w:p>
      <w:pPr>
        <w:pStyle w:val="FirstParagraph"/>
        <w:spacing w:line="480" w:lineRule="auto"/>
        <w:jc w:val="left"/>
      </w:pPr>
      <w:r>
        <w:t xml:space="preserve">Under DP, accuracy fell as the same data were spread across more clients, while label skew changed 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by at most 0.010 (</w:t>
      </w:r>
      <m:oMath>
        <m:r>
          <m:t>0.593</m:t>
        </m:r>
        <m:r>
          <m:rPr>
            <m:sty m:val="p"/>
          </m:rPr>
          <m:t>−</m:t>
        </m:r>
        <m:r>
          <m:t>0.583</m:t>
        </m:r>
      </m:oMath>
      <w:r>
        <w:t xml:space="preserve">). Eq. (4) accounts for the trend, because each</w:t>
      </w:r>
      <w:r>
        <w:t xml:space="preserve"> </w:t>
      </w:r>
      <w:r>
        <w:t xml:space="preserve">client adds independent noise without adding data. The arithmetic is standard for DP-SGD and is not claimed as new. It</w:t>
      </w:r>
      <w:r>
        <w:t xml:space="preserve"> </w:t>
      </w:r>
      <w:r>
        <w:t xml:space="preserve">implies that consortia of few large sites lose least, and that a learning rate tuned for one client count can hide</w:t>
      </w:r>
      <w:r>
        <w:t xml:space="preserve"> </w:t>
      </w:r>
      <w:r>
        <w:t xml:space="preserve">the effect at another.</w:t>
      </w:r>
    </w:p>
    <w:p>
      <w:pPr>
        <w:pStyle w:val="BodyText"/>
        <w:spacing w:line="480" w:lineRule="auto"/>
        <w:jc w:val="left"/>
      </w:pPr>
      <w:r>
        <w:t xml:space="preserve">Drift correction likely did not help because one local epoch per round produced little drift, while noise dominated the</w:t>
      </w:r>
      <w:r>
        <w:t xml:space="preserve"> </w:t>
      </w:r>
      <w:r>
        <w:t xml:space="preserve">error. The SCAFFOLD ablation also indicates that control variates must be averaged with the same weights as the model,</w:t>
      </w:r>
      <w:r>
        <w:t xml:space="preserve"> </w:t>
      </w:r>
      <w:r>
        <w:t xml:space="preserve">or the correction harms the unequal and noisy settings in which it is most needed.</w:t>
      </w:r>
    </w:p>
    <w:bookmarkEnd w:id="66"/>
    <w:bookmarkStart w:id="67" w:name="explanations-under-privacy"/>
    <w:p>
      <w:pPr>
        <w:pStyle w:val="Heading2"/>
        <w:spacing w:line="480" w:lineRule="auto"/>
        <w:jc w:val="left"/>
      </w:pPr>
      <w:r>
        <w:t xml:space="preserve">Explanations under privacy</w:t>
      </w:r>
    </w:p>
    <w:p>
      <w:pPr>
        <w:pStyle w:val="FirstParagraph"/>
        <w:spacing w:line="480" w:lineRule="auto"/>
        <w:jc w:val="left"/>
      </w:pPr>
      <w:r>
        <w:t xml:space="preserve">DP degraded Grad-CAM localisation and cross-seed consistency, in line with reports on attribution methods in</w:t>
      </w:r>
      <w:r>
        <w:t xml:space="preserve"> </w:t>
      </w:r>
      <w:r>
        <w:t xml:space="preserve">general.</w:t>
      </w:r>
      <w:r>
        <w:rPr>
          <w:vertAlign w:val="superscript"/>
        </w:rPr>
        <w:t xml:space="preserve">25,26</w:t>
      </w:r>
      <w:r>
        <w:t xml:space="preserve"> </w:t>
      </w:r>
      <w:r>
        <w:t xml:space="preserve">For brain tumour MRI, the degradation followed accuracy (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consistency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0.839</m:t>
        </m:r>
      </m:oMath>
      <w:r>
        <w:t xml:space="preserve"> </w:t>
      </w:r>
      <w:r>
        <w:t xml:space="preserve">for IoU), 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nothing once accuracy was known. A private model’s explanations</w:t>
      </w:r>
      <w:r>
        <w:t xml:space="preserve"> </w:t>
      </w:r>
      <w:r>
        <w:t xml:space="preserve">therefore appear about as trustworthy as its predictions, and the small change under clipping alone (0.700 to 0.663)</w:t>
      </w:r>
      <w:r>
        <w:t xml:space="preserve"> </w:t>
      </w:r>
      <w:r>
        <w:t xml:space="preserve">indicates that noise acts through the accuracy it costs.</w:t>
      </w:r>
    </w:p>
    <w:p>
      <w:pPr>
        <w:pStyle w:val="BodyText"/>
        <w:spacing w:line="480" w:lineRule="auto"/>
        <w:jc w:val="left"/>
      </w:pPr>
      <w:r>
        <w:t xml:space="preserve">The low absolute localisation, with a pointing hit rate of 0.197 even without DP, reflects the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 of</w:t>
      </w:r>
      <w:r>
        <w:t xml:space="preserve"> </w:t>
      </w:r>
      <w:r>
        <w:t xml:space="preserve">the last ResNet block at 128-pixel input. IG with a black baseline failed the randomisation test, which argues against</w:t>
      </w:r>
      <w:r>
        <w:t xml:space="preserve"> </w:t>
      </w:r>
      <w:r>
        <w:t xml:space="preserve">reporting such maps without that check.</w:t>
      </w:r>
      <w:r>
        <w:rPr>
          <w:vertAlign w:val="superscript"/>
        </w:rPr>
        <w:t xml:space="preserve">27</w:t>
      </w:r>
    </w:p>
    <w:bookmarkEnd w:id="67"/>
    <w:bookmarkStart w:id="68" w:name="benchmark-leakage-and-source-confounding"/>
    <w:p>
      <w:pPr>
        <w:pStyle w:val="Heading2"/>
        <w:spacing w:line="480" w:lineRule="auto"/>
        <w:jc w:val="left"/>
      </w:pPr>
      <w:r>
        <w:t xml:space="preserve">Benchmark leakage and source confounding</w:t>
      </w:r>
    </w:p>
    <w:p>
      <w:pPr>
        <w:pStyle w:val="FirstParagraph"/>
        <w:spacing w:line="480" w:lineRule="auto"/>
        <w:jc w:val="left"/>
      </w:pPr>
      <w:r>
        <w:t xml:space="preserve">The correlation check found mirrored duplicates that perceptual hashing missed, concentrated in the Br35H no-tumour</w:t>
      </w:r>
      <w:r>
        <w:t xml:space="preserve"> </w:t>
      </w:r>
      <w:r>
        <w:t xml:space="preserve">class, and training with random flips can then show a model the exact test image. Source was also decodable from images</w:t>
      </w:r>
      <w:r>
        <w:t xml:space="preserve"> </w:t>
      </w:r>
      <w:r>
        <w:t xml:space="preserve">of one class even by a random network, so headline accuracy on merged collections partly measures which collection an</w:t>
      </w:r>
      <w:r>
        <w:t xml:space="preserve"> </w:t>
      </w:r>
      <w:r>
        <w:t xml:space="preserve">image came from, as Vangala et al. reported for centralised benchmarks.</w:t>
      </w:r>
      <w:r>
        <w:rPr>
          <w:vertAlign w:val="superscript"/>
        </w:rPr>
        <w:t xml:space="preserve">8</w:t>
      </w:r>
      <w:r>
        <w:t xml:space="preserve"> </w:t>
      </w:r>
      <w:r>
        <w:t xml:space="preserve">Accuracies reported on these</w:t>
      </w:r>
      <w:r>
        <w:t xml:space="preserve"> </w:t>
      </w:r>
      <w:r>
        <w:t xml:space="preserve">collections</w:t>
      </w:r>
      <w:r>
        <w:rPr>
          <w:vertAlign w:val="superscript"/>
        </w:rPr>
        <w:t xml:space="preserve">13-16</w:t>
      </w:r>
      <w:r>
        <w:t xml:space="preserve"> </w:t>
      </w:r>
      <w:r>
        <w:t xml:space="preserve">should therefore not be read as clinical performance,</w:t>
      </w:r>
      <w:r>
        <w:t xml:space="preserve"> </w:t>
      </w:r>
      <w:r>
        <w:t xml:space="preserve">and flip-invariant deduplication with per-source reporting should become routine.</w:t>
      </w:r>
    </w:p>
    <w:bookmarkEnd w:id="68"/>
    <w:bookmarkStart w:id="69" w:name="limitations"/>
    <w:p>
      <w:pPr>
        <w:pStyle w:val="Heading2"/>
        <w:spacing w:line="480" w:lineRule="auto"/>
        <w:jc w:val="left"/>
      </w:pPr>
      <w:r>
        <w:t xml:space="preserve">Limitations</w:t>
      </w:r>
    </w:p>
    <w:p>
      <w:pPr>
        <w:pStyle w:val="FirstParagraph"/>
        <w:spacing w:line="480" w:lineRule="auto"/>
        <w:jc w:val="left"/>
      </w:pPr>
      <w:r>
        <w:t xml:space="preserve">Mirrored pairs remain between training and validation data (47 pairs), so round selection used slightly contaminated</w:t>
      </w:r>
      <w:r>
        <w:t xml:space="preserve"> </w:t>
      </w:r>
      <w:r>
        <w:t xml:space="preserve">validation data, although every test result excludes contaminated images. SARTAJ and Br35H carry no patient</w:t>
      </w:r>
      <w:r>
        <w:t xml:space="preserve"> </w:t>
      </w:r>
      <w:r>
        <w:t xml:space="preserve">identifiers, so their units are groups of similar images and the patient-level guarantee is exact only for Figshare.</w:t>
      </w:r>
    </w:p>
    <w:p>
      <w:pPr>
        <w:pStyle w:val="BodyText"/>
        <w:spacing w:line="480" w:lineRule="auto"/>
        <w:jc w:val="left"/>
      </w:pPr>
      <w:r>
        <w:t xml:space="preserve">Shadow models trained on about 1700 images against 2610 for the targets, which shifts average-case AUC, so the</w:t>
      </w:r>
      <w:r>
        <w:t xml:space="preserve"> </w:t>
      </w:r>
      <w:r>
        <w:t xml:space="preserve">conclusions rest on low-FPR rates. Only 40 Figshare test units were available, so patient-level TPR below 2.5% FPR</w:t>
      </w:r>
      <w:r>
        <w:t xml:space="preserve"> </w:t>
      </w:r>
      <w:r>
        <w:t xml:space="preserve">cannot be resolved. All models are two-dimensional ResNet-18 classifiers on axial slices from three public sources, and</w:t>
      </w:r>
      <w:r>
        <w:t xml:space="preserve"> </w:t>
      </w:r>
      <w:r>
        <w:t xml:space="preserve">the federated partitions were simulated, not drawn from real institutions. Learning rates were chosen on private</w:t>
      </w:r>
      <w:r>
        <w:t xml:space="preserve"> </w:t>
      </w:r>
      <w:r>
        <w:t xml:space="preserve">validation data, and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candidates is reported but was not used for calibration.</w:t>
      </w:r>
    </w:p>
    <w:bookmarkEnd w:id="69"/>
    <w:bookmarkEnd w:id="70"/>
    <w:bookmarkStart w:id="71" w:name="conclusions"/>
    <w:p>
      <w:pPr>
        <w:pStyle w:val="Heading1"/>
        <w:spacing w:line="480" w:lineRule="auto"/>
        <w:jc w:val="left"/>
      </w:pPr>
      <w:r>
        <w:t xml:space="preserve">Conclusions</w:t>
      </w:r>
    </w:p>
    <w:p>
      <w:pPr>
        <w:pStyle w:val="FirstParagraph"/>
        <w:spacing w:line="480" w:lineRule="auto"/>
        <w:jc w:val="left"/>
      </w:pPr>
      <w:r>
        <w:t xml:space="preserve">On a deduplicated three-source brain MRI benchmark,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held a likelihood-ratio</w:t>
      </w:r>
      <w:r>
        <w:t xml:space="preserve"> </w:t>
      </w:r>
      <w:r>
        <w:t xml:space="preserve">membership attack at chance for both images and patients, while the same attack exposed non-private models. The price</w:t>
      </w:r>
      <w:r>
        <w:t xml:space="preserve"> </w:t>
      </w:r>
      <w:r>
        <w:t xml:space="preserve">was a balanced-accuracy loss of 0.076 for federated and 0.130 for central training. A guarantee per patient cost far</w:t>
      </w:r>
      <w:r>
        <w:t xml:space="preserve"> </w:t>
      </w:r>
      <w:r>
        <w:t xml:space="preserve">more and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because the noise is shared among 634 patients and patient groups instead of 2610</w:t>
      </w:r>
      <w:r>
        <w:t xml:space="preserve"> </w:t>
      </w:r>
      <w:r>
        <w:t xml:space="preserve">slices.</w:t>
      </w:r>
    </w:p>
    <w:p>
      <w:pPr>
        <w:pStyle w:val="BodyText"/>
        <w:spacing w:line="480" w:lineRule="auto"/>
        <w:jc w:val="left"/>
      </w:pPr>
      <w:r>
        <w:t xml:space="preserve">Under DP, splitting fixed data across more clients lowered accuracy through the aggregated noise scale, and drift</w:t>
      </w:r>
      <w:r>
        <w:t xml:space="preserve"> </w:t>
      </w:r>
      <w:r>
        <w:t xml:space="preserve">correction did not offset the loss. Unclipped weight noise either destroyed the model or left patients identifiable, so</w:t>
      </w:r>
      <w:r>
        <w:t xml:space="preserve"> </w:t>
      </w:r>
      <w:r>
        <w:t xml:space="preserve">it should not be reported with an</w:t>
      </w:r>
      <w:r>
        <w:t xml:space="preserve"> </w:t>
      </w:r>
      <m:oMath>
        <m:r>
          <m:t>ε</m:t>
        </m:r>
      </m:oMath>
      <w:r>
        <w:t xml:space="preserve">. Grad-CAM localisation and consistency degraded with privacy in step</w:t>
      </w:r>
      <w:r>
        <w:t xml:space="preserve"> </w:t>
      </w:r>
      <w:r>
        <w:t xml:space="preserve">with accuracy.</w:t>
      </w:r>
    </w:p>
    <w:p>
      <w:pPr>
        <w:pStyle w:val="BodyText"/>
        <w:spacing w:line="480" w:lineRule="auto"/>
        <w:jc w:val="left"/>
      </w:pPr>
      <w:r>
        <w:t xml:space="preserve">Future work should test these costs on real multi-site data with patient identifiers, extend the audit to</w:t>
      </w:r>
      <w:r>
        <w:t xml:space="preserve"> </w:t>
      </w:r>
      <w:r>
        <w:t xml:space="preserve">three-dimensional models and segmentation, and study larger patient cohorts in which per-patient guarantees become</w:t>
      </w:r>
      <w:r>
        <w:t xml:space="preserve"> </w:t>
      </w:r>
      <w:r>
        <w:t xml:space="preserve">affordable. Federated studies on public brain tumour collections should use flip-invariant deduplication, state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 the privacy unit, and test their privacy claims with an attack.</w:t>
      </w:r>
    </w:p>
    <w:bookmarkEnd w:id="71"/>
    <w:bookmarkStart w:id="72" w:name="authors-contribution"/>
    <w:p>
      <w:pPr>
        <w:pStyle w:val="Heading1"/>
        <w:spacing w:line="480" w:lineRule="auto"/>
        <w:jc w:val="left"/>
      </w:pPr>
      <w:r>
        <w:t xml:space="preserve">Authors’ contribution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Shashi Ranjan:</w:t>
      </w:r>
      <w:r>
        <w:t xml:space="preserve"> </w:t>
      </w:r>
      <w:r>
        <w:t xml:space="preserve">Conceptualization, Methodology, Software, Formal analysis, Investigation, Data curation,</w:t>
      </w:r>
      <w:r>
        <w:t xml:space="preserve"> </w:t>
      </w:r>
      <w:r>
        <w:t xml:space="preserve">Visualization, Writing – original draft.</w:t>
      </w:r>
      <w:r>
        <w:t xml:space="preserve"> </w:t>
      </w:r>
      <w:r>
        <w:rPr>
          <w:bCs/>
          <w:b/>
        </w:rPr>
        <w:t xml:space="preserve">Poonguzhali N:</w:t>
      </w:r>
      <w:r>
        <w:t xml:space="preserve"> </w:t>
      </w:r>
      <w:r>
        <w:t xml:space="preserve">Conceptualization, Supervision, Validation,</w:t>
      </w:r>
      <w:r>
        <w:t xml:space="preserve"> </w:t>
      </w:r>
      <w:r>
        <w:t xml:space="preserve">Writing – review &amp; editing. [CHECK: roles proposed from the author list, to be confirmed by the authors]</w:t>
      </w:r>
    </w:p>
    <w:bookmarkEnd w:id="72"/>
    <w:bookmarkStart w:id="73" w:name="ethic-statement"/>
    <w:p>
      <w:pPr>
        <w:pStyle w:val="Heading1"/>
        <w:spacing w:line="480" w:lineRule="auto"/>
        <w:jc w:val="left"/>
      </w:pPr>
      <w:r>
        <w:t xml:space="preserve">Ethic statement</w:t>
      </w:r>
    </w:p>
    <w:p>
      <w:pPr>
        <w:pStyle w:val="FirstParagraph"/>
        <w:spacing w:line="480" w:lineRule="auto"/>
        <w:jc w:val="left"/>
      </w:pPr>
      <w:r>
        <w:t xml:space="preserve">The study used only publicly released, de-identified images from Figshare, SARTAJ and Br35H, and no new patient data</w:t>
      </w:r>
      <w:r>
        <w:t xml:space="preserve"> </w:t>
      </w:r>
      <w:r>
        <w:t xml:space="preserve">were collected. Ethics approval and informed consent were therefore not required. [CHECK: confirm the waiver with the</w:t>
      </w:r>
      <w:r>
        <w:t xml:space="preserve"> </w:t>
      </w:r>
      <w:r>
        <w:t xml:space="preserve">institutional ethics committee]</w:t>
      </w:r>
    </w:p>
    <w:bookmarkEnd w:id="73"/>
    <w:bookmarkStart w:id="74" w:name="declaration-of-competing-interest"/>
    <w:p>
      <w:pPr>
        <w:pStyle w:val="Heading1"/>
        <w:spacing w:line="480" w:lineRule="auto"/>
        <w:jc w:val="left"/>
      </w:pPr>
      <w:r>
        <w:t xml:space="preserve">Declaration of competing interest</w:t>
      </w:r>
    </w:p>
    <w:p>
      <w:pPr>
        <w:pStyle w:val="FirstParagraph"/>
        <w:spacing w:line="480" w:lineRule="auto"/>
        <w:jc w:val="left"/>
      </w:pPr>
      <w:r>
        <w:t xml:space="preserve">The authors declare that they have no known competing financial interests or personal relationships that could have</w:t>
      </w:r>
      <w:r>
        <w:t xml:space="preserve"> </w:t>
      </w:r>
      <w:r>
        <w:t xml:space="preserve">appeared to influence the work reported in this paper.</w:t>
      </w:r>
    </w:p>
    <w:bookmarkEnd w:id="74"/>
    <w:bookmarkStart w:id="75" w:name="funding"/>
    <w:p>
      <w:pPr>
        <w:pStyle w:val="Heading1"/>
        <w:spacing w:line="480" w:lineRule="auto"/>
        <w:jc w:val="left"/>
      </w:pPr>
      <w:r>
        <w:t xml:space="preserve">Funding</w:t>
      </w:r>
    </w:p>
    <w:p>
      <w:pPr>
        <w:pStyle w:val="FirstParagraph"/>
        <w:spacing w:line="480" w:lineRule="auto"/>
        <w:jc w:val="left"/>
      </w:pPr>
      <w:r>
        <w:t xml:space="preserve">This research did not receive any specific grant from funding agencies in the public, commercial, or not-for-profit</w:t>
      </w:r>
      <w:r>
        <w:t xml:space="preserve"> </w:t>
      </w:r>
      <w:r>
        <w:t xml:space="preserve">sectors.</w:t>
      </w:r>
    </w:p>
    <w:bookmarkEnd w:id="75"/>
    <w:bookmarkStart w:id="77" w:name="data-availability"/>
    <w:p>
      <w:pPr>
        <w:pStyle w:val="Heading1"/>
        <w:spacing w:line="480" w:lineRule="auto"/>
        <w:jc w:val="left"/>
      </w:pPr>
      <w:r>
        <w:t xml:space="preserve">Data availability</w:t>
      </w:r>
    </w:p>
    <w:p>
      <w:pPr>
        <w:pStyle w:val="FirstParagraph"/>
        <w:spacing w:line="480" w:lineRule="auto"/>
        <w:jc w:val="left"/>
      </w:pPr>
      <w:r>
        <w:t xml:space="preserve">The Figshare,</w:t>
      </w:r>
      <w:r>
        <w:rPr>
          <w:vertAlign w:val="superscript"/>
        </w:rPr>
        <w:t xml:space="preserve">28</w:t>
      </w:r>
      <w:r>
        <w:t xml:space="preserve"> </w:t>
      </w:r>
      <w:r>
        <w:t xml:space="preserve">SARTAJ</w:t>
      </w:r>
      <w:r>
        <w:rPr>
          <w:vertAlign w:val="superscript"/>
        </w:rPr>
        <w:t xml:space="preserve">29</w:t>
      </w:r>
      <w:r>
        <w:t xml:space="preserve"> </w:t>
      </w:r>
      <w:r>
        <w:t xml:space="preserve">and Br35H</w:t>
      </w:r>
      <w:r>
        <w:rPr>
          <w:vertAlign w:val="superscript"/>
        </w:rPr>
        <w:t xml:space="preserve">30</w:t>
      </w:r>
      <w:r>
        <w:t xml:space="preserve"> </w:t>
      </w:r>
      <w:r>
        <w:t xml:space="preserve">collections are publicly available from</w:t>
      </w:r>
      <w:r>
        <w:t xml:space="preserve"> </w:t>
      </w:r>
      <w:r>
        <w:t xml:space="preserve">the cited sources. Split, duplicate and hash manifests, all run results, figure data and code are available at</w:t>
      </w:r>
      <w:r>
        <w:t xml:space="preserve"> </w:t>
      </w:r>
      <w:hyperlink r:id="rId76">
        <w:r>
          <w:rPr>
            <w:rStyle w:val="Hyperlink"/>
          </w:rPr>
          <w:t xml:space="preserve">https://github.com/shashiranjan-jnu/dpfl-braintumor</w:t>
        </w:r>
      </w:hyperlink>
      <w:r>
        <w:t xml:space="preserve"> </w:t>
      </w:r>
      <w:r>
        <w:t xml:space="preserve">under tag v0.9.1-results-frozen. [CHECK: make the repository</w:t>
      </w:r>
      <w:r>
        <w:t xml:space="preserve"> </w:t>
      </w:r>
      <w:r>
        <w:t xml:space="preserve">public and add the archive DOI before submission]</w:t>
      </w:r>
    </w:p>
    <w:bookmarkEnd w:id="77"/>
    <w:bookmarkStart w:id="78" w:name="acknowledgements"/>
    <w:p>
      <w:pPr>
        <w:pStyle w:val="Heading1"/>
        <w:spacing w:line="480" w:lineRule="auto"/>
        <w:jc w:val="left"/>
      </w:pPr>
      <w:r>
        <w:t xml:space="preserve">Acknowledgements</w:t>
      </w:r>
    </w:p>
    <w:p>
      <w:pPr>
        <w:pStyle w:val="FirstParagraph"/>
        <w:spacing w:line="480" w:lineRule="auto"/>
        <w:jc w:val="left"/>
      </w:pPr>
      <w:r>
        <w:t xml:space="preserve">Training used free GPU time on Kaggle. [CHECK: add any further acknowledgements]</w:t>
      </w:r>
    </w:p>
    <w:bookmarkEnd w:id="78"/>
    <w:bookmarkStart w:id="79" w:name="X071796dd6bc546c91e96cca1cf5ff96599de61f"/>
    <w:p>
      <w:pPr>
        <w:pStyle w:val="Heading1"/>
        <w:spacing w:line="480" w:lineRule="auto"/>
        <w:jc w:val="left"/>
      </w:pPr>
      <w:r>
        <w:t xml:space="preserve">Declaration of generative AI and AI-assisted technologies in the writing process</w:t>
      </w:r>
    </w:p>
    <w:p>
      <w:pPr>
        <w:pStyle w:val="FirstParagraph"/>
        <w:spacing w:line="480" w:lineRule="auto"/>
        <w:jc w:val="left"/>
      </w:pPr>
      <w:r>
        <w:t xml:space="preserve">During the preparation of this work the authors used Claude (Anthropic) in order to draft and edit the manuscript text</w:t>
      </w:r>
      <w:r>
        <w:t xml:space="preserve"> </w:t>
      </w:r>
      <w:r>
        <w:t xml:space="preserve">and to write analysis code. After using this tool, the authors reviewed and edited the content as needed and take full</w:t>
      </w:r>
      <w:r>
        <w:t xml:space="preserve"> </w:t>
      </w:r>
      <w:r>
        <w:t xml:space="preserve">responsibility for the content of the published article. [CHECK: the authors must confirm the extent of use]</w:t>
      </w:r>
    </w:p>
    <w:bookmarkEnd w:id="79"/>
    <w:bookmarkStart w:id="81" w:name="references"/>
    <w:p>
      <w:pPr>
        <w:pStyle w:val="Heading1"/>
        <w:spacing w:line="480" w:lineRule="auto"/>
        <w:jc w:val="left"/>
      </w:pPr>
      <w:r>
        <w:t xml:space="preserve">References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Ahmed MM, Adebayo UO, Othman ZK, et al. Artificial intelligence in neuro-oncology imaging: advancing brain tumor detection, grading, and treatment response evaluation.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2026;2(3):100071. doi:10.1016/j.intonc.2026.100071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Reina GA, Edwards B, Martin J, Bakas S. Multi-institutional deep learning modeling without sharing patient data: a feasibility study on brain tumor segmentation.</w:t>
      </w:r>
      <w:r>
        <w:t xml:space="preserve"> </w:t>
      </w:r>
      <w:r>
        <w:rPr>
          <w:iCs/>
          <w:i/>
        </w:rPr>
        <w:t xml:space="preserve">Brainlesion</w:t>
      </w:r>
      <w:r>
        <w:t xml:space="preserve">. 2019;11383:92-104. doi:10.1007/978-3-030-11723-8_9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Edwards B, Reina GA, et al. Federated learning in medicine: facilitating multi-institutional collaborations without sharing patient data.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2020;10(1):12598. doi:10.1038/s41598-020-69250-1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Baid U, Edwards B, et al. Federated learning enables big data for rare cancer boundary detection.</w:t>
      </w:r>
      <w:r>
        <w:t xml:space="preserve"> </w:t>
      </w:r>
      <w:r>
        <w:rPr>
          <w:iCs/>
          <w:i/>
        </w:rPr>
        <w:t xml:space="preserve">Nat Commun</w:t>
      </w:r>
      <w:r>
        <w:t xml:space="preserve">. 2022;13(1):7346. doi:10.1038/s41467-022-33407-5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Kumar S, Varma A, et al. Privacy preservation for federated learning in health care.</w:t>
      </w:r>
      <w:r>
        <w:t xml:space="preserve"> </w:t>
      </w:r>
      <w:r>
        <w:rPr>
          <w:iCs/>
          <w:i/>
        </w:rPr>
        <w:t xml:space="preserve">Patterns (N Y)</w:t>
      </w:r>
      <w:r>
        <w:t xml:space="preserve">. 2024;5(7):100974. doi:10.1016/j.patter.2024.100974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Knolle MA, Menten MJ, Jungmann F, et al. Disparate privacy risks from medical AI.</w:t>
      </w:r>
      <w:r>
        <w:t xml:space="preserve"> </w:t>
      </w:r>
      <w:r>
        <w:rPr>
          <w:iCs/>
          <w:i/>
        </w:rPr>
        <w:t xml:space="preserve">Nature</w:t>
      </w:r>
      <w:r>
        <w:t xml:space="preserve">. 2026;656(8126):192-198. doi:10.1038/s41586-026-10688-0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Abadi M, Chu A, Goodfellow I, et al. Deep learning with differential privacy. In:</w:t>
      </w:r>
      <w:r>
        <w:t xml:space="preserve"> </w:t>
      </w:r>
      <w:r>
        <w:rPr>
          <w:iCs/>
          <w:i/>
        </w:rPr>
        <w:t xml:space="preserve">Proceedings of the 2016 ACM SIGSAC Conference on Computer and Communications Security</w:t>
      </w:r>
      <w:r>
        <w:t xml:space="preserve">. ACM; 2016:308-318. doi:10.1145/2976749.2978318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Vangala BP, Guda S, Peddi L, Vangala N. Scores that hold, benchmarks that leak: measuring dataset contamination in public brain-tumor MRI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September 30, 2026. arXiv:2610.00421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Lakshmi Vasanthi K, Sree Darshne J, Venkatasubbu P, Ramasubramanian P. A federated multimodal deep learning framework for brain tumor classification using MRI.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2026;9:1754000. doi:10.3389/frai.2026.1754000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Qazi EUH, Al-Ghanem WK, Faheem MH, Ullah H. Federated learning framework for privacy-preserving explainable AI-driven clinical decision-making.</w:t>
      </w:r>
      <w:r>
        <w:t xml:space="preserve"> </w:t>
      </w:r>
      <w:r>
        <w:rPr>
          <w:iCs/>
          <w:i/>
        </w:rPr>
        <w:t xml:space="preserve">IEEE J Biomed Health Inform</w:t>
      </w:r>
      <w:r>
        <w:t xml:space="preserve">. Published online 2026. doi:10.1109/JBHI.2026.3679499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Gupta S, Gupta M, Kumar R, Abraham A. A federated learning and explainable AI framework for privacy-preserving brain tumor diagnosis using multi-institutional MRI data.</w:t>
      </w:r>
      <w:r>
        <w:t xml:space="preserve"> </w:t>
      </w:r>
      <w:r>
        <w:rPr>
          <w:iCs/>
          <w:i/>
        </w:rPr>
        <w:t xml:space="preserve">IEEE Access</w:t>
      </w:r>
      <w:r>
        <w:t xml:space="preserve">. 2026;14:22630-22643. doi:10.1109/ACCESS.2026.3660305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McMahan HB, Moore E, Ramage D, Hampson S, Agüera y Arcas B. Communication-efficient learning of deep networks from decentralized data. In:</w:t>
      </w:r>
      <w:r>
        <w:t xml:space="preserve"> </w:t>
      </w:r>
      <w:r>
        <w:rPr>
          <w:iCs/>
          <w:i/>
        </w:rPr>
        <w:t xml:space="preserve">Proceedings of the 20th International Conference on Artificial Intelligence and Statistics</w:t>
      </w:r>
      <w:r>
        <w:t xml:space="preserve">. PMLR; 2017;54:1273-1282.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Albalawi E, T R M, Thakur A, et al. Integrated approach of federated learning with transfer learning for classification and diagnosis of brain tumor.</w:t>
      </w:r>
      <w:r>
        <w:t xml:space="preserve"> </w:t>
      </w:r>
      <w:r>
        <w:rPr>
          <w:iCs/>
          <w:i/>
        </w:rPr>
        <w:t xml:space="preserve">BMC Med Imaging</w:t>
      </w:r>
      <w:r>
        <w:t xml:space="preserve">. 2024;24(1):110. doi:10.1186/s12880-024-01261-0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Mastoi QU, Latif S, Brohi S, et al. Explainable AI in medical imaging: an interpretable and collaborative federated learning model for brain tumor classification.</w:t>
      </w:r>
      <w:r>
        <w:t xml:space="preserve"> </w:t>
      </w:r>
      <w:r>
        <w:rPr>
          <w:iCs/>
          <w:i/>
        </w:rPr>
        <w:t xml:space="preserve">Front Oncol</w:t>
      </w:r>
      <w:r>
        <w:t xml:space="preserve">. 2025;15:1535478. doi:10.3389/fonc.2025.1535478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Muntaqim MDZ, Smrity TA. Federated learning framework for brain tumor detection using MRI images in non-IID data distributions.</w:t>
      </w:r>
      <w:r>
        <w:t xml:space="preserve"> </w:t>
      </w:r>
      <w:r>
        <w:rPr>
          <w:iCs/>
          <w:i/>
        </w:rPr>
        <w:t xml:space="preserve">J Imaging Inform Med</w:t>
      </w:r>
      <w:r>
        <w:t xml:space="preserve">. 2025;38(6):3909-3927. doi:10.1007/s10278-025-01484-9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Paul M, Tiwari A, Barmashe B, Rai K, Panwar VS. Federated MobileNetV2 with ensemble meta-learning for privacy-preserving brain tumor classification.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2026;16(1). doi:10.1038/s41598-026-55847-5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Usynin D, Braren R, Makowski M, Rueckert D, Kaissis G. Medical imaging deep learning with differential privacy.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2021;11(1):13524. doi:10.1038/s41598-021-93030-0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Mironov I. Rényi differential privacy. In:</w:t>
      </w:r>
      <w:r>
        <w:t xml:space="preserve"> </w:t>
      </w:r>
      <w:r>
        <w:rPr>
          <w:iCs/>
          <w:i/>
        </w:rPr>
        <w:t xml:space="preserve">Proceedings of the 30th IEEE Computer Security Foundations Symposium</w:t>
      </w:r>
      <w:r>
        <w:t xml:space="preserve">. IEEE; 2017:263-275. doi:10.1109/CSF.2017.11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Yousefpour A, Shilov I, Sablayrolles A, et al. Opacus: user-friendly differential privacy library in PyTorch.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2021. arXiv:2109.12298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Kaissis G, Ziller A, Passerat-Palmbach J, et al. End-to-end privacy preserving deep learning on multi-institutional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2021;3(6):473-484. doi:10.1038/s42256-021-00337-8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Adnan M, Kalra S, Cresswell JC, Taylor GW, Tizhoosh HR. Federated learning and differential privacy for medical image analysis.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2022;12(1):1953. doi:10.1038/s41598-022-05539-7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Tayebi Arasteh S, Ziller A, Kuhl C, et al. Preserving fairness and diagnostic accuracy in private large-scale AI models for medical imaging.</w:t>
      </w:r>
      <w:r>
        <w:t xml:space="preserve"> </w:t>
      </w:r>
      <w:r>
        <w:rPr>
          <w:iCs/>
          <w:i/>
        </w:rPr>
        <w:t xml:space="preserve">Commun Med (Lond)</w:t>
      </w:r>
      <w:r>
        <w:t xml:space="preserve">. 2024;4(1):46. doi:10.1038/s43856-024-00462-6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Mueller TT, Stieger S, et al. Reconciling privacy and accuracy in AI for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2024;6(7):764-774. doi:10.1038/s42256-024-00858-y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Carlini N, Chien S, Nasr M, Song S, Terzis A, Tramèr F. Membership inference attacks from first principles. In:</w:t>
      </w:r>
      <w:r>
        <w:t xml:space="preserve"> </w:t>
      </w:r>
      <w:r>
        <w:rPr>
          <w:iCs/>
          <w:i/>
        </w:rPr>
        <w:t xml:space="preserve">2022 IEEE Symposium on Security and Privacy</w:t>
      </w:r>
      <w:r>
        <w:t xml:space="preserve">. IEEE; 2022:1897-1914. doi:10.1109/SP46214.2022.9833649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Saifullah S, Mercier D, Lucieri A, Dengel A, Ahmed S. The privacy-explainability trade-off: unraveling the impacts of differential privacy and federated learning on attribution methods.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2024;7:1236947. doi:10.3389/frai.2024.1236947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Manna S, Sett N. Reconciling privacy and explainability in high-stakes: a systematic inquiry.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December 30, 2024. arXiv:2412.20798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Adebayo J, Gilmer J, Muelly M, Goodfellow I, Hardt M, Kim B. Sanity checks for saliency maps. In:</w:t>
      </w:r>
      <w:r>
        <w:t xml:space="preserve"> </w:t>
      </w:r>
      <w:r>
        <w:rPr>
          <w:iCs/>
          <w:i/>
        </w:rPr>
        <w:t xml:space="preserve">Advances in Neural Information Processing Systems 31</w:t>
      </w:r>
      <w:r>
        <w:t xml:space="preserve">. 2018. arXiv:1810.03292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J. Brain tumor dataset. figshare. Version 8. 2024. doi:10.6084/m9.figshare.1512427.v8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Bhuvaji S, Kadam A, Bhumkar P, Dedge S, Kanchan S. Brain tumor classification (MRI). Kaggle. Version 3. 2020. doi:10.34740/kaggle/dsv/1183165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Hamada A. Br35H :: Brain tumor detection 2020. Kaggle. Version 12. Accessed October 1, 2026.</w:t>
      </w:r>
      <w:r>
        <w:t xml:space="preserve"> </w:t>
      </w:r>
      <w:hyperlink r:id="rId80">
        <w:r>
          <w:rPr>
            <w:rStyle w:val="Hyperlink"/>
          </w:rPr>
          <w:t xml:space="preserve">https://www.kaggle.com/datasets/ahmedhamada0/brain-tumor-detection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J, Huang W, Cao S, et al. Enhanced performance of brain tumor classification via tumor region augmentation and partition.</w:t>
      </w:r>
      <w:r>
        <w:t xml:space="preserve"> </w:t>
      </w:r>
      <w:r>
        <w:rPr>
          <w:iCs/>
          <w:i/>
        </w:rPr>
        <w:t xml:space="preserve">PLoS One</w:t>
      </w:r>
      <w:r>
        <w:t xml:space="preserve">. 2015;10(10):e0140381. doi:10.1371/journal.pone.0140381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Papernot N, Steinke T. Hyperparameter tuning with Rényi differential privacy. In: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. 2022. arXiv:2110.03620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Li T, Sahu AK, Zaheer M, Sanjabi M, Talwalkar A, Smith V. Federated optimization in heterogeneous networks. In:</w:t>
      </w:r>
      <w:r>
        <w:t xml:space="preserve"> </w:t>
      </w:r>
      <w:r>
        <w:rPr>
          <w:iCs/>
          <w:i/>
        </w:rPr>
        <w:t xml:space="preserve">Proceedings of Machine Learning and Systems</w:t>
      </w:r>
      <w:r>
        <w:t xml:space="preserve">. 2020;2:429-450.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Karimireddy SP, Kale S, Mohri M, Reddi S, Stich S, Suresh AT. SCAFFOLD: stochastic controlled averaging for federated learning. In:</w:t>
      </w:r>
      <w:r>
        <w:t xml:space="preserve"> </w:t>
      </w:r>
      <w:r>
        <w:rPr>
          <w:iCs/>
          <w:i/>
        </w:rPr>
        <w:t xml:space="preserve">Proceedings of the 37th International Conference on Machine Learning</w:t>
      </w:r>
      <w:r>
        <w:t xml:space="preserve">. PMLR; 2020;119:5132-5143.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Selvaraju RR, Cogswell M, Das A, Vedantam R, Parikh D, Batra D. Grad-CAM: visual explanations from deep networks via gradient-based localization. In:</w:t>
      </w:r>
      <w:r>
        <w:t xml:space="preserve"> </w:t>
      </w:r>
      <w:r>
        <w:rPr>
          <w:iCs/>
          <w:i/>
        </w:rPr>
        <w:t xml:space="preserve">Proceedings of the IEEE International Conference on Computer Vision</w:t>
      </w:r>
      <w:r>
        <w:t xml:space="preserve">. IEEE; 2017:618-626. doi:10.1109/ICCV.2017.74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Chattopadhay A, Sarkar A, Howlader P, Balasubramanian VN. Grad-CAM++: generalized gradient-based visual explanations for deep convolutional networks. In:</w:t>
      </w:r>
      <w:r>
        <w:t xml:space="preserve"> </w:t>
      </w:r>
      <w:r>
        <w:rPr>
          <w:iCs/>
          <w:i/>
        </w:rPr>
        <w:t xml:space="preserve">2018 IEEE Winter Conference on Applications of Computer Vision</w:t>
      </w:r>
      <w:r>
        <w:t xml:space="preserve">. IEEE; 2018:839-847. doi:10.1109/WACV.2018.00097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Sundararajan M, Taly A, Yan Q. Axiomatic attribution for deep networks. In:</w:t>
      </w:r>
      <w:r>
        <w:t xml:space="preserve"> </w:t>
      </w:r>
      <w:r>
        <w:rPr>
          <w:iCs/>
          <w:i/>
        </w:rPr>
        <w:t xml:space="preserve">Proceedings of the 34th International Conference on Machine Learning</w:t>
      </w:r>
      <w:r>
        <w:t xml:space="preserve">. PMLR; 2017;70:3319-3328.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Petsiuk V, Das A, Saenko K. RISE: randomized input sampling for explanation of black-box models. In:</w:t>
      </w:r>
      <w:r>
        <w:t xml:space="preserve"> </w:t>
      </w:r>
      <w:r>
        <w:rPr>
          <w:iCs/>
          <w:i/>
        </w:rPr>
        <w:t xml:space="preserve">Proceedings of the British Machine Vision Conference</w:t>
      </w:r>
      <w:r>
        <w:t xml:space="preserve">. 2018. arXiv:1806.07421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Hsu TMH, Qi H, Brown M. Measuring the effects of non-identical data distribution for federated visual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2019. arXiv:1909.06335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He K, Zhang X, Ren S, Sun J. Deep residual learning for image recognition. In:</w:t>
      </w:r>
      <w:r>
        <w:t xml:space="preserve"> </w:t>
      </w:r>
      <w:r>
        <w:rPr>
          <w:iCs/>
          <w:i/>
        </w:rPr>
        <w:t xml:space="preserve">Proceedings of the IEEE Conference on Computer Vision and Pattern Recognition</w:t>
      </w:r>
      <w:r>
        <w:t xml:space="preserve">. IEEE; 2016:770-778. doi:10.1109/CVPR.2016.90</w:t>
      </w:r>
    </w:p>
    <w:bookmarkEnd w:id="81"/>
    <w:sectPr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Abbreviations.</w:t>
      </w:r>
      <w:r>
        <w:t xml:space="preserve"> </w:t>
      </w:r>
      <w:r>
        <w:t xml:space="preserve">AUC, area under the receiver operating characteristic curve. DP, differential privacy. DP-SGD, differentially</w:t>
      </w:r>
      <w:r>
        <w:t xml:space="preserve"> </w:t>
      </w:r>
      <w:r>
        <w:t xml:space="preserve">private stochastic gradient descent. FedAvg, federated averaging. FPR, false-positive rate. Grad-CAM,</w:t>
      </w:r>
      <w:r>
        <w:t xml:space="preserve"> </w:t>
      </w:r>
      <w:r>
        <w:t xml:space="preserve">gradient-weighted class activation mapping. IG, Integrated Gradients. IoU, intersection over union. LiRA,</w:t>
      </w:r>
      <w:r>
        <w:t xml:space="preserve"> </w:t>
      </w:r>
      <w:r>
        <w:t xml:space="preserve">likelihood-ratio attack. NCC, normalised cross-correlation. TPR, true-positive rate.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 w:cs="Times New Roman" w:eastAsia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42" Type="http://schemas.openxmlformats.org/officeDocument/2006/relationships/image" Target="media/rId42.png"/><Relationship Id="rId46" Type="http://schemas.openxmlformats.org/officeDocument/2006/relationships/image" Target="media/rId46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58" Type="http://schemas.openxmlformats.org/officeDocument/2006/relationships/image" Target="media/rId58.png"/><Relationship Id="rId76" Type="http://schemas.openxmlformats.org/officeDocument/2006/relationships/hyperlink" Target="https://github.com/shashiranjan-jnu/dpfl-braintumor" TargetMode="External"/><Relationship Id="rId80" Type="http://schemas.openxmlformats.org/officeDocument/2006/relationships/hyperlink" Target="https://www.kaggle.com/datasets/ahmedhamada0/brain-tumor-detection" TargetMode="External"/></Relationships>
</file>

<file path=word/_rels/footnotes.xml.rels><?xml version='1.0' encoding='UTF-8' standalone='yes'?>
<Relationships xmlns="http://schemas.openxmlformats.org/package/2006/relationships"><Relationship Id="rId76" Type="http://schemas.openxmlformats.org/officeDocument/2006/relationships/hyperlink" Target="https://github.com/shashiranjan-jnu/dpfl-braintumor" TargetMode="External"/><Relationship Id="rId80" Type="http://schemas.openxmlformats.org/officeDocument/2006/relationships/hyperlink" Target="https://www.kaggle.com/datasets/ahmedhamada0/brain-tumor-dete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Patient-level differential privacy, membership leakage and explanation fidelity in federated brain tumour MRI classification</dc:title>
  <dc:creator/>
  <cp:keywords/>
  <dcterms:created xsi:type="dcterms:W3CDTF">2026-10-21T15:52:36Z</dcterms:created>
  <dcterms:modified xsi:type="dcterms:W3CDTF">2026-10-21T15:52:36Z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