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Telephone [CHECK: number with country and area code].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 merged collections contain duplicates, and privacy</w:t>
      </w:r>
      <w:r>
        <w:t xml:space="preserve"> </w:t>
      </w:r>
      <w:r>
        <w:t xml:space="preserve">claims rarely state an accounted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per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images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record-level and patient-level DP stochastic gradient</w:t>
      </w:r>
      <w:r>
        <w:t xml:space="preserve"> </w:t>
      </w:r>
      <w:r>
        <w:t xml:space="preserve">descent with Rényi accounting 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 and five seeds. Leakage was audited with a likelihood-ratio attack (LiRA,</w:t>
      </w:r>
      <w:r>
        <w:t xml:space="preserve"> </w:t>
      </w:r>
      <w:r>
        <w:t xml:space="preserve">16 shadow models),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On 747 clean test images,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Without DP, LiRA</w:t>
      </w:r>
      <w:r>
        <w:t xml:space="preserve"> </w:t>
      </w:r>
      <w:r>
        <w:t xml:space="preserve">found 10.8% of training images at a 1% false-positive rate and separated training from test patients with an area</w:t>
      </w:r>
      <w:r>
        <w:t xml:space="preserve"> </w:t>
      </w:r>
      <w:r>
        <w:t xml:space="preserve">under the curve (AUC) of 0.805, whereas DP kept the attack at chance. Unclipped weight noise at matched utility still</w:t>
      </w:r>
      <w:r>
        <w:t xml:space="preserve"> </w:t>
      </w:r>
      <w:r>
        <w:t xml:space="preserve">exposed patients (AUC 0.745). Grad-CAM consistency across seeds fell from 0.700 to 0.235, tracking accuracy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leakage at a balanced-accuracy</w:t>
      </w:r>
      <w:r>
        <w:t xml:space="preserve"> </w:t>
      </w:r>
      <w:r>
        <w:t xml:space="preserve">cost of 0.076 (federated) to 0.130 (central), whereas per-patient guarantees cost far more at this scale. Costs</w:t>
      </w:r>
      <w:r>
        <w:t xml:space="preserve"> </w:t>
      </w:r>
      <w:r>
        <w:t xml:space="preserve">in real hospital consortia remain untested, because clients were simulated from public data.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its clinical value depends on training data drawn from many hospitals.</w:t>
      </w:r>
      <w:r>
        <w:rPr>
          <w:vertAlign w:val="superscript"/>
        </w:rPr>
        <w:t xml:space="preserve">1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2-4</w:t>
      </w:r>
    </w:p>
    <w:p>
      <w:pPr>
        <w:pStyle w:val="BodyText"/>
        <w:spacing w:line="480" w:lineRule="auto"/>
        <w:jc w:val="left"/>
      </w:pPr>
      <w:r>
        <w:t xml:space="preserve">Sharing model updates is not the same as protecting patients, because updates and released models can reveal</w:t>
      </w:r>
      <w:r>
        <w:t xml:space="preserve"> </w:t>
      </w:r>
      <w:r>
        <w:t xml:space="preserve">whether a person contributed data.</w:t>
      </w:r>
      <w:r>
        <w:rPr>
          <w:vertAlign w:val="superscript"/>
        </w:rPr>
        <w:t xml:space="preserve">5,6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7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privacy mechanism, its budget and the protected unit are also often not reported in a</w:t>
      </w:r>
      <w:r>
        <w:t xml:space="preserve"> </w:t>
      </w:r>
      <w:r>
        <w:t xml:space="preserve">form that can be checked.</w:t>
      </w:r>
      <w:r>
        <w:rPr>
          <w:vertAlign w:val="superscript"/>
        </w:rPr>
        <w:t xml:space="preserve">9-11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2-4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17-19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20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23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28-30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without DP, stayed at chance under every DP setting, and still detected patients under an unclipped</w:t>
      </w:r>
      <w:r>
        <w:t xml:space="preserve"> </w:t>
      </w:r>
      <w:r>
        <w:t xml:space="preserve">weight-noise mechanism of matched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, and the noise multiplier added no</w:t>
      </w:r>
      <w:r>
        <w:t xml:space="preserve"> </w:t>
      </w:r>
      <w:r>
        <w:t xml:space="preserve">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study pursues three goals, namely the accuracy</w:t>
      </w:r>
      <w:r>
        <w:t xml:space="preserve"> </w:t>
      </w:r>
      <w:r>
        <w:t xml:space="preserve">cost of each 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learning-rate search adds a privacy cost that is reported but not calibrated.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6403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4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 of three public collections. (b) Federated training with local DP-SGD at</w:t>
      </w:r>
      <w:r>
        <w:t xml:space="preserve"> </w:t>
      </w:r>
      <w:r>
        <w:t xml:space="preserve">image or patient level and size-weighted FedAvg. (c) Membership inference audit with LiRA. (d) Explanation audit.</w:t>
      </w:r>
      <w:r>
        <w:t xml:space="preserve"> </w:t>
      </w:r>
      <w:r>
        <w:t xml:space="preserve">Alg., algorithm. NCC, normalised cross-correlation. TPR and FPR, true-positive and false-positive rate.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28,31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30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7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18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19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32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33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34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24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35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36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37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38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with the five seeds of one configuration in place of</w:t>
      </w:r>
      <w:r>
        <w:t xml:space="preserve"> </w:t>
      </w:r>
      <w:r>
        <w:t xml:space="preserve">clients. It is the IoU between the top 10% of pixels of each 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</w:t>
      </w:r>
      <w:r>
        <w:t xml:space="preserve"> </w:t>
      </w:r>
      <w:r>
        <w:t xml:space="preserve">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39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 through curation and splitting.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 through curation and splitting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40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about 59 GPU hours [CHECK: the lab notebook gives 52 hours to the end of Phase 3 and</w:t>
      </w:r>
      <w:r>
        <w:t xml:space="preserve"> </w:t>
      </w:r>
      <w:r>
        <w:t xml:space="preserve">1.7, 4.7 and 0.3 hours for the audit runs, 58.7 hours in all].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Metrics are reported to three</w:t>
      </w:r>
      <w:r>
        <w:t xml:space="preserve"> </w:t>
      </w:r>
      <w:r>
        <w:t xml:space="preserve">decimal places and</w:t>
      </w:r>
      <w:r>
        <w:t xml:space="preserve"> </w:t>
      </w:r>
      <m:oMath>
        <m:r>
          <m:t>p</m:t>
        </m:r>
      </m:oMath>
      <w:r>
        <w:t xml:space="preserve">-values to three 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These methods produced the measurements</w:t>
      </w:r>
      <w:r>
        <w:t xml:space="preserve"> </w:t>
      </w:r>
      <w:r>
        <w:t xml:space="preserve">reported next, starting with the benchmark itself.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Balanced accuracy on the clean test set (747 images), mean over five seeds with 95% confidence interval.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Balanced accuracy on the clean test set (747 images), mean over five seeds with 95% confidence interv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Privacy and utility. Balanced accuracy on 747 clean test images against the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 for central training at two privacy units and for FedAvg on two partitions. Points are means over</w:t>
      </w:r>
      <w:r>
        <w:t xml:space="preserve"> </w:t>
      </w:r>
      <w:r>
        <w:t xml:space="preserve">five seeds and error bars 95%</w:t>
      </w:r>
      <w:r>
        <w:t xml:space="preserve"> </w:t>
      </w:r>
      <m:oMath>
        <m:r>
          <m:t>t</m:t>
        </m:r>
      </m:oMath>
      <w:r>
        <w:t xml:space="preserve">-intervals. The diamond marks unclipped weight noise (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), which has no formal</w:t>
      </w:r>
      <w:r>
        <w:t xml:space="preserve"> </w:t>
      </w:r>
      <m:oMath>
        <m:r>
          <m:t>ε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is correspondingly weak per patient, because a Figshare patient contributes a median of</w:t>
      </w:r>
      <w:r>
        <w:t xml:space="preserve"> </w:t>
      </w:r>
      <w:r>
        <w:t xml:space="preserve">13 slices and group privacy bounds that patient’s privacy loss only at about 13 times the per-image budget.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clients, 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Client count under DP. Clean balanced accuracy of FedAvg on Dirichlet 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) partitions of the same</w:t>
      </w:r>
      <w:r>
        <w:t xml:space="preserve"> </w:t>
      </w:r>
      <w:r>
        <w:t xml:space="preserve">2610 images into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, 5, 10 and 15 clients, against the aggregated noise standard deviation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Eq. (4). Error bars are 95%</w:t>
      </w:r>
      <w:r>
        <w:t xml:space="preserve"> </w:t>
      </w:r>
      <m:oMath>
        <m:r>
          <m:t>t</m:t>
        </m:r>
      </m:oMath>
      <w:r>
        <w:t xml:space="preserve">-intervals over five seeds, and the dashed series uses learning rate</w:t>
      </w:r>
      <w:r>
        <w:t xml:space="preserve"> </w:t>
      </w:r>
      <w:r>
        <w:t xml:space="preserve">0.003.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4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and summed over slices it</w:t>
      </w:r>
      <w:r>
        <w:t xml:space="preserve"> </w:t>
      </w:r>
      <w:r>
        <w:t xml:space="preserve">separated training from test patients with AUC 0.805.</w:t>
      </w:r>
    </w:p>
    <w:p>
      <w:pPr>
        <w:pStyle w:val="TableCaption"/>
        <w:jc w:val="left"/>
      </w:pPr>
      <w:r>
        <w:t xml:space="preserve">Table 4. Online LiRA against FedAvg on the natural partition, mean over five target models with 95% confidence</w:t>
      </w:r>
      <w:r>
        <w:t xml:space="preserve"> </w:t>
      </w:r>
      <w:r>
        <w:t xml:space="preserve">interval.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Online LiRA against FedAvg on the natural partition, mean over five target models with 95% confidence interv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every DP setting the TPR at 1% FPR stayed between 0.010 and 0.017, the level of a random guess. Average-case AUC</w:t>
      </w:r>
      <w:r>
        <w:t xml:space="preserve"> </w:t>
      </w:r>
      <w:r>
        <w:t xml:space="preserve">under DP moved slightly away from 0.5 in both directions, which likely reflects the smaller training sets of the shadow</w:t>
      </w:r>
      <w:r>
        <w:t xml:space="preserve"> </w:t>
      </w:r>
      <w:r>
        <w:t xml:space="preserve">models, since the low-FPR tail stayed at chance.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Membership inference. Online LiRA receiver operating characteristic curves on logarithmic axes against FedAvg</w:t>
      </w:r>
      <w:r>
        <w:t xml:space="preserve"> </w:t>
      </w:r>
      <w:r>
        <w:t xml:space="preserve">on the natural partition, each the mean over five target models with 16 shadow models per configuration. (a) Image</w:t>
      </w:r>
      <w:r>
        <w:t xml:space="preserve"> </w:t>
      </w:r>
      <w:r>
        <w:t xml:space="preserve">level. (b) Figshare patient level. Shaded regions lie below the FPR resolution of the test set.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</w:t>
      </w:r>
      <w:r>
        <w:t xml:space="preserve"> </w:t>
      </w:r>
      <w:r>
        <w:t xml:space="preserve">found 4.5% of training images at 1% FPR and separated 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(0.01758),</w:t>
      </w:r>
      <w:r>
        <w:t xml:space="preserve"> </w:t>
      </w:r>
      <w:r>
        <w:t xml:space="preserve">so these values remain above chance but far from precise localisation.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Explanations under privacy. (a) Cross-seed Grad-CAM consistency, the IoU of the top 10% of each model’s map</w:t>
      </w:r>
      <w:r>
        <w:t xml:space="preserve"> </w:t>
      </w:r>
      <w:r>
        <w:t xml:space="preserve">with that of the five-seed mean map,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with 95%</w:t>
      </w:r>
      <w:r>
        <w:t xml:space="preserve"> </w:t>
      </w:r>
      <m:oMath>
        <m:r>
          <m:t>t</m:t>
        </m:r>
      </m:oMath>
      <w:r>
        <w:t xml:space="preserve">-intervals. (b) Consistency</w:t>
      </w:r>
      <w:r>
        <w:t xml:space="preserve"> </w:t>
      </w:r>
      <w:r>
        <w:t xml:space="preserve">against clean balanced accuracy for 115 models.</w:t>
      </w:r>
    </w:p>
    <w:p>
      <w:pPr>
        <w:pStyle w:val="BodyText"/>
        <w:spacing w:line="480" w:lineRule="auto"/>
        <w:jc w:val="left"/>
      </w:pPr>
      <w:r>
        <w:t xml:space="preserve">Across 115 explained models, consistency correlated with clean balanced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(Fig. 5b),</w:t>
      </w:r>
      <w:r>
        <w:t xml:space="preserve"> </w:t>
      </w:r>
      <w:r>
        <w:t xml:space="preserve">and across 111 models with correctly classified masked images, top-15% IoU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. With</w:t>
      </w:r>
      <w:r>
        <w:t xml:space="preserve"> </w:t>
      </w:r>
      <w:r>
        <w:t xml:space="preserve">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 IoU (</w:t>
      </w:r>
      <m:oMath>
        <m:r>
          <m:t>p</m:t>
        </m:r>
        <m:r>
          <m:rPr>
            <m:sty m:val="p"/>
          </m:rPr>
          <m:t>=</m:t>
        </m:r>
        <m:r>
          <m:t>0.834</m:t>
        </m:r>
      </m:oMath>
      <w:r>
        <w:t xml:space="preserve">) or consistency (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,</w:t>
      </w:r>
      <w:r>
        <w:t xml:space="preserve"> </w:t>
      </w:r>
      <w:r>
        <w:t xml:space="preserve">Supplementary Table S19). Fig. 6 illustrates the pattern on one image per tumour class.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examples. One clean Figshare test image per tumour class, chosen by a fixed rule (mask area closest to</w:t>
      </w:r>
      <w:r>
        <w:t xml:space="preserve"> </w:t>
      </w:r>
      <w:r>
        <w:t xml:space="preserve">the class median among images the non-private model classifies correctly), with the expert mask outline in cyan and the</w:t>
      </w:r>
      <w:r>
        <w:t xml:space="preserve"> </w:t>
      </w:r>
      <w:r>
        <w:t xml:space="preserve">Grad-CAM maps of central seed-1 models. Labels give each model’s prediction, in red when wrong.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passed,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 0.388, so its numbers are the ones</w:t>
      </w:r>
      <w:r>
        <w:t xml:space="preserve"> </w:t>
      </w:r>
      <w:r>
        <w:t xml:space="preserve">interpreted here.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 These measurements raise the question</w:t>
      </w:r>
      <w:r>
        <w:t xml:space="preserve"> </w:t>
      </w:r>
      <w:r>
        <w:t xml:space="preserve">of what the privacy budget actually buys, which Section 4 addresses.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agree. Without DP, a federated model trained on 2610 images leaked enough for LiRA to flag</w:t>
      </w:r>
      <w:r>
        <w:t xml:space="preserve"> </w:t>
      </w:r>
      <w:r>
        <w:t xml:space="preserve">one training image in ten at 1% FPR, and aggregating over slices made the patient-level signal stronger still (AUC</w:t>
      </w:r>
      <w:r>
        <w:t xml:space="preserve"> </w:t>
      </w:r>
      <w:r>
        <w:t xml:space="preserve">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every measurable signal at a cost of 0.076 for FedAvg on the natural</w:t>
      </w:r>
      <w:r>
        <w:t xml:space="preserve"> </w:t>
      </w:r>
      <w:r>
        <w:t xml:space="preserve">partition and 0.130 centrally. The result agrees with reports that moderate budgets defeat practical</w:t>
      </w:r>
      <w:r>
        <w:t xml:space="preserve"> </w:t>
      </w:r>
      <w:r>
        <w:t xml:space="preserve">attacks,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although an attack that fails does not prove that no stronger attack exists.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destroys the model.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11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Eq. (4) accounts for the trend, because each</w:t>
      </w:r>
      <w:r>
        <w:t xml:space="preserve"> </w:t>
      </w:r>
      <w:r>
        <w:t xml:space="preserve">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for IoU),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A private model’s explanations</w:t>
      </w:r>
      <w:r>
        <w:t xml:space="preserve"> </w:t>
      </w:r>
      <w:r>
        <w:t xml:space="preserve">therefore appear about as trustworthy as its predictions, and the small change under clipping alone (0.700 to 0.663)</w:t>
      </w:r>
      <w:r>
        <w:t xml:space="preserve"> </w:t>
      </w:r>
      <w:r>
        <w:t xml:space="preserve">indicates that noise acts through the accuracy it costs.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reflects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</w:t>
      </w:r>
      <w:r>
        <w:t xml:space="preserve"> </w:t>
      </w:r>
      <w:r>
        <w:t xml:space="preserve">the last ResNet block at 128-pixel input.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27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8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All models are two-dimensional ResNet-18 classifiers on axial slices from three public sources, and</w:t>
      </w:r>
      <w:r>
        <w:t xml:space="preserve"> </w:t>
      </w:r>
      <w:r>
        <w:t xml:space="preserve">the federated partitions were simulated, not drawn from real institutions. Learning rates were chosen on private</w:t>
      </w:r>
      <w:r>
        <w:t xml:space="preserve"> </w:t>
      </w:r>
      <w:r>
        <w:t xml:space="preserve">validation data, and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reported but was not used for calibration.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held a likelihood-ratio</w:t>
      </w:r>
      <w:r>
        <w:t xml:space="preserve"> </w:t>
      </w:r>
      <w:r>
        <w:t xml:space="preserve">membership attack at chance for both images and patients, while the same attack exposed non-private models. The price</w:t>
      </w:r>
      <w:r>
        <w:t xml:space="preserve"> </w:t>
      </w:r>
      <w:r>
        <w:t xml:space="preserve">was a balanced-accuracy loss of 0.076 for federated and 0.130 for central training.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and study larger patient cohorts in which per-patient guarantees become</w:t>
      </w:r>
      <w:r>
        <w:t xml:space="preserve"> </w:t>
      </w:r>
      <w:r>
        <w:t xml:space="preserve">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 [CHECK: roles proposed from the author list, to be confirmed by the authors]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 [CHECK: confirm the waiver with the</w:t>
      </w:r>
      <w:r>
        <w:t xml:space="preserve"> </w:t>
      </w:r>
      <w:r>
        <w:t xml:space="preserve">institutional ethics committee]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7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28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30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figure data and code are available at</w:t>
      </w:r>
      <w:r>
        <w:t xml:space="preserve"> </w:t>
      </w:r>
      <w:hyperlink r:id="rId76">
        <w:r>
          <w:rPr>
            <w:rStyle w:val="Hyperlink"/>
          </w:rPr>
          <w:t xml:space="preserve">https://github.com/shashiranjan-jnu/dpfl-braintumor</w:t>
        </w:r>
      </w:hyperlink>
      <w:r>
        <w:t xml:space="preserve"> </w:t>
      </w:r>
      <w:r>
        <w:t xml:space="preserve">under tag v0.9.1-results-frozen. [CHECK: make the repository</w:t>
      </w:r>
      <w:r>
        <w:t xml:space="preserve"> </w:t>
      </w:r>
      <w:r>
        <w:t xml:space="preserve">public and add the archive DOI before submission]</w:t>
      </w:r>
    </w:p>
    <w:bookmarkEnd w:id="77"/>
    <w:bookmarkStart w:id="78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 [CHECK: add any further acknowledgements]</w:t>
      </w:r>
    </w:p>
    <w:bookmarkEnd w:id="78"/>
    <w:bookmarkStart w:id="79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 [CHECK: the authors must confirm the extent of use]</w:t>
      </w:r>
    </w:p>
    <w:bookmarkEnd w:id="79"/>
    <w:bookmarkStart w:id="81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 doi:10.1016/j.intonc.2026.100071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 doi:10.1016/j.patter.2024.100974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 doi:10.1038/s41598-021-93030-0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 doi:10.1038/s41598-022-05539-7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 doi:10.1038/s43856-024-00462-6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 doi:10.6084/m9.figshare.1512427.v8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 doi:10.34740/kaggle/dsv/1183165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80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bookmarkEnd w:id="81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2026-10-21T15:53:30Z</dcterms:created>
  <dcterms:modified xsi:type="dcterms:W3CDTF">2026-10-21T15:53:30Z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