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</w:t>
      </w:r>
      <w:r>
        <w:t xml:space="preserve"> </w:t>
      </w:r>
      <w:hyperlink r:id="rId20">
        <w:r>
          <w:rPr>
            <w:rStyle w:val="Hyperlink"/>
          </w:rPr>
          <w:t xml:space="preserve">doi:10.1016/j.intonc.2026.100071</w:t>
        </w:r>
      </w:hyperlink>
      <w:r>
        <w:t xml:space="preserve">), and Jung et al. applied deep learning to small</w:t>
      </w:r>
      <w:r>
        <w:t xml:space="preserve"> </w:t>
      </w:r>
      <w:r>
        <w:t xml:space="preserve">brain metastases (Intell Oncol 2026;2(2):100049,</w:t>
      </w:r>
      <w:r>
        <w:t xml:space="preserve"> </w:t>
      </w:r>
      <w:hyperlink r:id="rId21">
        <w:r>
          <w:rPr>
            <w:rStyle w:val="Hyperlink"/>
          </w:rPr>
          <w:t xml:space="preserve">doi:10.1016/j.intonc.2026.100049</w:t>
        </w:r>
      </w:hyperlink>
      <w:r>
        <w:t xml:space="preserve">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hyperlink r:id="rId22">
        <w:r>
          <w:rPr>
            <w:rStyle w:val="Hyperlink"/>
          </w:rPr>
          <w:t xml:space="preserve">doi:10.1016/j.intonc.2026.100083</w:t>
        </w:r>
      </w:hyperlink>
      <w:r>
        <w:t xml:space="preserve">), and Cai discussed transparency and privacy preservation in medical artificial</w:t>
      </w:r>
      <w:r>
        <w:t xml:space="preserve"> </w:t>
      </w:r>
      <w:r>
        <w:t xml:space="preserve">intelligence (Intell Oncol 2025;1(2):172-175,</w:t>
      </w:r>
      <w:r>
        <w:t xml:space="preserve"> </w:t>
      </w:r>
      <w:hyperlink r:id="rId23">
        <w:r>
          <w:rPr>
            <w:rStyle w:val="Hyperlink"/>
          </w:rPr>
          <w:t xml:space="preserve">doi:10.1016/j.intonc.2025.03.006</w:t>
        </w:r>
      </w:hyperlink>
      <w:r>
        <w:t xml:space="preserve">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4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</w:t>
      </w:r>
      <w:r>
        <w:t xml:space="preserve"> </w:t>
      </w:r>
      <w:hyperlink r:id="rId25">
        <w:r>
          <w:rPr>
            <w:rStyle w:val="Hyperlink"/>
          </w:rPr>
          <w:t xml:space="preserve">doi:10.5281/zenodo.23601090</w:t>
        </w:r>
      </w:hyperlink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2026-10-28T11:42:48Z</dcterms:created>
  <dcterms:modified xsi:type="dcterms:W3CDTF">2026-10-28T11:42:48Z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