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Highlights</w:t>
      </w:r>
    </w:p>
    <w:p>
      <w:pPr>
        <w:pStyle w:val="BodyText"/>
      </w:pPr>
      <w:r>
        <w:t xml:space="preserve">• Mirrored near-duplicates contaminated 66 of 813 test images of a public MRI benchmark</w:t>
      </w:r>
      <w:r>
        <w:t xml:space="preserve"> </w:t>
      </w:r>
      <w:r>
        <w:t xml:space="preserve">• Federated DP at ε = 8 held matched LiRA at chance for 0.076 balanced-accuracy cost</w:t>
      </w:r>
      <w:r>
        <w:t xml:space="preserve"> </w:t>
      </w:r>
      <w:r>
        <w:t xml:space="preserve">• Patient-level DP needed ε = 64 to exceed the accuracy of record-level ε = 8</w:t>
      </w:r>
      <w:r>
        <w:t xml:space="preserve"> </w:t>
      </w:r>
      <w:r>
        <w:t xml:space="preserve">• Unclipped weight noise with higher utility still exposed training patients</w:t>
      </w:r>
      <w:r>
        <w:t xml:space="preserve"> </w:t>
      </w:r>
      <w:r>
        <w:t xml:space="preserve">• Grad-CAM quality under DP followed accuracy, not the noise level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2026-10-28T11:42:48Z</dcterms:created>
  <dcterms:modified xsi:type="dcterms:W3CDTF">2026-10-28T11:42:48Z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