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School of Computer and Systems Sciences</w:t>
      </w:r>
      <w:r>
        <w:br/>
      </w:r>
      <w:r>
        <w:t xml:space="preserve">Jawaharlal Nehru University, New Delhi 110067, India</w:t>
      </w:r>
      <w:r>
        <w:br/>
      </w:r>
      <w:r>
        <w:t xml:space="preserve">23 October 2026</w:t>
      </w:r>
    </w:p>
    <w:p>
      <w:pPr>
        <w:pStyle w:val="BodyText"/>
      </w:pPr>
      <w:r>
        <w:t xml:space="preserve">The Editors</w:t>
      </w:r>
      <w:r>
        <w:br/>
      </w:r>
      <w:r>
        <w:rPr>
          <w:iCs/>
          <w:i/>
        </w:rPr>
        <w:t xml:space="preserve">Intelligent Oncology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The authors submit the manuscript</w:t>
      </w:r>
      <w:r>
        <w:t xml:space="preserve"> </w:t>
      </w:r>
      <w:r>
        <w:t xml:space="preserve">“</w:t>
      </w:r>
      <w:r>
        <w:t xml:space="preserve">Patient-level differential privacy, membership leakage and explanation fidelity in</w:t>
      </w:r>
      <w:r>
        <w:t xml:space="preserve"> </w:t>
      </w:r>
      <w:r>
        <w:t xml:space="preserve">federated brain tumour MRI classification</w:t>
      </w:r>
      <w:r>
        <w:t xml:space="preserve">”</w:t>
      </w:r>
      <w:r>
        <w:t xml:space="preserve"> </w:t>
      </w:r>
      <w:r>
        <w:t xml:space="preserve">for consideration as a full-length research article.</w:t>
      </w:r>
    </w:p>
    <w:p>
      <w:pPr>
        <w:pStyle w:val="BodyText"/>
      </w:pPr>
      <w:r>
        <w:t xml:space="preserve">Multi-hospital artificial intelligence for neuro-oncology needs formal privacy guarantees, yet published federated</w:t>
      </w:r>
      <w:r>
        <w:t xml:space="preserve"> </w:t>
      </w:r>
      <w:r>
        <w:t xml:space="preserve">brain tumour classifiers rarely state an accounted budget or the protected unit, and their public benchmarks overlap.</w:t>
      </w:r>
      <w:r>
        <w:t xml:space="preserve"> </w:t>
      </w:r>
      <w:r>
        <w:t xml:space="preserve">The manuscript measures what accounted differential privacy costs and what it protects. On a deduplicated</w:t>
      </w:r>
      <w:r>
        <w:t xml:space="preserve"> </w:t>
      </w:r>
      <w:r>
        <w:t xml:space="preserve">three-source benchmark, a mirror-aware check found 66 test images with near-copies in other splits that perceptual</w:t>
      </w:r>
      <w:r>
        <w:t xml:space="preserve"> </w:t>
      </w:r>
      <w:r>
        <w:t xml:space="preserve">hashing had missed. Record-level differential privacy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cost 0.076 in balanced accuracy for federated</w:t>
      </w:r>
      <w:r>
        <w:t xml:space="preserve"> </w:t>
      </w:r>
      <w:r>
        <w:t xml:space="preserve">and 0.130 for central training, mainly through meningioma and no-tumour sensitivity, whereas a per-patient guarantee</w:t>
      </w:r>
      <w:r>
        <w:t xml:space="preserve"> </w:t>
      </w:r>
      <w:r>
        <w:t xml:space="preserve">needed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64</m:t>
        </m:r>
      </m:oMath>
      <w:r>
        <w:t xml:space="preserve">. With non-members matched to members by source and class, a likelihood-ratio membership attack</w:t>
      </w:r>
      <w:r>
        <w:t xml:space="preserve"> </w:t>
      </w:r>
      <w:r>
        <w:t xml:space="preserve">found 11.1% of training images at a 1% false-positive rate without privacy and 1.0% to 1.5% under record-level</w:t>
      </w:r>
      <w:r>
        <w:t xml:space="preserve"> </w:t>
      </w:r>
      <w:r>
        <w:t xml:space="preserve">privacy, not significantly above chance. An unclipped noise mechanism used in prior work still exposed training</w:t>
      </w:r>
      <w:r>
        <w:t xml:space="preserve"> </w:t>
      </w:r>
      <w:r>
        <w:t xml:space="preserve">patients (area under the curve 0.745). Grad-CAM localisation and cross-seed consistency declined in step with accuracy.</w:t>
      </w:r>
    </w:p>
    <w:p>
      <w:pPr>
        <w:pStyle w:val="BodyText"/>
      </w:pPr>
      <w:r>
        <w:t xml:space="preserve">The work fits the journal’s scope in artificial intelligence for oncology imaging and builds on themes the journal has</w:t>
      </w:r>
      <w:r>
        <w:t xml:space="preserve"> </w:t>
      </w:r>
      <w:r>
        <w:t xml:space="preserve">published. Ahmed et al. reviewed artificial intelligence for brain tumour detection, grading and response evaluation</w:t>
      </w:r>
      <w:r>
        <w:t xml:space="preserve"> </w:t>
      </w:r>
      <w:r>
        <w:t xml:space="preserve">(Intell Oncol 2026;2(3):100071,</w:t>
      </w:r>
      <w:r>
        <w:t xml:space="preserve"> </w:t>
      </w:r>
      <w:hyperlink r:id="rId20">
        <w:r>
          <w:rPr>
            <w:rStyle w:val="Hyperlink"/>
          </w:rPr>
          <w:t xml:space="preserve">doi:10.1016/j.intonc.2026.100071</w:t>
        </w:r>
      </w:hyperlink>
      <w:r>
        <w:t xml:space="preserve">), and Jung et al. applied deep learning to small</w:t>
      </w:r>
      <w:r>
        <w:t xml:space="preserve"> </w:t>
      </w:r>
      <w:r>
        <w:t xml:space="preserve">brain metastases (Intell Oncol 2026;2(2):100049,</w:t>
      </w:r>
      <w:r>
        <w:t xml:space="preserve"> </w:t>
      </w:r>
      <w:hyperlink r:id="rId21">
        <w:r>
          <w:rPr>
            <w:rStyle w:val="Hyperlink"/>
          </w:rPr>
          <w:t xml:space="preserve">doi:10.1016/j.intonc.2026.100049</w:t>
        </w:r>
      </w:hyperlink>
      <w:r>
        <w:t xml:space="preserve">). Li et al. reviewed</w:t>
      </w:r>
      <w:r>
        <w:t xml:space="preserve"> </w:t>
      </w:r>
      <w:r>
        <w:t xml:space="preserve">cryptographic privacy-preserving medical image processing (Intell Oncol 2026;2(4):100083,</w:t>
      </w:r>
      <w:r>
        <w:t xml:space="preserve"> </w:t>
      </w:r>
      <w:hyperlink r:id="rId22">
        <w:r>
          <w:rPr>
            <w:rStyle w:val="Hyperlink"/>
          </w:rPr>
          <w:t xml:space="preserve">doi:10.1016/j.intonc.2026.100083</w:t>
        </w:r>
      </w:hyperlink>
      <w:r>
        <w:t xml:space="preserve">), and Cai discussed transparency and privacy preservation in medical artificial</w:t>
      </w:r>
      <w:r>
        <w:t xml:space="preserve"> </w:t>
      </w:r>
      <w:r>
        <w:t xml:space="preserve">intelligence (Intell Oncol 2025;1(2):172-175,</w:t>
      </w:r>
      <w:r>
        <w:t xml:space="preserve"> </w:t>
      </w:r>
      <w:hyperlink r:id="rId23">
        <w:r>
          <w:rPr>
            <w:rStyle w:val="Hyperlink"/>
          </w:rPr>
          <w:t xml:space="preserve">doi:10.1016/j.intonc.2025.03.006</w:t>
        </w:r>
      </w:hyperlink>
      <w:r>
        <w:t xml:space="preserve">). The manuscript complements these</w:t>
      </w:r>
      <w:r>
        <w:t xml:space="preserve"> </w:t>
      </w:r>
      <w:r>
        <w:t xml:space="preserve">papers with a measured privacy, utility and explanation audit for federated neuro-oncology models.</w:t>
      </w:r>
    </w:p>
    <w:p>
      <w:pPr>
        <w:pStyle w:val="BodyText"/>
      </w:pPr>
      <w:r>
        <w:t xml:space="preserve">The manuscript is original, has not been published, and is not under consideration elsewhere. All authors approved</w:t>
      </w:r>
      <w:r>
        <w:t xml:space="preserve"> </w:t>
      </w:r>
      <w:r>
        <w:t xml:space="preserve">the submission. The authors declare no competing interests, and the work received no specific funding. The study used</w:t>
      </w:r>
      <w:r>
        <w:t xml:space="preserve"> </w:t>
      </w:r>
      <w:r>
        <w:t xml:space="preserve">only public, de-identified images. Code, frozen results and figure data are available at</w:t>
      </w:r>
      <w:r>
        <w:t xml:space="preserve"> </w:t>
      </w:r>
      <w:hyperlink r:id="rId24">
        <w:r>
          <w:rPr>
            <w:rStyle w:val="Hyperlink"/>
          </w:rPr>
          <w:t xml:space="preserve">https://github.com/shashiranjan-jnu/dpfl-braintumor</w:t>
        </w:r>
      </w:hyperlink>
      <w:r>
        <w:t xml:space="preserve">, archived on Zenodo under</w:t>
      </w:r>
      <w:r>
        <w:t xml:space="preserve"> </w:t>
      </w:r>
      <w:hyperlink r:id="rId25">
        <w:r>
          <w:rPr>
            <w:rStyle w:val="Hyperlink"/>
          </w:rPr>
          <w:t xml:space="preserve">doi:10.5281/zenodo.23601090</w:t>
        </w:r>
      </w:hyperlink>
      <w:r>
        <w:t xml:space="preserve">.</w:t>
      </w:r>
    </w:p>
    <w:p>
      <w:pPr>
        <w:pStyle w:val="BodyText"/>
      </w:pPr>
      <w:r>
        <w:t xml:space="preserve">Suggested reviewers, with no collaboration with the authors in the past five years: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Institutional e-mail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Expertise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Poonguzhali N (corresponding author)</w:t>
      </w:r>
      <w:r>
        <w:br/>
      </w:r>
      <w:r>
        <w:t xml:space="preserve">School of Computer and Systems Sciences, Jawaharlal Nehru University, New Delhi 110067, India</w:t>
      </w:r>
      <w:r>
        <w:br/>
      </w:r>
      <w:r>
        <w:t xml:space="preserve">poonguzhali@jnu.ac.in, telephone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 behalf of Shashi Ranjan and Poonguzhali 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doi.org/10.1016/j.intonc.2025.03.006" TargetMode="External" /><Relationship Type="http://schemas.openxmlformats.org/officeDocument/2006/relationships/hyperlink" Id="rId21" Target="https://doi.org/10.1016/j.intonc.2026.100049" TargetMode="External" /><Relationship Type="http://schemas.openxmlformats.org/officeDocument/2006/relationships/hyperlink" Id="rId20" Target="https://doi.org/10.1016/j.intonc.2026.100071" TargetMode="External" /><Relationship Type="http://schemas.openxmlformats.org/officeDocument/2006/relationships/hyperlink" Id="rId22" Target="https://doi.org/10.1016/j.intonc.2026.100083" TargetMode="External" /><Relationship Type="http://schemas.openxmlformats.org/officeDocument/2006/relationships/hyperlink" Id="rId25" Target="https://doi.org/10.5281/zenodo.23601090" TargetMode="External" /><Relationship Type="http://schemas.openxmlformats.org/officeDocument/2006/relationships/hyperlink" Id="rId24" Target="https://github.com/shashiranjan-jnu/dpfl-braintum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oi.org/10.1016/j.intonc.2025.03.006" TargetMode="External" /><Relationship Type="http://schemas.openxmlformats.org/officeDocument/2006/relationships/hyperlink" Id="rId21" Target="https://doi.org/10.1016/j.intonc.2026.100049" TargetMode="External" /><Relationship Type="http://schemas.openxmlformats.org/officeDocument/2006/relationships/hyperlink" Id="rId20" Target="https://doi.org/10.1016/j.intonc.2026.100071" TargetMode="External" /><Relationship Type="http://schemas.openxmlformats.org/officeDocument/2006/relationships/hyperlink" Id="rId22" Target="https://doi.org/10.1016/j.intonc.2026.100083" TargetMode="External" /><Relationship Type="http://schemas.openxmlformats.org/officeDocument/2006/relationships/hyperlink" Id="rId25" Target="https://doi.org/10.5281/zenodo.23601090" TargetMode="External" /><Relationship Type="http://schemas.openxmlformats.org/officeDocument/2006/relationships/hyperlink" Id="rId24" Target="https://github.com/shashiranjan-jnu/dpfl-braintum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2026-10-25T17:11:12Z</dcterms:created>
  <dcterms:modified xsi:type="dcterms:W3CDTF">2026-10-25T17:11:12Z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