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These collections overlap, and privacy claims rarely state</w:t>
      </w:r>
      <w:r>
        <w:t xml:space="preserve"> </w:t>
      </w:r>
      <w:r>
        <w:t xml:space="preserve">the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 and patient-level DP stochastic gradient descent</w:t>
      </w:r>
      <w:r>
        <w:t xml:space="preserve"> </w:t>
      </w:r>
      <w:r>
        <w:t xml:space="preserve">(Rényi accounting,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five seeds). A likelihood-ratio attack (LiRA, 16 shadow models) with</w:t>
      </w:r>
      <w:r>
        <w:t xml:space="preserve"> </w:t>
      </w:r>
      <w:r>
        <w:t xml:space="preserve">source- and class-matched non-members audited leakage,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Clean-set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and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Against non-private</w:t>
      </w:r>
      <w:r>
        <w:t xml:space="preserve"> </w:t>
      </w:r>
      <w:r>
        <w:t xml:space="preserve">FedAvg, LiRA found 11.1% of training images at a 1% false-positive rate and separated training from test patients</w:t>
      </w:r>
      <w:r>
        <w:t xml:space="preserve"> </w:t>
      </w:r>
      <w:r>
        <w:t xml:space="preserve">with an area under the curve (AUC) of 0.805, whereas under record-level DP it found 1.0% to 1.5%, not significantly</w:t>
      </w:r>
      <w:r>
        <w:t xml:space="preserve"> </w:t>
      </w:r>
      <w:r>
        <w:t xml:space="preserve">above chance. Higher-utility unclipped weight noise still exposed patients (AUC 0.745). Grad-CAM consistency across</w:t>
      </w:r>
      <w:r>
        <w:t xml:space="preserve"> </w:t>
      </w:r>
      <w:r>
        <w:t xml:space="preserve">seeds fell from 0.700 to 0.235, tracking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membership leakage from</w:t>
      </w:r>
      <w:r>
        <w:t xml:space="preserve"> </w:t>
      </w:r>
      <w:r>
        <w:t xml:space="preserve">audited federated models at a balanced-accuracy cost of 0.076 (0.130 centrally), whereas per-patient guarantees cost</w:t>
      </w:r>
      <w:r>
        <w:t xml:space="preserve"> </w:t>
      </w:r>
      <w:r>
        <w:t xml:space="preserve">far more. Costs in real consortia remain untested, since clients were simulated.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deep learning now segments even small brain metastases.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The clinical value of such models</w:t>
      </w:r>
      <w:r>
        <w:t xml:space="preserve"> </w:t>
      </w:r>
      <w:r>
        <w:t xml:space="preserve">depends on training data drawn from many hospitals.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3-5</w:t>
      </w:r>
    </w:p>
    <w:p>
      <w:pPr>
        <w:pStyle w:val="BodyText"/>
        <w:spacing w:line="480" w:lineRule="auto"/>
        <w:jc w:val="left"/>
      </w:pPr>
      <w:r>
        <w:t xml:space="preserve">Transparency and privacy preservation are both named as conditions for the clinical use of medical artificial</w:t>
      </w:r>
      <w:r>
        <w:t xml:space="preserve"> </w:t>
      </w:r>
      <w:r>
        <w:t xml:space="preserve">intelligence.</w:t>
      </w:r>
      <w:r>
        <w:rPr>
          <w:vertAlign w:val="superscript"/>
        </w:rPr>
        <w:t xml:space="preserve">6</w:t>
      </w:r>
      <w:r>
        <w:t xml:space="preserve"> </w:t>
      </w:r>
      <w:r>
        <w:t xml:space="preserve">Sharing model updates is not the same as protecting patients, because updates and released</w:t>
      </w:r>
      <w:r>
        <w:t xml:space="preserve"> </w:t>
      </w:r>
      <w:r>
        <w:t xml:space="preserve">models can reveal whether a person contributed data.</w:t>
      </w:r>
      <w:r>
        <w:rPr>
          <w:vertAlign w:val="superscript"/>
        </w:rPr>
        <w:t xml:space="preserve">7,8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9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privacy budget and the protected unit are also often not reported in a</w:t>
      </w:r>
      <w:r>
        <w:t xml:space="preserve"> </w:t>
      </w:r>
      <w:r>
        <w:t xml:space="preserve">form that can be checked. One recent federated brain tumour study leaves the values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blank in its published text,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a multi-disease study that includes brain tumour MRI reports the</w:t>
      </w:r>
      <w:r>
        <w:t xml:space="preserve"> </w:t>
      </w:r>
      <w:r>
        <w:t xml:space="preserve">noise multiplier and clipping norm of DP-SGD without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or the sampling rate.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</w:t>
      </w:r>
      <w:r>
        <w:t xml:space="preserve"> </w:t>
      </w:r>
      <w:r>
        <w:t xml:space="preserve">third study states 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that its unclipped mechanism cannot support.</w:t>
      </w:r>
      <w:r>
        <w:rPr>
          <w:vertAlign w:val="superscript"/>
        </w:rPr>
        <w:t xml:space="preserve">13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3-5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19-21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29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30-32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 The individual methods used here are</w:t>
      </w:r>
      <w:r>
        <w:t xml:space="preserve"> </w:t>
      </w:r>
      <w:r>
        <w:t xml:space="preserve">established, so the contribution of the present work lies in applying them jointly, with accounted guarantees at two</w:t>
      </w:r>
      <w:r>
        <w:t xml:space="preserve"> </w:t>
      </w:r>
      <w:r>
        <w:t xml:space="preserve">privacy units and an attack whose members and non-members are matched in composition.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mostly through meningioma and no-tumour</w:t>
      </w:r>
      <w:r>
        <w:t xml:space="preserve"> </w:t>
      </w:r>
      <w:r>
        <w:t xml:space="preserve">sensitivity,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in non-private federated models, found no rate significantly above chance at 1% FPR under record-level DP</w:t>
      </w:r>
      <w:r>
        <w:t xml:space="preserve"> </w:t>
      </w:r>
      <w:r>
        <w:t xml:space="preserve">once non-members were matched to members by source and class, and still detected patients under an unclipped</w:t>
      </w:r>
      <w:r>
        <w:t xml:space="preserve"> </w:t>
      </w:r>
      <w:r>
        <w:t xml:space="preserve">weight-noise mechanism of higher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across 31 configurations, and the noise</w:t>
      </w:r>
      <w:r>
        <w:t xml:space="preserve"> </w:t>
      </w:r>
      <w:r>
        <w:t xml:space="preserve">multiplier added no 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p>
      <w:pPr>
        <w:pStyle w:val="FirstParagraph"/>
        <w:spacing w:line="480" w:lineRule="auto"/>
        <w:jc w:val="left"/>
      </w:pPr>
      <w:r>
        <w:t xml:space="preserve">The methods follow the four stages of the study, namely benchmark curation, private training, the membership audit and</w:t>
      </w:r>
      <w:r>
        <w:t xml:space="preserve"> </w:t>
      </w:r>
      <w:r>
        <w:t xml:space="preserve">the explanation audit. Section 2 first fixes the notation, the threat model and the formal guarantee on</w:t>
      </w:r>
      <w:r>
        <w:t xml:space="preserve"> </w:t>
      </w:r>
      <w:r>
        <w:t xml:space="preserve">which every later component relies. The following subsections describe each stage with its algorithm, and the last two</w:t>
      </w:r>
      <w:r>
        <w:t xml:space="preserve"> </w:t>
      </w:r>
      <w:r>
        <w:t xml:space="preserve">give the experimental settings and the statistical conventions applied throughout.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or other cryptographic protection</w:t>
      </w:r>
      <w:r>
        <w:rPr>
          <w:vertAlign w:val="superscript"/>
        </w:rPr>
        <w:t xml:space="preserve">33</w:t>
      </w:r>
      <w:r>
        <w:t xml:space="preserve"> </w:t>
      </w:r>
      <w:r>
        <w:t xml:space="preserve">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 Client-level DP, which hides the participation of a whole hospital,</w:t>
      </w:r>
      <w:r>
        <w:rPr>
          <w:vertAlign w:val="superscript"/>
        </w:rPr>
        <w:t xml:space="preserve">34</w:t>
      </w:r>
      <w:r>
        <w:t xml:space="preserve"> </w:t>
      </w:r>
      <w:r>
        <w:t xml:space="preserve">was</w:t>
      </w:r>
      <w:r>
        <w:t xml:space="preserve"> </w:t>
      </w:r>
      <w:r>
        <w:t xml:space="preserve">not evaluated, because with three to 15 clients the noise needed to mask one client would dominate the aggregate.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formal guarantee also covers every update that</w:t>
      </w:r>
      <w:r>
        <w:t xml:space="preserve"> </w:t>
      </w:r>
      <w:r>
        <w:t xml:space="preserve">a client sends, but the empirical audit tests only the released model, and attacks that reconstruct images from</w:t>
      </w:r>
      <w:r>
        <w:t xml:space="preserve"> </w:t>
      </w:r>
      <w:r>
        <w:t xml:space="preserve">individual updates</w:t>
      </w:r>
      <w:r>
        <w:rPr>
          <w:vertAlign w:val="superscript"/>
        </w:rPr>
        <w:t xml:space="preserve">25</w:t>
      </w:r>
      <w:r>
        <w:t xml:space="preserve"> </w:t>
      </w:r>
      <w:r>
        <w:t xml:space="preserve">were not run. The study pursues three goals, namely the accuracy cost of each</w:t>
      </w:r>
      <w:r>
        <w:t xml:space="preserve"> </w:t>
      </w:r>
      <w:r>
        <w:t xml:space="preserve">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federated learning-rate search adds a privacy cost that is reported but not calibrated. The central</w:t>
      </w:r>
      <w:r>
        <w:t xml:space="preserve"> </w:t>
      </w:r>
      <w:r>
        <w:t xml:space="preserve">learning rate of 0.02 was chosen among three candidates in pilot runs on the same training data, and that selection</w:t>
      </w:r>
      <w:r>
        <w:t xml:space="preserve"> </w:t>
      </w:r>
      <w:r>
        <w:t xml:space="preserve">is not included in any reported</w:t>
      </w:r>
      <w:r>
        <w:t xml:space="preserve"> </w:t>
      </w:r>
      <m:oMath>
        <m:r>
          <m:t>ε</m:t>
        </m:r>
      </m:oMath>
      <w:r>
        <w:t xml:space="preserve">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3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30,35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32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9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20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21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36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37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38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Because the clean non-members differ from the</w:t>
      </w:r>
      <w:r>
        <w:t xml:space="preserve"> </w:t>
      </w:r>
      <w:r>
        <w:t xml:space="preserve">members in source and class mix, the TPR at 1% FPR is also computed with non-members reweighted to the members’</w:t>
      </w:r>
      <w:r>
        <w:t xml:space="preserve"> </w:t>
      </w:r>
      <w:r>
        <w:t xml:space="preserve">distribution over source and class strata, and with both groups restricted to Figshare. The diverged weight-noise</w:t>
      </w:r>
      <w:r>
        <w:t xml:space="preserve"> </w:t>
      </w:r>
      <w:r>
        <w:t xml:space="preserve">models, which classify at chance, give an empirical reference for the rate reached without a usable classifier.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39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40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41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42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29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with the seeds of one configuration in place of</w:t>
      </w:r>
      <w:r>
        <w:t xml:space="preserve"> </w:t>
      </w:r>
      <w:r>
        <w:t xml:space="preserve">clients, five for central and three for federated configurations. It is the IoU between the top 10% of pixels of each</w:t>
      </w:r>
      <w:r>
        <w:t xml:space="preserve"> </w:t>
      </w:r>
      <w:r>
        <w:t xml:space="preserve">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 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44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Because consistency is measured</w:t>
      </w:r>
      <w:r>
        <w:t xml:space="preserve"> </w:t>
      </w:r>
      <w:r>
        <w:t xml:space="preserve">against the mean map of each configuration, its seeds are not independent, so the primary analysis uses one point per</w:t>
      </w:r>
      <w:r>
        <w:t xml:space="preserve"> </w:t>
      </w:r>
      <w:r>
        <w:t xml:space="preserve">configuration and the per-model analysis is reported alongside. Membership rates were compared with the nominal level</w:t>
      </w:r>
      <w:r>
        <w:t xml:space="preserve"> </w:t>
      </w:r>
      <w:r>
        <w:t xml:space="preserve">by one-sample</w:t>
      </w:r>
      <w:r>
        <w:t xml:space="preserve"> </w:t>
      </w:r>
      <m:oMath>
        <m:r>
          <m:t>t</m:t>
        </m:r>
      </m:oMath>
      <w:r>
        <w:t xml:space="preserve">-tests over the five targets. Only the SCAFFOLD comparison is corrected for multiplicity, and the</w:t>
      </w:r>
      <w:r>
        <w:t xml:space="preserve"> </w:t>
      </w:r>
      <w:r>
        <w:t xml:space="preserve">other intervals and</w:t>
      </w:r>
      <w:r>
        <w:t xml:space="preserve"> </w:t>
      </w:r>
      <m:oMath>
        <m:r>
          <m:t>p</m:t>
        </m:r>
      </m:oMath>
      <w:r>
        <w:t xml:space="preserve">-values are descriptive. Metrics are reported to three decimal places and</w:t>
      </w:r>
      <w:r>
        <w:t xml:space="preserve"> </w:t>
      </w:r>
      <m:oMath>
        <m:r>
          <m:t>p</m:t>
        </m:r>
      </m:oMath>
      <w:r>
        <w:t xml:space="preserve">-values to three</w:t>
      </w:r>
      <w:r>
        <w:t xml:space="preserve"> </w:t>
      </w:r>
      <w:r>
        <w:t xml:space="preserve">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p>
      <w:pPr>
        <w:pStyle w:val="FirstParagraph"/>
        <w:spacing w:line="480" w:lineRule="auto"/>
        <w:jc w:val="left"/>
      </w:pPr>
      <w:r>
        <w:t xml:space="preserve">The results follow the order of the study goals. The curated benchmark and its contamination check come first,</w:t>
      </w:r>
      <w:r>
        <w:t xml:space="preserve"> </w:t>
      </w:r>
      <w:r>
        <w:t xml:space="preserve">followed by the accuracy cost of each privacy unit, the effect of client count and drift correction, the membership</w:t>
      </w:r>
      <w:r>
        <w:t xml:space="preserve"> </w:t>
      </w:r>
      <w:r>
        <w:t xml:space="preserve">audit, the explanation audit and the source controls. Unless a passage states otherwise, every value refers to the 747</w:t>
      </w:r>
      <w:r>
        <w:t xml:space="preserve"> </w:t>
      </w:r>
      <w:r>
        <w:t xml:space="preserve">clean test images and gives the mean over seeds with its 95% CI.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Table 4 shows where the cost fell. 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central meningioma sensitivity</w:t>
      </w:r>
      <w:r>
        <w:t xml:space="preserve"> </w:t>
      </w:r>
      <w:r>
        <w:t xml:space="preserve">fell from 0.861 to 0.520 and no-tumour sensitivity from 0.913 to 0.700, whereas glioma (0.880 to 0.915) and pituitary</w:t>
      </w:r>
      <w:r>
        <w:t xml:space="preserve"> </w:t>
      </w:r>
      <w:r>
        <w:t xml:space="preserve">sensitivity (0.976 to 0.979) did not decline. The share of tumour images classified as no tumour stayed between 0.010</w:t>
      </w:r>
      <w:r>
        <w:t xml:space="preserve"> </w:t>
      </w:r>
      <w:r>
        <w:t xml:space="preserve">and 0.042 in every setting of Table 4, so the private models mostly confused tumour types.</w:t>
      </w:r>
    </w:p>
    <w:p>
      <w:pPr>
        <w:pStyle w:val="TableCaption"/>
        <w:jc w:val="left"/>
      </w:pPr>
      <w:r>
        <w:t xml:space="preserve">Table 4. Clean-set sensitivity per class, mean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Clean-set sensitivity per class, mean over five see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Meningioma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tumour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Pituitary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Patient,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Federated patient-level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reached 0.398 on the natural partition and 0.271 on the</w:t>
      </w:r>
      <w:r>
        <w:t xml:space="preserve"> </w:t>
      </w:r>
      <w:r>
        <w:t xml:space="preserve">Dirichlet partition over units (Supplementary Table S3).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gives little formal protection per patient. A Figshare patient contributes a median of</w:t>
      </w:r>
      <w:r>
        <w:t xml:space="preserve"> </w:t>
      </w:r>
      <w:r>
        <w:t xml:space="preserve">13 slices, and group privacy turns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t xml:space="preserve">guarantee for one image into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ε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sSup>
              <m:e>
                <m:r>
                  <m:t>e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ε</m:t>
                </m:r>
              </m:sup>
            </m:sSup>
            <m:r>
              <m:t>δ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images.</w:t>
      </w:r>
      <w:r>
        <w:rPr>
          <w:vertAlign w:val="superscript"/>
        </w:rPr>
        <w:t xml:space="preserve">45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the second term is</w:t>
      </w:r>
      <w:r>
        <w:t xml:space="preserve"> </w:t>
      </w:r>
      <m:oMath>
        <m:r>
          <m:t>13</m:t>
        </m:r>
        <m:sSup>
          <m:e>
            <m:r>
              <m:t>e</m:t>
            </m:r>
          </m:e>
          <m:sup>
            <m:r>
              <m:t>96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37</m:t>
            </m:r>
          </m:sup>
        </m:sSup>
      </m:oMath>
      <w:r>
        <w:t xml:space="preserve">, far above 1, so the record-level</w:t>
      </w:r>
      <w:r>
        <w:t xml:space="preserve"> </w:t>
      </w:r>
      <w:r>
        <w:t xml:space="preserve">guarantee bounds nothing for such a patient.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5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or 11.1% with</w:t>
      </w:r>
      <w:r>
        <w:t xml:space="preserve"> </w:t>
      </w:r>
      <w:r>
        <w:t xml:space="preserve">composition-matched non-members, and summed over slices it separated training from test patients with AUC 0.805.</w:t>
      </w:r>
      <w:r>
        <w:t xml:space="preserve"> </w:t>
      </w:r>
      <w:r>
        <w:t xml:space="preserve">In Table 5, the columns TPR 1% and TPR 0.1% give the true-positive rate at those false-positive rates,</w:t>
      </w:r>
      <w:r>
        <w:t xml:space="preserve"> </w:t>
      </w:r>
      <w:r>
        <w:t xml:space="preserve">and the matched column gives the TPR at 1% FPR after non-members were reweighted to the members’ source and class mix.</w:t>
      </w:r>
      <w:r>
        <w:t xml:space="preserve"> </w:t>
      </w:r>
      <w:r>
        <w:t xml:space="preserve">Bal. acc. is clean balanced accuracy. The weight-noise row adds unclipped Gaussian noise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to client</w:t>
      </w:r>
      <w:r>
        <w:t xml:space="preserve"> </w:t>
      </w:r>
      <w:r>
        <w:t xml:space="preserve">weights and carries no formal guarantee, and the diverged row uses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at which training diverged.</w:t>
      </w:r>
    </w:p>
    <w:p>
      <w:pPr>
        <w:pStyle w:val="TableCaption"/>
        <w:jc w:val="left"/>
      </w:pPr>
      <w:r>
        <w:t xml:space="preserve">Table 5.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Online LiRA against FedAvg on the natural partition, mean (95% CI) over five targe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(0.085, 0.138)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(0.007, 0.023)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(0.036, 0.057)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(0.437, 0.511)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(0.023, 0.053)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(0.010, 0.037)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(0.497, 0.539)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DP the TPR at 1% FPR was 0.010 to 0.017, but the value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exceeded the nominal 0.010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). The members and the clean non-members differ in composition, since Br35H forms 230 of 2610 members</w:t>
      </w:r>
      <w:r>
        <w:t xml:space="preserve"> </w:t>
      </w:r>
      <w:r>
        <w:t xml:space="preserve">(8.8%) but 6 of 747 non-members (0.8%), and no-tumour images 432 of 2610 (16.6%) against 60 of 747 (8.0%). With</w:t>
      </w:r>
      <w:r>
        <w:t xml:space="preserve"> </w:t>
      </w:r>
      <w:r>
        <w:t xml:space="preserve">non-members reweighted to the members’ source and class mix, the rate was 0.111 without DP and 0.010 to 0.015 under</w:t>
      </w:r>
      <w:r>
        <w:t xml:space="preserve"> </w:t>
      </w:r>
      <w:r>
        <w:t xml:space="preserve">DP, none significantly above 0.010 (</w:t>
      </w:r>
      <m:oMath>
        <m:r>
          <m:t>p</m:t>
        </m:r>
        <m:r>
          <m:rPr>
            <m:sty m:val="p"/>
          </m:rPr>
          <m:t>≥</m:t>
        </m:r>
        <m:r>
          <m:t>0.174</m:t>
        </m:r>
      </m:oMath>
      <w:r>
        <w:t xml:space="preserve">). Restricting both groups to Figshare gave 0.010 to 0.018 under DP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≥</m:t>
        </m:r>
        <m:r>
          <m:t>0.078</m:t>
        </m:r>
      </m:oMath>
      <w:r>
        <w:t xml:space="preserve">, Supplementary Table S20).</w:t>
      </w:r>
    </w:p>
    <w:p>
      <w:pPr>
        <w:pStyle w:val="BodyText"/>
        <w:spacing w:line="480" w:lineRule="auto"/>
        <w:jc w:val="left"/>
      </w:pPr>
      <w:r>
        <w:t xml:space="preserve">The diverged comparator models classify at chance (0.254), yet they reached 0.038 pooled and 0.024 matched, so rates</w:t>
      </w:r>
      <w:r>
        <w:t xml:space="preserve"> </w:t>
      </w:r>
      <w:r>
        <w:t xml:space="preserve">of a few percent at 1% FPR can arise in this audit without a usable classifier. Average-case AUC under DP departed</w:t>
      </w:r>
      <w:r>
        <w:t xml:space="preserve"> </w:t>
      </w:r>
      <w:r>
        <w:t xml:space="preserve">from 0.5 in both directions, from 0.464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0.545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where the patient AUC of 0.567</w:t>
      </w:r>
      <w:r>
        <w:t xml:space="preserve"> </w:t>
      </w:r>
      <w:r>
        <w:t xml:space="preserve">also excluded 0.5. The smaller training sets of the shadow models may explain part of this shift, and a weak</w:t>
      </w:r>
      <w:r>
        <w:t xml:space="preserve"> </w:t>
      </w:r>
      <w:r>
        <w:t xml:space="preserve">average-case signal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cannot be excluded.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 of this reproduction.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 found 4.5% of training images at 1% FPR (4.7% matched) and separated</w:t>
      </w:r>
      <w:r>
        <w:t xml:space="preserve"> </w:t>
      </w:r>
      <w:r>
        <w:t xml:space="preserve">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(0.01758).</w:t>
      </w:r>
      <w:r>
        <w:t xml:space="preserve"> </w:t>
      </w:r>
      <w:r>
        <w:t xml:space="preserve">On the same images, the share of Grad-CAM mass inside the mask was 0.0323 against a mask area of 0.0177 without DP,</w:t>
      </w:r>
      <w:r>
        <w:t xml:space="preserve"> </w:t>
      </w:r>
      <w:r>
        <w:t xml:space="preserve">1.82 times the share of a uniform map, and 0.0267 against 0.0201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1.33 times. Localisation therefore</w:t>
      </w:r>
      <w:r>
        <w:t xml:space="preserve"> </w:t>
      </w:r>
      <w:r>
        <w:t xml:space="preserve">stayed above chance but far from precise.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Some of these models classify near chance, such as patient-level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at 0.251, and their consistency describes maps of a model that has learned little.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five seeds with 95% CIs (a),</w:t>
      </w:r>
      <w:r>
        <w:t xml:space="preserve"> </w:t>
      </w:r>
      <w:r>
        <w:t xml:space="preserve">and against accuracy, one point per model (b).</w:t>
      </w:r>
    </w:p>
    <w:p>
      <w:pPr>
        <w:pStyle w:val="BodyText"/>
        <w:spacing w:line="480" w:lineRule="auto"/>
        <w:jc w:val="left"/>
      </w:pPr>
      <w:r>
        <w:t xml:space="preserve">Across 31 configurations, with one point per configuration mean, consistency correlated with clean balanced accuracy</w:t>
      </w:r>
      <w:r>
        <w:t xml:space="preserve"> </w:t>
      </w:r>
      <w:r>
        <w:t xml:space="preserve">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and top-15% IoU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. With 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</w:t>
      </w:r>
      <w:r>
        <w:t xml:space="preserve"> </w:t>
      </w:r>
      <w:r>
        <w:t xml:space="preserve">consistency (</w:t>
      </w:r>
      <m:oMath>
        <m:r>
          <m:t>p</m:t>
        </m:r>
        <m:r>
          <m:rPr>
            <m:sty m:val="p"/>
          </m:rPr>
          <m:t>=</m:t>
        </m:r>
        <m:r>
          <m:t>0.389</m:t>
        </m:r>
      </m:oMath>
      <w:r>
        <w:t xml:space="preserve">) or IoU (</w:t>
      </w:r>
      <m:oMath>
        <m:r>
          <m:t>p</m:t>
        </m:r>
        <m:r>
          <m:rPr>
            <m:sty m:val="p"/>
          </m:rPr>
          <m:t>=</m:t>
        </m:r>
        <m:r>
          <m:t>0.747</m:t>
        </m:r>
      </m:oMath>
      <w:r>
        <w:t xml:space="preserve">). Per model the correlations were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over 115 models</w:t>
      </w:r>
      <w:r>
        <w:t xml:space="preserve"> </w:t>
      </w:r>
      <w:r>
        <w:t xml:space="preserve">(Fig. 5b)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over 111,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0.834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(Supplementary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depended far more on the learned weights,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0.388, so its numbers are the ones interpreted here. No absolute pass threshold exists for the test, and the</w:t>
      </w:r>
      <w:r>
        <w:t xml:space="preserve"> </w:t>
      </w:r>
      <w:r>
        <w:t xml:space="preserve">comparison between methods is what it supports.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p>
      <w:pPr>
        <w:pStyle w:val="FirstParagraph"/>
        <w:spacing w:line="480" w:lineRule="auto"/>
        <w:jc w:val="left"/>
      </w:pPr>
      <w:r>
        <w:t xml:space="preserve">The discussion first considers what the privacy budget protected and what it cost, at both privacy units and across</w:t>
      </w:r>
      <w:r>
        <w:t xml:space="preserve"> </w:t>
      </w:r>
      <w:r>
        <w:t xml:space="preserve">client counts. It then turns to the change in explanations, to benchmark leakage and source confounding, and finally to</w:t>
      </w:r>
      <w:r>
        <w:t xml:space="preserve"> </w:t>
      </w:r>
      <w:r>
        <w:t xml:space="preserve">the limitations of the evaluation. Each subsection relates the findings to prior work and separates measured effects</w:t>
      </w:r>
      <w:r>
        <w:t xml:space="preserve"> </w:t>
      </w:r>
      <w:r>
        <w:t xml:space="preserve">from interpretations that the experiments did not test directly.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 for the federated models that were attacked. Without DP, a federated model trained</w:t>
      </w:r>
      <w:r>
        <w:t xml:space="preserve"> </w:t>
      </w:r>
      <w:r>
        <w:t xml:space="preserve">on 2610 images leaked enough for LiRA to flag one training image in ten at 1% FPR, and aggregating over slices made</w:t>
      </w:r>
      <w:r>
        <w:t xml:space="preserve"> </w:t>
      </w:r>
      <w:r>
        <w:t xml:space="preserve">the patient-level signal stronger still (AUC 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no rate at 1% FPR</w:t>
      </w:r>
      <w:r>
        <w:t xml:space="preserve"> </w:t>
      </w:r>
      <w:r>
        <w:t xml:space="preserve">significantly above chance once members and non-members were matched in composition, at a cost of 0.076 in balanced</w:t>
      </w:r>
      <w:r>
        <w:t xml:space="preserve"> </w:t>
      </w:r>
      <w:r>
        <w:t xml:space="preserve">accuracy. The unmatched rate of 0.017 suggests that a composition gap between members and non-members can mimic leakage,</w:t>
      </w:r>
      <w:r>
        <w:t xml:space="preserve"> </w:t>
      </w:r>
      <w:r>
        <w:t xml:space="preserve">so audits on merged collections should match the two groups. Central and patient-level models were not attacked, and</w:t>
      </w:r>
      <w:r>
        <w:t xml:space="preserve"> </w:t>
      </w:r>
      <w:r>
        <w:t xml:space="preserve">an attack that fails does not prove that no stronger attack exists, although the result agrees with reports that</w:t>
      </w:r>
      <w:r>
        <w:t xml:space="preserve"> </w:t>
      </w:r>
      <w:r>
        <w:t xml:space="preserve">moderate budgets defeat practical 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Counting the learning-rate search, the federated</w:t>
      </w:r>
      <w:r>
        <w:t xml:space="preserve"> </w:t>
      </w:r>
      <w:r>
        <w:t xml:space="preserve">guarantee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11.98</m:t>
        </m:r>
      </m:oMath>
      <w:r>
        <w:t xml:space="preserve"> </w:t>
      </w:r>
      <w:r>
        <w:t xml:space="preserve">instead of 8.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destroyed the model in this reproduction. Details such as model size and normalisation may differ from the original</w:t>
      </w:r>
      <w:r>
        <w:t xml:space="preserve"> </w:t>
      </w:r>
      <w:r>
        <w:t xml:space="preserve">implementation, but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13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The trend is consistent with Eq. (4), because</w:t>
      </w:r>
      <w:r>
        <w:t xml:space="preserve"> </w:t>
      </w:r>
      <w:r>
        <w:t xml:space="preserve">each 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 </w:t>
      </w:r>
      <w:r>
        <w:t xml:space="preserve">for IoU across configurations),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The</w:t>
      </w:r>
      <w:r>
        <w:t xml:space="preserve"> </w:t>
      </w:r>
      <w:r>
        <w:t xml:space="preserve">small change under clipping alone (0.700 to 0.663) suggests that noise affects explanations mainly through the</w:t>
      </w:r>
      <w:r>
        <w:t xml:space="preserve"> </w:t>
      </w:r>
      <w:r>
        <w:t xml:space="preserve">accuracy it costs, although the correlational design cannot establish that pathway.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is consistent with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 the last ResNet block at 128-pixel input. Clinically, DP cost most in meningioma and no-tumour</w:t>
      </w:r>
      <w:r>
        <w:t xml:space="preserve"> </w:t>
      </w:r>
      <w:r>
        <w:t xml:space="preserve">sensitivity while missed tumours stayed rare (Table 4), so a private model would mainly need review of</w:t>
      </w:r>
      <w:r>
        <w:t xml:space="preserve"> </w:t>
      </w:r>
      <w:r>
        <w:t xml:space="preserve">its tumour-type calls.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29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The membership audit covered only FedAvg on the natural partition at record level, so the leakage</w:t>
      </w:r>
      <w:r>
        <w:t xml:space="preserve"> </w:t>
      </w:r>
      <w:r>
        <w:t xml:space="preserve">of central and patient-level models and of the update channel was not measured. All models are two-dimensional</w:t>
      </w:r>
      <w:r>
        <w:t xml:space="preserve"> </w:t>
      </w:r>
      <w:r>
        <w:t xml:space="preserve">ResNet-18 classifiers on axial, coronal and sagittal slices from three public sources, and the federated partitions</w:t>
      </w:r>
      <w:r>
        <w:t xml:space="preserve"> </w:t>
      </w:r>
      <w:r>
        <w:t xml:space="preserve">were simulated, not drawn from real institutions. Learning rates were chosen on private validation data,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federated candidates is reported but was not used for calibration, and the central</w:t>
      </w:r>
      <w:r>
        <w:t xml:space="preserve"> </w:t>
      </w:r>
      <w:r>
        <w:t xml:space="preserve">learning-rate selection is not accounted. Federated explanation metrics rest on three seeds per configuration.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a likelihood-ratio membership attack exposed non-private</w:t>
      </w:r>
      <w:r>
        <w:t xml:space="preserve"> </w:t>
      </w:r>
      <w:r>
        <w:t xml:space="preserve">federated models but found no image-level rate significantly above chance under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w:r>
        <w:t xml:space="preserve">once members and non-members were matched in source and class, and its patient-level AUC was 0.454. The price was a</w:t>
      </w:r>
      <w:r>
        <w:t xml:space="preserve"> </w:t>
      </w:r>
      <w:r>
        <w:t xml:space="preserve">balanced-accuracy loss of 0.076 for federated and 0.130 for central training, borne mainly by meningioma and no-tumour</w:t>
      </w:r>
      <w:r>
        <w:t xml:space="preserve"> </w:t>
      </w:r>
      <w:r>
        <w:t xml:space="preserve">sensitivity.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accuracy, and a composition gap between members and non-members was enough to push the attack rate on a</w:t>
      </w:r>
      <w:r>
        <w:t xml:space="preserve"> </w:t>
      </w:r>
      <w:r>
        <w:t xml:space="preserve">private model significantly above chance.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attack central, patient-level and update-level releases, and study larger</w:t>
      </w:r>
      <w:r>
        <w:t xml:space="preserve"> </w:t>
      </w:r>
      <w:r>
        <w:t xml:space="preserve">patient cohorts in which per-patient guarantees become 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8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30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frozen tables with their SHA-256 hashes,</w:t>
      </w:r>
      <w:r>
        <w:t xml:space="preserve"> </w:t>
      </w:r>
      <w:r>
        <w:t xml:space="preserve">figure data, code and the manuscript source are archived on Zenodo as release v1.0-submission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doi:10.5281/zenodo.23601090</w:t>
        </w:r>
      </w:hyperlink>
      <w:r>
        <w:t xml:space="preserve">)</w:t>
      </w:r>
      <w:r>
        <w:rPr>
          <w:vertAlign w:val="superscript"/>
        </w:rPr>
        <w:t xml:space="preserve">46</w:t>
      </w:r>
      <w:r>
        <w:t xml:space="preserve"> </w:t>
      </w:r>
      <w:r>
        <w:t xml:space="preserve">and maintained at</w:t>
      </w:r>
      <w:r>
        <w:t xml:space="preserve"> </w:t>
      </w:r>
      <w:hyperlink r:id="rId77">
        <w:r>
          <w:rPr>
            <w:rStyle w:val="Hyperlink"/>
          </w:rPr>
          <w:t xml:space="preserve">https://github.com/shashiranjan-jnu/dpfl-braintumor</w:t>
        </w:r>
      </w:hyperlink>
      <w:r>
        <w:t xml:space="preserve">, where tag v0.9.5-results-frozen marks the reported</w:t>
      </w:r>
      <w:r>
        <w:t xml:space="preserve"> </w:t>
      </w:r>
      <w:r>
        <w:t xml:space="preserve">results.</w:t>
      </w:r>
    </w:p>
    <w:bookmarkEnd w:id="78"/>
    <w:bookmarkStart w:id="79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9"/>
    <w:bookmarkStart w:id="80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</w:t>
      </w:r>
    </w:p>
    <w:bookmarkEnd w:id="80"/>
    <w:bookmarkStart w:id="114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</w:t>
      </w:r>
      <w:r>
        <w:t xml:space="preserve"> </w:t>
      </w:r>
      <w:hyperlink r:id="rId81">
        <w:r>
          <w:rPr>
            <w:rStyle w:val="Hyperlink"/>
          </w:rPr>
          <w:t xml:space="preserve">doi:10.1016/j.intonc.2026.100071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Jung JH, Sunwoo L, Ji H, Yoo S, Park JE, Lee JG. Deep learning-based segmentation of small-volume brain metastases in lung cancer patients.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2026;2(2):100049.</w:t>
      </w:r>
      <w:r>
        <w:t xml:space="preserve"> </w:t>
      </w:r>
      <w:hyperlink r:id="rId82">
        <w:r>
          <w:rPr>
            <w:rStyle w:val="Hyperlink"/>
          </w:rPr>
          <w:t xml:space="preserve">doi:10.1016/j.intonc.2026.100049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</w:t>
      </w:r>
      <w:r>
        <w:t xml:space="preserve"> </w:t>
      </w:r>
      <w:hyperlink r:id="rId83">
        <w:r>
          <w:rPr>
            <w:rStyle w:val="Hyperlink"/>
          </w:rPr>
          <w:t xml:space="preserve">doi:10.1007/978-3-030-11723-8_9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</w:t>
      </w:r>
      <w:r>
        <w:t xml:space="preserve"> </w:t>
      </w:r>
      <w:hyperlink r:id="rId84">
        <w:r>
          <w:rPr>
            <w:rStyle w:val="Hyperlink"/>
          </w:rPr>
          <w:t xml:space="preserve">doi:10.1038/s41598-020-69250-1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</w:t>
      </w:r>
      <w:r>
        <w:t xml:space="preserve"> </w:t>
      </w:r>
      <w:hyperlink r:id="rId85">
        <w:r>
          <w:rPr>
            <w:rStyle w:val="Hyperlink"/>
          </w:rPr>
          <w:t xml:space="preserve">doi:10.1038/s41467-022-33407-5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Cai W. DeepSeek AI: transforming medical AI with cost-efficiency, transparency, and privacy preservation.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2025;1(2):172-175.</w:t>
      </w:r>
      <w:r>
        <w:t xml:space="preserve"> </w:t>
      </w:r>
      <w:hyperlink r:id="rId86">
        <w:r>
          <w:rPr>
            <w:rStyle w:val="Hyperlink"/>
          </w:rPr>
          <w:t xml:space="preserve">doi:10.1016/j.intonc.2025.03.006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</w:t>
      </w:r>
      <w:r>
        <w:t xml:space="preserve"> </w:t>
      </w:r>
      <w:hyperlink r:id="rId87">
        <w:r>
          <w:rPr>
            <w:rStyle w:val="Hyperlink"/>
          </w:rPr>
          <w:t xml:space="preserve">doi:10.1016/j.patter.2024.100974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</w:t>
      </w:r>
      <w:r>
        <w:t xml:space="preserve"> </w:t>
      </w:r>
      <w:hyperlink r:id="rId88">
        <w:r>
          <w:rPr>
            <w:rStyle w:val="Hyperlink"/>
          </w:rPr>
          <w:t xml:space="preserve">doi:10.1038/s41586-026-10688-0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</w:t>
      </w:r>
      <w:r>
        <w:t xml:space="preserve"> </w:t>
      </w:r>
      <w:hyperlink r:id="rId89">
        <w:r>
          <w:rPr>
            <w:rStyle w:val="Hyperlink"/>
          </w:rPr>
          <w:t xml:space="preserve">doi:10.1145/2976749.2978318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</w:t>
      </w:r>
      <w:r>
        <w:t xml:space="preserve"> </w:t>
      </w:r>
      <w:hyperlink r:id="rId90">
        <w:r>
          <w:rPr>
            <w:rStyle w:val="Hyperlink"/>
          </w:rPr>
          <w:t xml:space="preserve">doi:10.3389/frai.2026.1754000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</w:t>
      </w:r>
      <w:r>
        <w:t xml:space="preserve"> </w:t>
      </w:r>
      <w:hyperlink r:id="rId91">
        <w:r>
          <w:rPr>
            <w:rStyle w:val="Hyperlink"/>
          </w:rPr>
          <w:t xml:space="preserve">doi:10.1109/JBHI.2026.3679499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</w:t>
      </w:r>
      <w:r>
        <w:t xml:space="preserve"> </w:t>
      </w:r>
      <w:hyperlink r:id="rId92">
        <w:r>
          <w:rPr>
            <w:rStyle w:val="Hyperlink"/>
          </w:rPr>
          <w:t xml:space="preserve">doi:10.1109/ACCESS.2026.3660305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</w:t>
      </w:r>
      <w:r>
        <w:t xml:space="preserve"> </w:t>
      </w:r>
      <w:hyperlink r:id="rId93">
        <w:r>
          <w:rPr>
            <w:rStyle w:val="Hyperlink"/>
          </w:rPr>
          <w:t xml:space="preserve">doi:10.1186/s12880-024-01261-0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</w:t>
      </w:r>
      <w:r>
        <w:t xml:space="preserve"> </w:t>
      </w:r>
      <w:hyperlink r:id="rId94">
        <w:r>
          <w:rPr>
            <w:rStyle w:val="Hyperlink"/>
          </w:rPr>
          <w:t xml:space="preserve">doi:10.3389/fonc.2025.1535478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</w:t>
      </w:r>
      <w:r>
        <w:t xml:space="preserve"> </w:t>
      </w:r>
      <w:hyperlink r:id="rId95">
        <w:r>
          <w:rPr>
            <w:rStyle w:val="Hyperlink"/>
          </w:rPr>
          <w:t xml:space="preserve">doi:10.1007/s10278-025-01484-9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</w:t>
      </w:r>
      <w:r>
        <w:t xml:space="preserve"> </w:t>
      </w:r>
      <w:hyperlink r:id="rId96">
        <w:r>
          <w:rPr>
            <w:rStyle w:val="Hyperlink"/>
          </w:rPr>
          <w:t xml:space="preserve">doi:10.1038/s41598-026-55847-5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</w:t>
      </w:r>
      <w:r>
        <w:t xml:space="preserve"> </w:t>
      </w:r>
      <w:hyperlink r:id="rId97">
        <w:r>
          <w:rPr>
            <w:rStyle w:val="Hyperlink"/>
          </w:rPr>
          <w:t xml:space="preserve">doi:10.1038/s41598-021-93030-0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</w:t>
      </w:r>
      <w:r>
        <w:t xml:space="preserve"> </w:t>
      </w:r>
      <w:hyperlink r:id="rId98">
        <w:r>
          <w:rPr>
            <w:rStyle w:val="Hyperlink"/>
          </w:rPr>
          <w:t xml:space="preserve">doi:10.1109/CSF.2017.11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</w:t>
      </w:r>
      <w:r>
        <w:t xml:space="preserve"> </w:t>
      </w:r>
      <w:hyperlink r:id="rId99">
        <w:r>
          <w:rPr>
            <w:rStyle w:val="Hyperlink"/>
          </w:rPr>
          <w:t xml:space="preserve">doi:10.1038/s42256-021-00337-8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</w:t>
      </w:r>
      <w:r>
        <w:t xml:space="preserve"> </w:t>
      </w:r>
      <w:hyperlink r:id="rId100">
        <w:r>
          <w:rPr>
            <w:rStyle w:val="Hyperlink"/>
          </w:rPr>
          <w:t xml:space="preserve">doi:10.1038/s41598-022-05539-7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</w:t>
      </w:r>
      <w:r>
        <w:t xml:space="preserve"> </w:t>
      </w:r>
      <w:hyperlink r:id="rId101">
        <w:r>
          <w:rPr>
            <w:rStyle w:val="Hyperlink"/>
          </w:rPr>
          <w:t xml:space="preserve">doi:10.1038/s43856-024-00462-6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</w:t>
      </w:r>
      <w:r>
        <w:t xml:space="preserve"> </w:t>
      </w:r>
      <w:hyperlink r:id="rId102">
        <w:r>
          <w:rPr>
            <w:rStyle w:val="Hyperlink"/>
          </w:rPr>
          <w:t xml:space="preserve">doi:10.1038/s42256-024-00858-y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</w:t>
      </w:r>
      <w:r>
        <w:t xml:space="preserve"> </w:t>
      </w:r>
      <w:hyperlink r:id="rId103">
        <w:r>
          <w:rPr>
            <w:rStyle w:val="Hyperlink"/>
          </w:rPr>
          <w:t xml:space="preserve">doi:10.1109/SP46214.2022.9833649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</w:t>
      </w:r>
      <w:r>
        <w:t xml:space="preserve"> </w:t>
      </w:r>
      <w:hyperlink r:id="rId104">
        <w:r>
          <w:rPr>
            <w:rStyle w:val="Hyperlink"/>
          </w:rPr>
          <w:t xml:space="preserve">doi:10.3389/frai.2024.1236947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</w:t>
      </w:r>
      <w:r>
        <w:t xml:space="preserve"> </w:t>
      </w:r>
      <w:hyperlink r:id="rId105">
        <w:r>
          <w:rPr>
            <w:rStyle w:val="Hyperlink"/>
          </w:rPr>
          <w:t xml:space="preserve">doi:10.6084/m9.figshare.1512427.v8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</w:t>
      </w:r>
      <w:r>
        <w:t xml:space="preserve"> </w:t>
      </w:r>
      <w:hyperlink r:id="rId106">
        <w:r>
          <w:rPr>
            <w:rStyle w:val="Hyperlink"/>
          </w:rPr>
          <w:t xml:space="preserve">doi:10.34740/kaggle/dsv/1183165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107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D, Wei J, Lü Q, Le J, Liao X. Privacy-preserving medical image processing based on cryptography primitives: a review of methods.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2026;2(4):100083.</w:t>
      </w:r>
      <w:r>
        <w:t xml:space="preserve"> </w:t>
      </w:r>
      <w:hyperlink r:id="rId108">
        <w:r>
          <w:rPr>
            <w:rStyle w:val="Hyperlink"/>
          </w:rPr>
          <w:t xml:space="preserve">doi:10.1016/j.intonc.2026.100083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Ramage D, Talwar K, Zhang L. Learning differentially private recurrent language models.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2017. arXiv:1710.06963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</w:t>
      </w:r>
      <w:r>
        <w:t xml:space="preserve"> </w:t>
      </w:r>
      <w:hyperlink r:id="rId109">
        <w:r>
          <w:rPr>
            <w:rStyle w:val="Hyperlink"/>
          </w:rPr>
          <w:t xml:space="preserve">doi:10.1371/journal.pone.0140381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</w:t>
      </w:r>
      <w:r>
        <w:t xml:space="preserve"> </w:t>
      </w:r>
      <w:hyperlink r:id="rId110">
        <w:r>
          <w:rPr>
            <w:rStyle w:val="Hyperlink"/>
          </w:rPr>
          <w:t xml:space="preserve">doi:10.1109/ICCV.2017.74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</w:t>
      </w:r>
      <w:r>
        <w:t xml:space="preserve"> </w:t>
      </w:r>
      <w:hyperlink r:id="rId111">
        <w:r>
          <w:rPr>
            <w:rStyle w:val="Hyperlink"/>
          </w:rPr>
          <w:t xml:space="preserve">doi:10.1109/WACV.2018.00097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</w:t>
      </w:r>
      <w:r>
        <w:t xml:space="preserve"> </w:t>
      </w:r>
      <w:hyperlink r:id="rId112">
        <w:r>
          <w:rPr>
            <w:rStyle w:val="Hyperlink"/>
          </w:rPr>
          <w:t xml:space="preserve">doi:10.1109/CVPR.2016.90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Dwork C, Roth A. The algorithmic foundations of differential privacy.</w:t>
      </w:r>
      <w:r>
        <w:t xml:space="preserve"> </w:t>
      </w:r>
      <w:r>
        <w:rPr>
          <w:iCs/>
          <w:i/>
        </w:rPr>
        <w:t xml:space="preserve">Found Trends Theor Comput Sci</w:t>
      </w:r>
      <w:r>
        <w:t xml:space="preserve">. 2014;9:211-407.</w:t>
      </w:r>
      <w:r>
        <w:t xml:space="preserve"> </w:t>
      </w:r>
      <w:hyperlink r:id="rId113">
        <w:r>
          <w:rPr>
            <w:rStyle w:val="Hyperlink"/>
          </w:rPr>
          <w:t xml:space="preserve">doi:10.1561/0400000042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Ranjan S, N P. Code and frozen results for: patient-level differential privacy, membership leakage and explanation fidelity in federated brain tumour MRI classification. Zenodo. Version v1.0-submission. 2026.</w:t>
      </w:r>
      <w:r>
        <w:t xml:space="preserve"> </w:t>
      </w:r>
      <w:hyperlink r:id="rId76">
        <w:r>
          <w:rPr>
            <w:rStyle w:val="Hyperlink"/>
          </w:rPr>
          <w:t xml:space="preserve">doi:10.5281/zenodo.23601090</w:t>
        </w:r>
      </w:hyperlink>
    </w:p>
    <w:bookmarkEnd w:id="114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83" Type="http://schemas.openxmlformats.org/officeDocument/2006/relationships/hyperlink" Target="https://doi.org/10.1007/978-3-030-11723-8_9" TargetMode="External"/><Relationship Id="rId95" Type="http://schemas.openxmlformats.org/officeDocument/2006/relationships/hyperlink" Target="https://doi.org/10.1007/s10278-025-01484-9" TargetMode="External"/><Relationship Id="rId86" Type="http://schemas.openxmlformats.org/officeDocument/2006/relationships/hyperlink" Target="https://doi.org/10.1016/j.intonc.2025.03.006" TargetMode="External"/><Relationship Id="rId82" Type="http://schemas.openxmlformats.org/officeDocument/2006/relationships/hyperlink" Target="https://doi.org/10.1016/j.intonc.2026.100049" TargetMode="External"/><Relationship Id="rId81" Type="http://schemas.openxmlformats.org/officeDocument/2006/relationships/hyperlink" Target="https://doi.org/10.1016/j.intonc.2026.100071" TargetMode="External"/><Relationship Id="rId108" Type="http://schemas.openxmlformats.org/officeDocument/2006/relationships/hyperlink" Target="https://doi.org/10.1016/j.intonc.2026.100083" TargetMode="External"/><Relationship Id="rId87" Type="http://schemas.openxmlformats.org/officeDocument/2006/relationships/hyperlink" Target="https://doi.org/10.1016/j.patter.2024.100974" TargetMode="External"/><Relationship Id="rId85" Type="http://schemas.openxmlformats.org/officeDocument/2006/relationships/hyperlink" Target="https://doi.org/10.1038/s41467-022-33407-5" TargetMode="External"/><Relationship Id="rId88" Type="http://schemas.openxmlformats.org/officeDocument/2006/relationships/hyperlink" Target="https://doi.org/10.1038/s41586-026-10688-0" TargetMode="External"/><Relationship Id="rId84" Type="http://schemas.openxmlformats.org/officeDocument/2006/relationships/hyperlink" Target="https://doi.org/10.1038/s41598-020-69250-1" TargetMode="External"/><Relationship Id="rId97" Type="http://schemas.openxmlformats.org/officeDocument/2006/relationships/hyperlink" Target="https://doi.org/10.1038/s41598-021-93030-0" TargetMode="External"/><Relationship Id="rId100" Type="http://schemas.openxmlformats.org/officeDocument/2006/relationships/hyperlink" Target="https://doi.org/10.1038/s41598-022-05539-7" TargetMode="External"/><Relationship Id="rId96" Type="http://schemas.openxmlformats.org/officeDocument/2006/relationships/hyperlink" Target="https://doi.org/10.1038/s41598-026-55847-5" TargetMode="External"/><Relationship Id="rId99" Type="http://schemas.openxmlformats.org/officeDocument/2006/relationships/hyperlink" Target="https://doi.org/10.1038/s42256-021-00337-8" TargetMode="External"/><Relationship Id="rId102" Type="http://schemas.openxmlformats.org/officeDocument/2006/relationships/hyperlink" Target="https://doi.org/10.1038/s42256-024-00858-y" TargetMode="External"/><Relationship Id="rId101" Type="http://schemas.openxmlformats.org/officeDocument/2006/relationships/hyperlink" Target="https://doi.org/10.1038/s43856-024-00462-6" TargetMode="External"/><Relationship Id="rId92" Type="http://schemas.openxmlformats.org/officeDocument/2006/relationships/hyperlink" Target="https://doi.org/10.1109/ACCESS.2026.3660305" TargetMode="External"/><Relationship Id="rId98" Type="http://schemas.openxmlformats.org/officeDocument/2006/relationships/hyperlink" Target="https://doi.org/10.1109/CSF.2017.11" TargetMode="External"/><Relationship Id="rId112" Type="http://schemas.openxmlformats.org/officeDocument/2006/relationships/hyperlink" Target="https://doi.org/10.1109/CVPR.2016.90" TargetMode="External"/><Relationship Id="rId110" Type="http://schemas.openxmlformats.org/officeDocument/2006/relationships/hyperlink" Target="https://doi.org/10.1109/ICCV.2017.74" TargetMode="External"/><Relationship Id="rId91" Type="http://schemas.openxmlformats.org/officeDocument/2006/relationships/hyperlink" Target="https://doi.org/10.1109/JBHI.2026.3679499" TargetMode="External"/><Relationship Id="rId103" Type="http://schemas.openxmlformats.org/officeDocument/2006/relationships/hyperlink" Target="https://doi.org/10.1109/SP46214.2022.9833649" TargetMode="External"/><Relationship Id="rId111" Type="http://schemas.openxmlformats.org/officeDocument/2006/relationships/hyperlink" Target="https://doi.org/10.1109/WACV.2018.00097" TargetMode="External"/><Relationship Id="rId89" Type="http://schemas.openxmlformats.org/officeDocument/2006/relationships/hyperlink" Target="https://doi.org/10.1145/2976749.2978318" TargetMode="External"/><Relationship Id="rId93" Type="http://schemas.openxmlformats.org/officeDocument/2006/relationships/hyperlink" Target="https://doi.org/10.1186/s12880-024-01261-0" TargetMode="External"/><Relationship Id="rId109" Type="http://schemas.openxmlformats.org/officeDocument/2006/relationships/hyperlink" Target="https://doi.org/10.1371/journal.pone.0140381" TargetMode="External"/><Relationship Id="rId113" Type="http://schemas.openxmlformats.org/officeDocument/2006/relationships/hyperlink" Target="https://doi.org/10.1561/0400000042" TargetMode="External"/><Relationship Id="rId94" Type="http://schemas.openxmlformats.org/officeDocument/2006/relationships/hyperlink" Target="https://doi.org/10.3389/fonc.2025.1535478" TargetMode="External"/><Relationship Id="rId104" Type="http://schemas.openxmlformats.org/officeDocument/2006/relationships/hyperlink" Target="https://doi.org/10.3389/frai.2024.1236947" TargetMode="External"/><Relationship Id="rId90" Type="http://schemas.openxmlformats.org/officeDocument/2006/relationships/hyperlink" Target="https://doi.org/10.3389/frai.2026.1754000" TargetMode="External"/><Relationship Id="rId106" Type="http://schemas.openxmlformats.org/officeDocument/2006/relationships/hyperlink" Target="https://doi.org/10.34740/kaggle/dsv/1183165" TargetMode="External"/><Relationship Id="rId76" Type="http://schemas.openxmlformats.org/officeDocument/2006/relationships/hyperlink" Target="https://doi.org/10.5281/zenodo.23601090" TargetMode="External"/><Relationship Id="rId105" Type="http://schemas.openxmlformats.org/officeDocument/2006/relationships/hyperlink" Target="https://doi.org/10.6084/m9.figshare.1512427.v8" TargetMode="External"/><Relationship Id="rId77" Type="http://schemas.openxmlformats.org/officeDocument/2006/relationships/hyperlink" Target="https://github.com/shashiranjan-jnu/dpfl-braintumor" TargetMode="External"/><Relationship Id="rId107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https://doi.org/10.1007/978-3-030-11723-8_9" TargetMode="External"/><Relationship Id="rId95" Type="http://schemas.openxmlformats.org/officeDocument/2006/relationships/hyperlink" Target="https://doi.org/10.1007/s10278-025-01484-9" TargetMode="External"/><Relationship Id="rId86" Type="http://schemas.openxmlformats.org/officeDocument/2006/relationships/hyperlink" Target="https://doi.org/10.1016/j.intonc.2025.03.006" TargetMode="External"/><Relationship Id="rId82" Type="http://schemas.openxmlformats.org/officeDocument/2006/relationships/hyperlink" Target="https://doi.org/10.1016/j.intonc.2026.100049" TargetMode="External"/><Relationship Id="rId81" Type="http://schemas.openxmlformats.org/officeDocument/2006/relationships/hyperlink" Target="https://doi.org/10.1016/j.intonc.2026.100071" TargetMode="External"/><Relationship Id="rId108" Type="http://schemas.openxmlformats.org/officeDocument/2006/relationships/hyperlink" Target="https://doi.org/10.1016/j.intonc.2026.100083" TargetMode="External"/><Relationship Id="rId87" Type="http://schemas.openxmlformats.org/officeDocument/2006/relationships/hyperlink" Target="https://doi.org/10.1016/j.patter.2024.100974" TargetMode="External"/><Relationship Id="rId85" Type="http://schemas.openxmlformats.org/officeDocument/2006/relationships/hyperlink" Target="https://doi.org/10.1038/s41467-022-33407-5" TargetMode="External"/><Relationship Id="rId88" Type="http://schemas.openxmlformats.org/officeDocument/2006/relationships/hyperlink" Target="https://doi.org/10.1038/s41586-026-10688-0" TargetMode="External"/><Relationship Id="rId84" Type="http://schemas.openxmlformats.org/officeDocument/2006/relationships/hyperlink" Target="https://doi.org/10.1038/s41598-020-69250-1" TargetMode="External"/><Relationship Id="rId97" Type="http://schemas.openxmlformats.org/officeDocument/2006/relationships/hyperlink" Target="https://doi.org/10.1038/s41598-021-93030-0" TargetMode="External"/><Relationship Id="rId100" Type="http://schemas.openxmlformats.org/officeDocument/2006/relationships/hyperlink" Target="https://doi.org/10.1038/s41598-022-05539-7" TargetMode="External"/><Relationship Id="rId96" Type="http://schemas.openxmlformats.org/officeDocument/2006/relationships/hyperlink" Target="https://doi.org/10.1038/s41598-026-55847-5" TargetMode="External"/><Relationship Id="rId99" Type="http://schemas.openxmlformats.org/officeDocument/2006/relationships/hyperlink" Target="https://doi.org/10.1038/s42256-021-00337-8" TargetMode="External"/><Relationship Id="rId102" Type="http://schemas.openxmlformats.org/officeDocument/2006/relationships/hyperlink" Target="https://doi.org/10.1038/s42256-024-00858-y" TargetMode="External"/><Relationship Id="rId101" Type="http://schemas.openxmlformats.org/officeDocument/2006/relationships/hyperlink" Target="https://doi.org/10.1038/s43856-024-00462-6" TargetMode="External"/><Relationship Id="rId92" Type="http://schemas.openxmlformats.org/officeDocument/2006/relationships/hyperlink" Target="https://doi.org/10.1109/ACCESS.2026.3660305" TargetMode="External"/><Relationship Id="rId98" Type="http://schemas.openxmlformats.org/officeDocument/2006/relationships/hyperlink" Target="https://doi.org/10.1109/CSF.2017.11" TargetMode="External"/><Relationship Id="rId112" Type="http://schemas.openxmlformats.org/officeDocument/2006/relationships/hyperlink" Target="https://doi.org/10.1109/CVPR.2016.90" TargetMode="External"/><Relationship Id="rId110" Type="http://schemas.openxmlformats.org/officeDocument/2006/relationships/hyperlink" Target="https://doi.org/10.1109/ICCV.2017.74" TargetMode="External"/><Relationship Id="rId91" Type="http://schemas.openxmlformats.org/officeDocument/2006/relationships/hyperlink" Target="https://doi.org/10.1109/JBHI.2026.3679499" TargetMode="External"/><Relationship Id="rId103" Type="http://schemas.openxmlformats.org/officeDocument/2006/relationships/hyperlink" Target="https://doi.org/10.1109/SP46214.2022.9833649" TargetMode="External"/><Relationship Id="rId111" Type="http://schemas.openxmlformats.org/officeDocument/2006/relationships/hyperlink" Target="https://doi.org/10.1109/WACV.2018.00097" TargetMode="External"/><Relationship Id="rId89" Type="http://schemas.openxmlformats.org/officeDocument/2006/relationships/hyperlink" Target="https://doi.org/10.1145/2976749.2978318" TargetMode="External"/><Relationship Id="rId93" Type="http://schemas.openxmlformats.org/officeDocument/2006/relationships/hyperlink" Target="https://doi.org/10.1186/s12880-024-01261-0" TargetMode="External"/><Relationship Id="rId109" Type="http://schemas.openxmlformats.org/officeDocument/2006/relationships/hyperlink" Target="https://doi.org/10.1371/journal.pone.0140381" TargetMode="External"/><Relationship Id="rId113" Type="http://schemas.openxmlformats.org/officeDocument/2006/relationships/hyperlink" Target="https://doi.org/10.1561/0400000042" TargetMode="External"/><Relationship Id="rId94" Type="http://schemas.openxmlformats.org/officeDocument/2006/relationships/hyperlink" Target="https://doi.org/10.3389/fonc.2025.1535478" TargetMode="External"/><Relationship Id="rId104" Type="http://schemas.openxmlformats.org/officeDocument/2006/relationships/hyperlink" Target="https://doi.org/10.3389/frai.2024.1236947" TargetMode="External"/><Relationship Id="rId90" Type="http://schemas.openxmlformats.org/officeDocument/2006/relationships/hyperlink" Target="https://doi.org/10.3389/frai.2026.1754000" TargetMode="External"/><Relationship Id="rId106" Type="http://schemas.openxmlformats.org/officeDocument/2006/relationships/hyperlink" Target="https://doi.org/10.34740/kaggle/dsv/1183165" TargetMode="External"/><Relationship Id="rId76" Type="http://schemas.openxmlformats.org/officeDocument/2006/relationships/hyperlink" Target="https://doi.org/10.5281/zenodo.23601090" TargetMode="External"/><Relationship Id="rId105" Type="http://schemas.openxmlformats.org/officeDocument/2006/relationships/hyperlink" Target="https://doi.org/10.6084/m9.figshare.1512427.v8" TargetMode="External"/><Relationship Id="rId77" Type="http://schemas.openxmlformats.org/officeDocument/2006/relationships/hyperlink" Target="https://github.com/shashiranjan-jnu/dpfl-braintumor" TargetMode="External"/><Relationship Id="rId107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2026-10-25T17:10:54Z</dcterms:created>
  <dcterms:modified xsi:type="dcterms:W3CDTF">2026-10-25T17:10:54Z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