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thical-statement"/>
    <w:p>
      <w:pPr>
        <w:pStyle w:val="Heading1"/>
      </w:pPr>
      <w:r>
        <w:t xml:space="preserve">Ethical statement</w:t>
      </w:r>
    </w:p>
    <w:p>
      <w:pPr>
        <w:pStyle w:val="FirstParagraph"/>
      </w:pPr>
      <w:r>
        <w:rPr>
          <w:bCs/>
          <w:b/>
        </w:rPr>
        <w:t xml:space="preserve">Title.</w:t>
      </w:r>
      <w:r>
        <w:t xml:space="preserve"> </w:t>
      </w:r>
      <w:r>
        <w:t xml:space="preserve">Patient-level differential privacy, membership leakage and explanation fidelity in federated brain tumour MRI classification</w:t>
      </w:r>
    </w:p>
    <w:p>
      <w:pPr>
        <w:pStyle w:val="BodyText"/>
      </w:pPr>
      <w:r>
        <w:t xml:space="preserve">The study used only publicly released, de-identified images from Figshare, SARTAJ and Br35H, and no new patient data</w:t>
      </w:r>
      <w:r>
        <w:t xml:space="preserve"> </w:t>
      </w:r>
      <w:r>
        <w:t xml:space="preserve">were collected. Ethics approval and informed consent were therefore not required.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2026-10-25T16:49:00Z</dcterms:created>
  <dcterms:modified xsi:type="dcterms:W3CDTF">2026-10-25T16:49:00Z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