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ableCaption"/>
        <w:jc w:val="left"/>
      </w:pPr>
      <w:r>
        <w:t xml:space="preserve">Table 1. Images per source.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 Images per source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Four-class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Deduplicated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SARTAJ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Br35H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Each baseline isolates one effect. Non-private central and FedAvg models give the utility without protection, the</w:t>
      </w:r>
      <w:r>
        <w:t xml:space="preserve"> </w:t>
      </w:r>
      <w:r>
        <w:t xml:space="preserve">clip-only ablation isolates clipping, and local-only models trained on one client give the floor that federation</w:t>
      </w:r>
      <w:r>
        <w:t xml:space="preserve"> </w:t>
      </w:r>
      <w:r>
        <w:t xml:space="preserve">must beat. FedProx and SCAFFOLD are standard corrections for client drift, and the weight-noise comparator</w:t>
      </w:r>
      <w:r>
        <w:t xml:space="preserve"> </w:t>
      </w:r>
      <w:r>
        <w:t xml:space="preserve">reproduces the mechanism of the closest prior work. Balanced accuracy is the primary utility metric because the four</w:t>
      </w:r>
      <w:r>
        <w:t xml:space="preserve"> </w:t>
      </w:r>
      <w:r>
        <w:t xml:space="preserve">classes are imbalanced across sources, and Table 2 lists the training settings.</w:t>
      </w:r>
    </w:p>
    <w:p>
      <w:pPr>
        <w:pStyle w:val="TableCaption"/>
        <w:jc w:val="left"/>
      </w:pPr>
      <w:r>
        <w:t xml:space="preserve">Table 2. Training and audit settings.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 Training and audit setting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ResNet-18, ImageNet weights, one-channel stem, frozen BatchNorm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and augmentation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  <w:r>
              <w:t xml:space="preserve"> </w:t>
            </w:r>
            <w:r>
              <w:t xml:space="preserve">pixels, random horizontal flip with probability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SGD, momentum 0.9, no weight decay, cosine decay over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central, 0.003 or 0.01 federated (selected at seed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Rounds and local steps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(one local epoch at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Clipping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per example or unit under DP, global norm 1.0 without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 multiplier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12.885, 4.832, 2.179, 1.353, 0.922, 0.673 for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 </w:t>
            </w:r>
            <w:r>
              <w:t xml:space="preserve">of 1, 3, 8, 16, 32, 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with the lowest validation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5 reported, 0 for selection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shadow models per target configuration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All models were trained in PyTorch 2.11.0 with CUDA 12.8 and per-example gradients from</w:t>
      </w:r>
      <w:r>
        <w:t xml:space="preserve"> </w:t>
      </w:r>
      <w:r>
        <w:rPr>
          <w:rStyle w:val="VerbatimChar"/>
        </w:rPr>
        <w:t xml:space="preserve">torch.func</w:t>
      </w:r>
      <w:r>
        <w:t xml:space="preserve"> </w:t>
      </w:r>
      <w:r>
        <w:t xml:space="preserve">and the Rényi accountant of Opacus 1.6.0, on Kaggle machines with two NVIDIA T4 GPUs. The 608</w:t>
      </w:r>
      <w:r>
        <w:t xml:space="preserve"> </w:t>
      </w:r>
      <w:r>
        <w:t xml:space="preserve">reported runs and the audit took 58.7 GPU hours. Each run is identified by a hash of its resolved</w:t>
      </w:r>
      <w:r>
        <w:t xml:space="preserve"> </w:t>
      </w:r>
      <w:r>
        <w:t xml:space="preserve">configuration, and all tables and figures were regenerated on Kaggle from the stored run files and frozen with SHA-256</w:t>
      </w:r>
      <w:r>
        <w:t xml:space="preserve"> </w:t>
      </w:r>
      <w:r>
        <w:t xml:space="preserve">hashes before writing.</w:t>
      </w:r>
    </w:p>
    <w:p>
      <w:pPr>
        <w:pStyle w:val="TableCaption"/>
        <w:jc w:val="left"/>
      </w:pPr>
      <w:r>
        <w:t xml:space="preserve">Table 3. Clean-set balanced accuracy, mean (95% CI) over five seeds.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 Clean-set balanced accuracy, mean (95% CI) over five seed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only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Central,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(0.894, 0.921)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(0.818, 0.871)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(0.739, 0.818)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(0.572, 0.723)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(0.272, 0.379)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Central,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(0.894, 0.921)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(0.852, 0.891)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(0.284, 0.390)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(0.248, 0.253)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FedAvg, natural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(0.833, 0.848)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(0.731, 0.800)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(0.659, 0.688)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(0.463, 0.586)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FedAvg, Dir. 0.5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(0.852, 0.887)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(0.626, 0.712)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(0.548, 0.631)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(0.280, 0.383)</w:t>
            </w:r>
          </w:p>
        </w:tc>
      </w:tr>
    </w:tbl>
    <w:p>
      <w:pPr>
        <w:pStyle w:val="TableCaption"/>
        <w:jc w:val="left"/>
      </w:pPr>
      <w:r>
        <w:t xml:space="preserve">Table 4. Clean-set sensitivity per class, mean over five seeds.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 Clean-set sensitivity per class, mean over five seed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Glioma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Meningioma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tumour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Pituitary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Clip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Patient,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Weight noise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For FedAvg on the natural partition the cost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was 0.076 (</w:t>
      </w:r>
      <m:oMath>
        <m:r>
          <m:t>0.841</m:t>
        </m:r>
        <m:r>
          <m:rPr>
            <m:sty m:val="p"/>
          </m:rPr>
          <m:t>−</m:t>
        </m:r>
        <m:r>
          <m:t>0.765</m:t>
        </m:r>
      </m:oMath>
      <w:r>
        <w:t xml:space="preserve">), and the diamond in</w:t>
      </w:r>
      <w:r>
        <w:t xml:space="preserve"> </w:t>
      </w:r>
      <w:r>
        <w:t xml:space="preserve">Fig. 2 marks the unclipped weight-noise comparator, which has no formal</w:t>
      </w:r>
      <w:r>
        <w:t xml:space="preserve"> </w:t>
      </w:r>
      <m:oMath>
        <m:r>
          <m:t>ε</m:t>
        </m:r>
      </m:oMath>
      <w:r>
        <w:t xml:space="preserve">. Local-only training on any</w:t>
      </w:r>
      <w:r>
        <w:t xml:space="preserve"> </w:t>
      </w:r>
      <w:r>
        <w:t xml:space="preserve">single natural client stayed below federated accuracy, at most 0.625 for the Figshare client (Supplementary Table S4).</w:t>
      </w:r>
      <w:r>
        <w:t xml:space="preserve"> </w:t>
      </w:r>
      <w:r>
        <w:t xml:space="preserve">Patient-level DP was far more expensive at the same</w:t>
      </w:r>
      <w:r>
        <w:t xml:space="preserve"> </w:t>
      </w:r>
      <m:oMath>
        <m:r>
          <m:t>ε</m:t>
        </m:r>
      </m:oMath>
      <w:r>
        <w:t xml:space="preserve">. Patient-level clip-only training reached 0.872, so</w:t>
      </w:r>
      <w:r>
        <w:t xml:space="preserve"> </w:t>
      </w:r>
      <w:r>
        <w:t xml:space="preserve">counting each patient once did not by itself harm accuracy, but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accuracy fell to 0.337.</w:t>
      </w:r>
    </w:p>
    <w:p>
      <w:pPr>
        <w:pStyle w:val="TableCaption"/>
        <w:jc w:val="left"/>
      </w:pPr>
      <w:r>
        <w:t xml:space="preserve">Table 5. Online LiRA against FedAvg on the natural partition, mean (95% CI) over five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5. Online LiRA against FedAvg on the natural partition, mean (95% CI) over five target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Bal. 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TPR,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  <w:r>
              <w:rPr>
                <w:vertAlign w:val="superscript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TPR,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(0.642, 0.689)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(0.081, 0.135)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(0.085, 0.138)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(0.019, 0.046)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(0.762, 0.848)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(0.448, 0.480)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(0.012, 0.022)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(0.007, 0.023)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(0.003, 0.008)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(0.427, 0.481)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(0.522, 0.567)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(0.008, 0.023)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(0.003, 0.023)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(0.002, 0.005)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(0.529, 0.605)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(0.469, 0.489)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(0.006, 0.015)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(0.006, 0.015)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(0.000, 0.005)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(0.413, 0.500)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noise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(0.572, 0.616)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(0.038, 0.051)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(0.036, 0.057)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(0.012, 0.020)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(0.713, 0.778)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Diverged</w:t>
            </w:r>
            <w:r>
              <w:rPr>
                <w:vertAlign w:val="superscript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(0.437, 0.511)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(0.023, 0.053)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(0.010, 0.037)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(0.002, 0.003)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(0.497, 0.539)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Under DP the TPR at 1% FPR was 0.010 to 0.017, but the value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exceeded the nominal 0.010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0.014</m:t>
        </m:r>
      </m:oMath>
      <w:r>
        <w:t xml:space="preserve">). The members and the clean non-members differ in composition, since Br35H forms 230 of 2610 members</w:t>
      </w:r>
      <w:r>
        <w:t xml:space="preserve"> </w:t>
      </w:r>
      <w:r>
        <w:t xml:space="preserve">(8.8%) but 6 of 747 non-members (0.8%), and no-tumour images 432 of 2610 (16.6%) against 60 of 747 (8.0%). With</w:t>
      </w:r>
      <w:r>
        <w:t xml:space="preserve"> </w:t>
      </w:r>
      <w:r>
        <w:t xml:space="preserve">non-members reweighted to the members’ source and class mix, the rate was 0.111 without DP and 0.010 to 0.015 under</w:t>
      </w:r>
      <w:r>
        <w:t xml:space="preserve"> </w:t>
      </w:r>
      <w:r>
        <w:t xml:space="preserve">DP, none significantly above 0.010 (</w:t>
      </w:r>
      <m:oMath>
        <m:r>
          <m:t>p</m:t>
        </m:r>
        <m:r>
          <m:rPr>
            <m:sty m:val="p"/>
          </m:rPr>
          <m:t>≥</m:t>
        </m:r>
        <m:r>
          <m:t>0.174</m:t>
        </m:r>
      </m:oMath>
      <w:r>
        <w:t xml:space="preserve">). Restricting both groups to Figshare gave 0.010 to 0.018 under DP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≥</m:t>
        </m:r>
        <m:r>
          <m:t>0.078</m:t>
        </m:r>
      </m:oMath>
      <w:r>
        <w:t xml:space="preserve">, Supplementary Table S20).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