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deduplicated</w:t>
      </w:r>
      <w:r>
        <w:t xml:space="preserve"> </w:t>
      </w:r>
      <w:r>
        <w:t xml:space="preserve">benchmark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Authors.</w:t>
      </w:r>
      <w:r>
        <w:t xml:space="preserve"> </w:t>
      </w:r>
      <w:r>
        <w:t xml:space="preserve">Names, affiliations and the corresponding author’s full contact details to be completed.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on public MRI collections report accuracies above</w:t>
      </w:r>
      <w:r>
        <w:t xml:space="preserve"> </w:t>
      </w:r>
      <w:r>
        <w:t xml:space="preserve">92%, yet the merged sources contain duplicated images, and privacy claims rarely state an accounted budget or a</w:t>
      </w:r>
      <w:r>
        <w:t xml:space="preserve"> </w:t>
      </w:r>
      <w:r>
        <w:t xml:space="preserve">privacy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study measures what formally accounted differential privacy (DP) costs and protects</w:t>
      </w:r>
      <w:r>
        <w:t xml:space="preserve"> </w:t>
      </w:r>
      <w:r>
        <w:t xml:space="preserve">in federated brain tumour MRI classification, at the level of single images and of whole patients, on a deduplicated</w:t>
      </w:r>
      <w:r>
        <w:t xml:space="preserve"> </w:t>
      </w:r>
      <w:r>
        <w:t xml:space="preserve">benchmark.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by perceptual hashing into 3845 images</w:t>
      </w:r>
      <w:r>
        <w:t xml:space="preserve"> </w:t>
      </w:r>
      <w:r>
        <w:t xml:space="preserve">with patient-disjoint splits, and a later correlation check removed 66 mirrored near-duplicates from the test set. A</w:t>
      </w:r>
      <w:r>
        <w:t xml:space="preserve"> </w:t>
      </w:r>
      <w:r>
        <w:t xml:space="preserve">pretrained ResNet-18 was trained centrally and with FedAvg, FedProx and SCAFFOLD under record-level and</w:t>
      </w:r>
      <w:r>
        <w:t xml:space="preserve"> </w:t>
      </w:r>
      <w:r>
        <w:t xml:space="preserve">patient-level DP-SGD, with Rényi accounting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 five seeds per setting. Leakage was audited</w:t>
      </w:r>
      <w:r>
        <w:t xml:space="preserve"> </w:t>
      </w:r>
      <w:r>
        <w:t xml:space="preserve">with LiRA using 16 shadow models, and Grad-CAM was scored against expert tumour masks and across seeds.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Under DP, accuracy</w:t>
      </w:r>
      <w:r>
        <w:t xml:space="preserve"> </w:t>
      </w:r>
      <w:r>
        <w:t xml:space="preserve">declined with client count at fixed data,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. For federated models</w:t>
      </w:r>
      <w:r>
        <w:t xml:space="preserve"> </w:t>
      </w:r>
      <w:r>
        <w:t xml:space="preserve">without DP, LiRA identified 10.8% of training images at 1% false positives and training patients with AUC 0.805,</w:t>
      </w:r>
      <w:r>
        <w:t xml:space="preserve"> </w:t>
      </w:r>
      <w:r>
        <w:t xml:space="preserve">whereas every DP setting stayed at chance. Unclipped weight noise at matched utility still leaked, and Grad-CAM</w:t>
      </w:r>
      <w:r>
        <w:t xml:space="preserve"> </w:t>
      </w:r>
      <w:r>
        <w:t xml:space="preserve">consistency fell from 0.70 to 0.24 in step with accuracy.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removes measurable image and patient leakage at a</w:t>
      </w:r>
      <w:r>
        <w:t xml:space="preserve"> </w:t>
      </w:r>
      <w:r>
        <w:t xml:space="preserve">cost of 0.08 (federated) to 0.13 (central) in balanced accuracy, whereas a formal per-patient guarantee costs far</w:t>
      </w:r>
      <w:r>
        <w:t xml:space="preserve"> </w:t>
      </w:r>
      <w:r>
        <w:t xml:space="preserve">more at this data scale.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Differential privacy; Membership inference; Brain tumour MRI; Explainable artificial intelligence; Data leakage</w:t>
      </w:r>
    </w:p>
    <w:bookmarkEnd w:id="20"/>
    <w:bookmarkStart w:id="22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Federated learning lets hospitals train a shared tumour classifier without pooling scans, and early brain tumour</w:t>
      </w:r>
      <w:r>
        <w:t xml:space="preserve"> </w:t>
      </w:r>
      <w:r>
        <w:t xml:space="preserve">studies showed that federated models approach the accuracy of centrally trained ones.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 large body of later work evaluates the same idea on public four-class MRI collections assembled from Figshare,</w:t>
      </w:r>
      <w:r>
        <w:t xml:space="preserve"> </w:t>
      </w:r>
      <w:r>
        <w:t xml:space="preserve">SARTAJ and Br35H, with reported accuracies between 92% and 99%.</w:t>
      </w:r>
      <w:r>
        <w:rPr>
          <w:vertAlign w:val="superscript"/>
        </w:rPr>
        <w:t xml:space="preserve">4-7</w:t>
      </w:r>
    </w:p>
    <w:p>
      <w:pPr>
        <w:pStyle w:val="BodyText"/>
        <w:spacing w:line="480" w:lineRule="auto"/>
        <w:jc w:val="left"/>
      </w:pPr>
      <w:r>
        <w:t xml:space="preserve">Those collections overlap. Vangala et al. found that 28.8% of a widely used Kaggle test split has a near-twin in</w:t>
      </w:r>
      <w:r>
        <w:t xml:space="preserve"> </w:t>
      </w:r>
      <w:r>
        <w:t xml:space="preserve">training and that most traceable Figshare test images share a patient with training images.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Accuracy measured on such splits partly rewards memorised duplicates, so it cannot show what privacy protection</w:t>
      </w:r>
      <w:r>
        <w:t xml:space="preserve"> </w:t>
      </w:r>
      <w:r>
        <w:t xml:space="preserve">costs a model that must generalise to unseen patients.</w:t>
      </w:r>
    </w:p>
    <w:p>
      <w:pPr>
        <w:pStyle w:val="BodyText"/>
        <w:spacing w:line="480" w:lineRule="auto"/>
        <w:jc w:val="left"/>
      </w:pPr>
      <w:r>
        <w:t xml:space="preserve">Privacy claims in the same literature are seldom checkable. Several federated studies add noise but do not state</w:t>
      </w:r>
      <w:r>
        <w:t xml:space="preserve"> </w:t>
      </w:r>
      <w:r>
        <w:t xml:space="preserve">the privacy budget</w:t>
      </w:r>
      <w:r>
        <w:t xml:space="preserve"> </w:t>
      </w:r>
      <m:oMath>
        <m:r>
          <m:t>ε</m:t>
        </m:r>
      </m:oMath>
      <w:r>
        <w:t xml:space="preserve">, the failure probability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unit being protected.</w:t>
      </w:r>
      <w:r>
        <w:rPr>
          <w:vertAlign w:val="superscript"/>
        </w:rPr>
        <w:t xml:space="preserve">9,10</w:t>
      </w:r>
      <w:r>
        <w:t xml:space="preserve"> </w:t>
      </w:r>
      <w:r>
        <w:t xml:space="preserve">Differentially private stochastic gradient descent (DP-SGD) bounds each example’s influence by clipping its gradient</w:t>
      </w:r>
      <w:r>
        <w:t xml:space="preserve"> </w:t>
      </w:r>
      <w:r>
        <w:t xml:space="preserve">before adding calibrated noise.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closest prior work on federated brain tumour MRI instead adds</w:t>
      </w:r>
      <w:r>
        <w:t xml:space="preserve"> </w:t>
      </w:r>
      <w:r>
        <w:t xml:space="preserve">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</w:t>
      </w:r>
      <w:r>
        <w:t xml:space="preserve"> </w:t>
      </w:r>
      <w:r>
        <w:t xml:space="preserve">3.4 cannot be derived from the mechanism.</w:t>
      </w:r>
      <w:r>
        <w:rPr>
          <w:vertAlign w:val="superscript"/>
        </w:rPr>
        <w:t xml:space="preserve">12</w:t>
      </w:r>
    </w:p>
    <w:p>
      <w:pPr>
        <w:pStyle w:val="BodyText"/>
        <w:spacing w:line="480" w:lineRule="auto"/>
        <w:jc w:val="left"/>
      </w:pPr>
      <w:r>
        <w:t xml:space="preserve">Formal privacy in medical imaging has a measurable price. Kaissis et al. trained a three-site federated model on</w:t>
      </w:r>
      <w:r>
        <w:t xml:space="preserve"> </w:t>
      </w:r>
      <w:r>
        <w:t xml:space="preserve">paediatric chest radiographs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, and accuracy fell while remaining comparable to two</w:t>
      </w:r>
      <w:r>
        <w:t xml:space="preserve"> </w:t>
      </w:r>
      <w:r>
        <w:t xml:space="preserve">radiologists.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Large budgets can already block reconstruction attacks at small cost.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Knolle et al. showed, however, that patients contributing several similar records can face near-perfect membership</w:t>
      </w:r>
      <w:r>
        <w:t xml:space="preserve"> </w:t>
      </w:r>
      <w:r>
        <w:t xml:space="preserve">inference even when an aggregate attack looks random.</w:t>
      </w:r>
      <w:r>
        <w:rPr>
          <w:vertAlign w:val="superscript"/>
        </w:rPr>
        <w:t xml:space="preserve">15</w:t>
      </w:r>
    </w:p>
    <w:p>
      <w:pPr>
        <w:pStyle w:val="BodyText"/>
        <w:spacing w:line="480" w:lineRule="auto"/>
        <w:jc w:val="left"/>
      </w:pPr>
      <w:r>
        <w:t xml:space="preserve">That finding matters for slice-based MRI, where one Figshare patient contributes about 13 slices. A guarantee per</w:t>
      </w:r>
      <w:r>
        <w:t xml:space="preserve"> </w:t>
      </w:r>
      <w:r>
        <w:t xml:space="preserve">image then protects a patient only through group privacy, roughly 13 times weaker, so a privacy unit of one patient</w:t>
      </w:r>
      <w:r>
        <w:t xml:space="preserve"> </w:t>
      </w:r>
      <w:r>
        <w:t xml:space="preserve">is the clinically meaningful choice. Explanations raise a second question, since DP is known to degrade</w:t>
      </w:r>
      <w:r>
        <w:t xml:space="preserve"> </w:t>
      </w:r>
      <w:r>
        <w:t xml:space="preserve">gradient-based attributions,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yet localisation against expert tumour masks under</w:t>
      </w:r>
      <w:r>
        <w:t xml:space="preserve"> </w:t>
      </w:r>
      <w:r>
        <w:t xml:space="preserve">federated DP has not been measured.</w:t>
      </w:r>
    </w:p>
    <w:p>
      <w:pPr>
        <w:pStyle w:val="BodyText"/>
        <w:spacing w:line="480" w:lineRule="auto"/>
        <w:jc w:val="left"/>
      </w:pPr>
      <w:r>
        <w:t xml:space="preserve">This study addresses these gaps on a deduplicated three-source benchmark with expert tumour masks.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It</w:t>
      </w:r>
      <w:r>
        <w:t xml:space="preserve"> </w:t>
      </w:r>
      <w:r>
        <w:t xml:space="preserve">asks what record-level and patient-level DP cost in accuracy, how client count and drift correction change that cost,</w:t>
      </w:r>
      <w:r>
        <w:t xml:space="preserve"> </w:t>
      </w:r>
      <w:r>
        <w:t xml:space="preserve">whether measured leakage follows the formal guarantee, and how explanations change under privacy.</w:t>
      </w:r>
    </w:p>
    <w:bookmarkStart w:id="21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10,189 source</w:t>
      </w:r>
      <w:r>
        <w:t xml:space="preserve"> </w:t>
      </w:r>
      <w:r>
        <w:t xml:space="preserve">files to 3845 images split by patient, and an independent correlation check found 66 mirrored near-duplicates in the</w:t>
      </w:r>
      <w:r>
        <w:t xml:space="preserve"> </w:t>
      </w:r>
      <w:r>
        <w:t xml:space="preserve">test set, 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privacy-utility map at two privacy units.</w:t>
      </w:r>
      <w:r>
        <w:t xml:space="preserve"> </w:t>
      </w:r>
      <w:r>
        <w:t xml:space="preserve">Central and federated models were trained under</w:t>
      </w:r>
      <w:r>
        <w:t xml:space="preserve"> </w:t>
      </w:r>
      <w:r>
        <w:t xml:space="preserve">record-level and patient-level DP-SGD with Rényi accounting and five seeds per setting.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 balanced accuracy centrally,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the same</w:t>
      </w:r>
      <w:r>
        <w:t xml:space="preserve"> </w:t>
      </w:r>
      <w:r>
        <w:t xml:space="preserve">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noise-scale explanation of client count under DP.</w:t>
      </w:r>
      <w:r>
        <w:t xml:space="preserve"> </w:t>
      </w:r>
      <w:r>
        <w:t xml:space="preserve">Splitting the same data across more clients</w:t>
      </w:r>
      <w:r>
        <w:t xml:space="preserve"> </w:t>
      </w:r>
      <w:r>
        <w:t xml:space="preserve">reduced accuracy under DP,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and the aggregated noise scale predicted</w:t>
      </w:r>
      <w:r>
        <w:t xml:space="preserve"> </w:t>
      </w:r>
      <w:r>
        <w:t xml:space="preserve">this decline. FedProx 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detected training images and</w:t>
      </w:r>
      <w:r>
        <w:t xml:space="preserve"> </w:t>
      </w:r>
      <w:r>
        <w:t xml:space="preserve">patients without DP and found nothing above chance under any DP setting. An unclipped weight-noise mechanism at</w:t>
      </w:r>
      <w:r>
        <w:t xml:space="preserve"> </w:t>
      </w:r>
      <w:r>
        <w:t xml:space="preserve">matched utility still leaked.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against expert masks and its consistency</w:t>
      </w:r>
      <w:r>
        <w:t xml:space="preserve"> </w:t>
      </w:r>
      <w:r>
        <w:t xml:space="preserve">across seeds both fell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shrank, and the fall tracked accuracy closely (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).</w:t>
      </w:r>
    </w:p>
    <w:p>
      <w:pPr>
        <w:pStyle w:val="FirstParagraph"/>
        <w:spacing w:line="480" w:lineRule="auto"/>
        <w:jc w:val="left"/>
      </w:pPr>
      <w:r>
        <w:t xml:space="preserve">Section 2 describes the data, training and audit protocol that produced these results.</w:t>
      </w:r>
    </w:p>
    <w:bookmarkEnd w:id="21"/>
    <w:bookmarkEnd w:id="22"/>
    <w:bookmarkStart w:id="32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3" w:name="data-sources-and-deduplication"/>
    <w:p>
      <w:pPr>
        <w:pStyle w:val="Heading2"/>
        <w:spacing w:line="480" w:lineRule="auto"/>
        <w:jc w:val="left"/>
      </w:pPr>
      <w:r>
        <w:t xml:space="preserve">Data sources and deduplication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SARTAJ (3264 images) and Br35H (3861 images). Glioma, meningioma,</w:t>
      </w:r>
      <w:r>
        <w:t xml:space="preserve"> </w:t>
      </w:r>
      <w:r>
        <w:t xml:space="preserve">pituitary tumour and no-tumour labels were kept, which left 7828 images before deduplication.</w:t>
      </w:r>
    </w:p>
    <w:p>
      <w:pPr>
        <w:pStyle w:val="BodyText"/>
        <w:spacing w:line="480" w:lineRule="auto"/>
        <w:jc w:val="left"/>
      </w:pPr>
      <w:r>
        <w:t xml:space="preserve">Each image was rescaled to 8-bit intensity between its 0.5th and 99.5th percentiles,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A 64-bit discrete cosine transform perceptual hash was computed per</w:t>
      </w:r>
      <w:r>
        <w:t xml:space="preserve"> </w:t>
      </w:r>
      <w:r>
        <w:t xml:space="preserve">image. Pairs within Hamming distance 4 were treated as duplicates, and pairs within distance 6, together with all</w:t>
      </w:r>
      <w:r>
        <w:t xml:space="preserve"> </w:t>
      </w:r>
      <w:r>
        <w:t xml:space="preserve">slices of one Figshare patient, were linked into one split unit.</w:t>
      </w:r>
    </w:p>
    <w:p>
      <w:pPr>
        <w:pStyle w:val="BodyText"/>
        <w:spacing w:line="480" w:lineRule="auto"/>
        <w:jc w:val="left"/>
      </w:pPr>
      <w:r>
        <w:t xml:space="preserve">Duplicate groups kept one image, preferring Figshare over SARTAJ over Br35H. Groups with conflicting labels were</w:t>
      </w:r>
      <w:r>
        <w:t xml:space="preserve"> </w:t>
      </w:r>
      <w:r>
        <w:t xml:space="preserve">removed (26 images within groups and 23 non-Figshare images conflicting with Figshare), and 48 pairs of Figshare</w:t>
      </w:r>
      <w:r>
        <w:t xml:space="preserve"> </w:t>
      </w:r>
      <w:r>
        <w:t xml:space="preserve">patients sharing a slice were merged into single units. The curated set holds 3845 images in 821 training and test</w:t>
      </w:r>
      <w:r>
        <w:t xml:space="preserve"> </w:t>
      </w:r>
      <w:r>
        <w:t xml:space="preserve">units plus 103 validation units (Table 1).</w:t>
      </w:r>
    </w:p>
    <w:p>
      <w:pPr>
        <w:pStyle w:val="BodyText"/>
        <w:spacing w:line="480" w:lineRule="auto"/>
        <w:jc w:val="left"/>
      </w:pPr>
      <w:r>
        <w:t xml:space="preserve">Units were assigned to training, validation and test splits with seed 2026, giving 2610, 422 and 813 images with no</w:t>
      </w:r>
      <w:r>
        <w:t xml:space="preserve"> </w:t>
      </w:r>
      <w:r>
        <w:t xml:space="preserve">Figshare patient in two splits. As a later check, every pair of curated images was compared by normalised</w:t>
      </w:r>
      <w:r>
        <w:t xml:space="preserve"> </w:t>
      </w:r>
      <w:r>
        <w:t xml:space="preserve">cross-correlation (NCC) of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versions, both as stored and with one image mirrored.</w:t>
      </w:r>
    </w:p>
    <w:p>
      <w:pPr>
        <w:pStyle w:val="BodyText"/>
        <w:spacing w:line="480" w:lineRule="auto"/>
        <w:jc w:val="left"/>
      </w:pPr>
      <w:r>
        <w:t xml:space="preserve">A test image with NCC of at least 0.95 to any image in another split, a threshold fixed before the check, was marked</w:t>
      </w:r>
      <w:r>
        <w:t xml:space="preserve"> </w:t>
      </w:r>
      <w:r>
        <w:t xml:space="preserve">contaminated. This marked 66 test images, of which 120 of the underlying 148 cross-split pairs matched only after</w:t>
      </w:r>
      <w:r>
        <w:t xml:space="preserve"> </w:t>
      </w:r>
      <w:r>
        <w:t xml:space="preserve">mirroring, a case the perceptual hash cannot detect. All results use the remaining 747 clean test images, and</w:t>
      </w:r>
      <w:r>
        <w:t xml:space="preserve"> </w:t>
      </w:r>
      <w:r>
        <w:t xml:space="preserve">full-set values are given in the supplement.</w:t>
      </w:r>
    </w:p>
    <w:bookmarkEnd w:id="23"/>
    <w:bookmarkStart w:id="24" w:name="federated-partitions"/>
    <w:p>
      <w:pPr>
        <w:pStyle w:val="Heading2"/>
        <w:spacing w:line="480" w:lineRule="auto"/>
        <w:jc w:val="left"/>
      </w:pPr>
      <w:r>
        <w:t xml:space="preserve">Federated partitions</w:t>
      </w:r>
    </w:p>
    <w:p>
      <w:pPr>
        <w:pStyle w:val="FirstParagraph"/>
        <w:spacing w:line="480" w:lineRule="auto"/>
        <w:jc w:val="left"/>
      </w:pPr>
      <w:r>
        <w:t xml:space="preserve">The natural partition (natural3) assigns each source to one client, giving clients of 2029 (Figshare), 351 (SARTAJ)</w:t>
      </w:r>
      <w:r>
        <w:t xml:space="preserve"> </w:t>
      </w:r>
      <w:r>
        <w:t xml:space="preserve">and 230 (Br35H) training images with strong label skew, since no-tumour images come only from SARTAJ and Br35H.</w:t>
      </w:r>
      <w:r>
        <w:t xml:space="preserve"> </w:t>
      </w:r>
      <w:r>
        <w:t xml:space="preserve">Synthetic partitions split the same 2610 images into 10 clients, either uniformly at random or by a Dirichlet prior</w:t>
      </w:r>
      <w:r>
        <w:t xml:space="preserve"> </w:t>
      </w:r>
      <w:r>
        <w:t xml:space="preserve">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19</w:t>
      </w:r>
    </w:p>
    <w:p>
      <w:pPr>
        <w:pStyle w:val="BodyText"/>
        <w:spacing w:line="480" w:lineRule="auto"/>
        <w:jc w:val="left"/>
      </w:pPr>
      <w:r>
        <w:t xml:space="preserve">To test the effect of client count at fixed data,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</w:t>
      </w:r>
      <w:r>
        <w:t xml:space="preserve"> </w:t>
      </w:r>
      <w:r>
        <w:t xml:space="preserve">clients. For patient-level DP, a Dirichlet partition over whole units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keeps every patient on</w:t>
      </w:r>
      <w:r>
        <w:t xml:space="preserve"> </w:t>
      </w:r>
      <w:r>
        <w:t xml:space="preserve">one client.</w:t>
      </w:r>
    </w:p>
    <w:bookmarkEnd w:id="24"/>
    <w:bookmarkStart w:id="25" w:name="model-and-training"/>
    <w:p>
      <w:pPr>
        <w:pStyle w:val="Heading2"/>
        <w:spacing w:line="480" w:lineRule="auto"/>
        <w:jc w:val="left"/>
      </w:pPr>
      <w:r>
        <w:t xml:space="preserve">Model and training</w:t>
      </w:r>
    </w:p>
    <w:p>
      <w:pPr>
        <w:pStyle w:val="FirstParagraph"/>
        <w:spacing w:line="480" w:lineRule="auto"/>
        <w:jc w:val="left"/>
      </w:pPr>
      <w:r>
        <w:t xml:space="preserve">All models are an ImageNet-pretrained ResNet-18</w:t>
      </w:r>
      <w:r>
        <w:rPr>
          <w:vertAlign w:val="superscript"/>
        </w:rPr>
        <w:t xml:space="preserve">20</w:t>
      </w:r>
      <w:r>
        <w:t xml:space="preserve"> </w:t>
      </w:r>
      <w:r>
        <w:t xml:space="preserve">whose first convolution sums the RGB filters into one</w:t>
      </w:r>
      <w:r>
        <w:t xml:space="preserve"> </w:t>
      </w:r>
      <w:r>
        <w:t xml:space="preserve">input channel. Batch normalisation layers stay in inference mode with their pretrained statistics, so the network is</w:t>
      </w:r>
      <w:r>
        <w:t xml:space="preserve"> </w:t>
      </w:r>
      <w:r>
        <w:t xml:space="preserve">a per-example function and per-example clipping remains valid, while their affine parameters are trained.</w:t>
      </w:r>
    </w:p>
    <w:p>
      <w:pPr>
        <w:pStyle w:val="BodyText"/>
        <w:spacing w:line="480" w:lineRule="auto"/>
        <w:jc w:val="left"/>
      </w:pPr>
      <w:r>
        <w:t xml:space="preserve">Federated training uses FedAvg</w:t>
      </w:r>
      <w:r>
        <w:rPr>
          <w:vertAlign w:val="superscript"/>
        </w:rPr>
        <w:t xml:space="preserve">21</w:t>
      </w:r>
      <w:r>
        <w:t xml:space="preserve"> </w:t>
      </w:r>
      <w:r>
        <w:t xml:space="preserve">with full participation and size-weighted averaging over 100 rounds.</w:t>
      </w:r>
      <w:r>
        <w:t xml:space="preserve"> </w:t>
      </w:r>
      <w:r>
        <w:t xml:space="preserve">Each round, every client runs one local epoch of 10 steps with Poisson sampling at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, stochastic gradient</w:t>
      </w:r>
      <w:r>
        <w:t xml:space="preserve"> </w:t>
      </w:r>
      <w:r>
        <w:t xml:space="preserve">descent with momentum 0.9, a cosine learning-rate schedule and random horizontal flips.</w:t>
      </w:r>
    </w:p>
    <w:p>
      <w:pPr>
        <w:pStyle w:val="BodyText"/>
        <w:spacing w:line="480" w:lineRule="auto"/>
        <w:jc w:val="left"/>
      </w:pPr>
      <w:r>
        <w:t xml:space="preserve">Central training is the one-client case on the pooled training set. The released model is the round with the lowest</w:t>
      </w:r>
      <w:r>
        <w:t xml:space="preserve"> </w:t>
      </w:r>
      <w:r>
        <w:t xml:space="preserve">validation loss. Without DP, gradients are clipped to a global norm of 1.0 for stability.</w:t>
      </w:r>
    </w:p>
    <w:bookmarkEnd w:id="25"/>
    <w:bookmarkStart w:id="26" w:name="Xc7e15d06ecc459859afaaebc578f341d3be770d"/>
    <w:p>
      <w:pPr>
        <w:pStyle w:val="Heading2"/>
        <w:spacing w:line="480" w:lineRule="auto"/>
        <w:jc w:val="left"/>
      </w:pPr>
      <w:r>
        <w:t xml:space="preserve">Record-level and patient-level differential privacy</w:t>
      </w:r>
    </w:p>
    <w:p>
      <w:pPr>
        <w:pStyle w:val="FirstParagraph"/>
        <w:spacing w:line="480" w:lineRule="auto"/>
        <w:jc w:val="left"/>
      </w:pPr>
      <w:r>
        <w:t xml:space="preserve">Record-level DP-SGD</w:t>
      </w:r>
      <w:r>
        <w:rPr>
          <w:vertAlign w:val="superscript"/>
        </w:rPr>
        <w:t xml:space="preserve">11</w:t>
      </w:r>
      <w:r>
        <w:t xml:space="preserve"> </w:t>
      </w:r>
      <w:r>
        <w:t xml:space="preserve">clips each example’s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to the sum</w:t>
      </w:r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client</w:t>
      </w:r>
      <w:r>
        <w:t xml:space="preserve"> </w:t>
      </w:r>
      <m:oMath>
        <m:r>
          <m:t>j</m:t>
        </m:r>
      </m:oMath>
      <w:r>
        <w:t xml:space="preserve">, as in Eq. (1),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sampled</w:t>
      </w:r>
      <w:r>
        <w:t xml:space="preserve"> </w:t>
      </w:r>
      <w:r>
        <w:t xml:space="preserve">batch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the noise multiplier.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</m:oMath>
      </m:oMathPara>
    </w:p>
    <w:p>
      <w:pPr>
        <w:pStyle w:val="FirstParagraph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22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 the 1000 local steps. Targets</w:t>
      </w:r>
      <w:r>
        <w:t xml:space="preserve"> </w:t>
      </w:r>
      <w:r>
        <w:t xml:space="preserve">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plus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effect of clipping from</w:t>
      </w:r>
      <w:r>
        <w:t xml:space="preserve"> </w:t>
      </w:r>
      <w:r>
        <w:t xml:space="preserve">that of noise.</w:t>
      </w:r>
    </w:p>
    <w:p>
      <w:pPr>
        <w:pStyle w:val="BodyText"/>
        <w:spacing w:line="480" w:lineRule="auto"/>
        <w:jc w:val="left"/>
      </w:pPr>
      <w:r>
        <w:t xml:space="preserve">Patient-level DP replaces images by units. Units are Poisson-sampled at rate</w:t>
      </w:r>
      <w:r>
        <w:t xml:space="preserve"> </w:t>
      </w:r>
      <m:oMath>
        <m:r>
          <m:t>q</m:t>
        </m:r>
      </m:oMath>
      <w:r>
        <w:t xml:space="preserve">, the mean gradient of each sampled</w:t>
      </w:r>
      <w:r>
        <w:t xml:space="preserve"> </w:t>
      </w:r>
      <w:r>
        <w:t xml:space="preserve">unit is clipped to</w:t>
      </w:r>
      <w:r>
        <w:t xml:space="preserve"> </w:t>
      </w:r>
      <m:oMath>
        <m:r>
          <m:t>C</m:t>
        </m:r>
      </m:oMath>
      <w:r>
        <w:t xml:space="preserve">, and noise is added to the sum before division by</w:t>
      </w:r>
      <w:r>
        <w:t xml:space="preserve"> </w:t>
      </w:r>
      <m:oMath>
        <m:r>
          <m:t>q</m:t>
        </m:r>
        <m:r>
          <m:t> 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counts the client’s</w:t>
      </w:r>
      <w:r>
        <w:t xml:space="preserve"> </w:t>
      </w:r>
      <w:r>
        <w:t xml:space="preserve">units.</w:t>
      </w:r>
    </w:p>
    <w:p>
      <w:pPr>
        <w:pStyle w:val="BodyText"/>
        <w:spacing w:line="480" w:lineRule="auto"/>
        <w:jc w:val="left"/>
      </w:pPr>
      <w:r>
        <w:t xml:space="preserve">The guarantee then holds per patient, with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composed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mechanisms. Central</w:t>
      </w:r>
      <w:r>
        <w:t xml:space="preserve"> </w:t>
      </w:r>
      <w:r>
        <w:t xml:space="preserve">patient-level models used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3, 8, 16, 32 and 64, and federated ones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Because learning</w:t>
      </w:r>
      <w:r>
        <w:t xml:space="preserve"> </w:t>
      </w:r>
      <w:r>
        <w:t xml:space="preserve">rates were chosen on validation data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also reported, following Papernot and Steinke.</w:t>
      </w:r>
      <w:r>
        <w:rPr>
          <w:vertAlign w:val="superscript"/>
        </w:rPr>
        <w:t xml:space="preserve">24</w:t>
      </w:r>
    </w:p>
    <w:bookmarkEnd w:id="26"/>
    <w:bookmarkStart w:id="27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10 was</w:t>
      </w:r>
      <w:r>
        <w:t xml:space="preserve"> </w:t>
      </w:r>
      <w:r>
        <w:t xml:space="preserve">screened on validation loss at seed 0. SCAFFOLD</w:t>
      </w:r>
      <w:r>
        <w:rPr>
          <w:vertAlign w:val="superscript"/>
        </w:rPr>
        <w:t xml:space="preserve">26</w:t>
      </w:r>
      <w:r>
        <w:t xml:space="preserve"> </w:t>
      </w:r>
      <w:r>
        <w:t xml:space="preserve">uses option II control variates, with two</w:t>
      </w:r>
      <w:r>
        <w:t xml:space="preserve"> </w:t>
      </w:r>
      <w:r>
        <w:t xml:space="preserve">corrections required by this setting.</w:t>
      </w:r>
    </w:p>
    <w:p>
      <w:pPr>
        <w:pStyle w:val="BodyText"/>
        <w:spacing w:line="480" w:lineRule="auto"/>
        <w:jc w:val="left"/>
      </w:pPr>
      <w:r>
        <w:t xml:space="preserve">The normaliser of the control variate uses the displacement of heavy-ball momentum,</w:t>
      </w:r>
      <w:r>
        <w:t xml:space="preserve"> </w:t>
      </w:r>
      <m:oMath>
        <m:r>
          <m:t>η</m:t>
        </m:r>
        <m:r>
          <m:t> 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k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instead of</w:t>
      </w:r>
      <w:r>
        <w:t xml:space="preserve"> </w:t>
      </w:r>
      <m:oMath>
        <m:r>
          <m:t>K</m:t>
        </m:r>
        <m:r>
          <m:t>η</m:t>
        </m:r>
      </m:oMath>
      <w:r>
        <w:t xml:space="preserve">, 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</w:t>
      </w:r>
      <w:r>
        <w:t xml:space="preserve"> </w:t>
      </w:r>
      <w:r>
        <w:t xml:space="preserve">local steps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momentum. The server control variate is averaged with the same size weights as the model,</w:t>
      </w:r>
      <w:r>
        <w:t xml:space="preserve"> </w:t>
      </w:r>
      <w:r>
        <w:t xml:space="preserve">and an ablation keeps the uniform average.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 each</w:t>
      </w:r>
      <w:r>
        <w:t xml:space="preserve"> </w:t>
      </w:r>
      <w:r>
        <w:t xml:space="preserve">client’s weights after local training, without clipping or accounting. The literal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 a</w:t>
      </w:r>
      <w:r>
        <w:t xml:space="preserve"> </w:t>
      </w:r>
      <w:r>
        <w:t xml:space="preserve">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</w:t>
      </w:r>
    </w:p>
    <w:p>
      <w:pPr>
        <w:pStyle w:val="BodyText"/>
        <w:spacing w:line="480" w:lineRule="auto"/>
        <w:jc w:val="left"/>
      </w:pPr>
      <w:r>
        <w:t xml:space="preserve">That rule took the largest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</w:t>
      </w:r>
      <w:r>
        <w:t xml:space="preserve"> </w:t>
      </w:r>
      <w:r>
        <w:t xml:space="preserve">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natural3,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27"/>
    <w:bookmarkStart w:id="28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The likelihood-ratio attack LiRA</w:t>
      </w:r>
      <w:r>
        <w:rPr>
          <w:vertAlign w:val="superscript"/>
        </w:rPr>
        <w:t xml:space="preserve">27</w:t>
      </w:r>
      <w:r>
        <w:t xml:space="preserve"> </w:t>
      </w:r>
      <w:r>
        <w:t xml:space="preserve">was run against natural3 FedAvg at no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8, 3 and 1, and against the weight-noise comparator. Each target configuration has 16 shadow models trained with the</w:t>
      </w:r>
      <w:r>
        <w:t xml:space="preserve"> </w:t>
      </w:r>
      <w:r>
        <w:t xml:space="preserve">target’s own settings and noise multiplier.</w:t>
      </w:r>
    </w:p>
    <w:p>
      <w:pPr>
        <w:pStyle w:val="BodyText"/>
        <w:spacing w:line="480" w:lineRule="auto"/>
        <w:jc w:val="left"/>
      </w:pPr>
      <w:r>
        <w:t xml:space="preserve">Each shadow model trains on a random half of the training and test units, so every patient is wholly in or out. The</w:t>
      </w:r>
      <w:r>
        <w:t xml:space="preserve"> </w:t>
      </w:r>
      <w:r>
        <w:t xml:space="preserve">attack statistic is the logit of the true-class confidence on the image and its mirror, and online LiRA compares</w:t>
      </w:r>
      <w:r>
        <w:t xml:space="preserve"> </w:t>
      </w:r>
      <w:r>
        <w:t xml:space="preserve">Gaussian fits to IN and OUT shadow statistics with one pooled variance per side.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Patient-level scores sum image scores over a</w:t>
      </w:r>
      <w:r>
        <w:t xml:space="preserve"> </w:t>
      </w:r>
      <w:r>
        <w:t xml:space="preserve">Figshare patient, comparing 126 training with 40 test patients. True-positive rates at 1% and 0.1% false-positive</w:t>
      </w:r>
      <w:r>
        <w:t xml:space="preserve"> </w:t>
      </w:r>
      <w:r>
        <w:t xml:space="preserve">rate are the primary measures, with AUC reported alongside.</w:t>
      </w:r>
    </w:p>
    <w:bookmarkEnd w:id="28"/>
    <w:bookmarkStart w:id="29" w:name="explanation-metrics"/>
    <w:p>
      <w:pPr>
        <w:pStyle w:val="Heading2"/>
        <w:spacing w:line="480" w:lineRule="auto"/>
        <w:jc w:val="left"/>
      </w:pPr>
      <w:r>
        <w:t xml:space="preserve">Explanation metrics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28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Integrated</w:t>
      </w:r>
      <w:r>
        <w:t xml:space="preserve"> </w:t>
      </w:r>
      <w:r>
        <w:t xml:space="preserve">Gradients</w:t>
      </w:r>
      <w:r>
        <w:rPr>
          <w:vertAlign w:val="superscript"/>
        </w:rPr>
        <w:t xml:space="preserve">30</w:t>
      </w:r>
      <w:r>
        <w:t xml:space="preserve"> </w:t>
      </w:r>
      <w:r>
        <w:t xml:space="preserve">with a black baseline were computed for the 645 Figshare test tumour images that have</w:t>
      </w:r>
      <w:r>
        <w:t xml:space="preserve"> </w:t>
      </w:r>
      <w:r>
        <w:t xml:space="preserve">expert masks. Localisation used the pointing game with a 3-pixel tolerance, the IoU of the top 15% of pixels with the</w:t>
      </w:r>
      <w:r>
        <w:t xml:space="preserve"> </w:t>
      </w:r>
      <w:r>
        <w:t xml:space="preserve">mask and the share of saliency inside the mask.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checked that maps depend on learned weights, and the outer 8-pixel rim of the brain was scored</w:t>
      </w:r>
      <w:r>
        <w:t xml:space="preserve"> </w:t>
      </w:r>
      <w:r>
        <w:t xml:space="preserve">to detect skull-border artefacts.</w:t>
      </w:r>
    </w:p>
    <w:p>
      <w:pPr>
        <w:pStyle w:val="BodyText"/>
        <w:spacing w:line="480" w:lineRule="auto"/>
        <w:jc w:val="left"/>
      </w:pPr>
      <w:r>
        <w:t xml:space="preserve">Consistency across seeds followed Gupta et al.,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each model’s Grad-CAM pixels and those of the mean map, computed per</w:t>
      </w:r>
      <w:r>
        <w:t xml:space="preserve"> </w:t>
      </w:r>
      <w:r>
        <w:t xml:space="preserve">image at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resolution.</w:t>
      </w:r>
    </w:p>
    <w:bookmarkEnd w:id="29"/>
    <w:bookmarkStart w:id="30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Because no-tumour images come only from SARTAJ and Br35H, accuracy was also computed on SARTAJ alone, the only source</w:t>
      </w:r>
      <w:r>
        <w:t xml:space="preserve"> </w:t>
      </w:r>
      <w:r>
        <w:t xml:space="preserve">with all four classes. A logistic-regression probe on penultimate features tested whether the source collection is</w:t>
      </w:r>
      <w:r>
        <w:t xml:space="preserve"> </w:t>
      </w:r>
      <w:r>
        <w:t xml:space="preserve">decodable among images of one class, and the same probe on an ImageNet-initialised and a randomly initialised network</w:t>
      </w:r>
      <w:r>
        <w:t xml:space="preserve"> </w:t>
      </w:r>
      <w:r>
        <w:t xml:space="preserve">gave baselines.</w:t>
      </w:r>
    </w:p>
    <w:bookmarkEnd w:id="30"/>
    <w:bookmarkStart w:id="31" w:name="statistics-and-reproducibility"/>
    <w:p>
      <w:pPr>
        <w:pStyle w:val="Heading2"/>
        <w:spacing w:line="480" w:lineRule="auto"/>
        <w:jc w:val="left"/>
      </w:pPr>
      <w:r>
        <w:t xml:space="preserve">Statistics and reproducibility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with seed 0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 are</w:t>
      </w:r>
      <w:r>
        <w:t xml:space="preserve"> </w:t>
      </w:r>
      <w:r>
        <w:t xml:space="preserve">seed means with</w:t>
      </w:r>
      <w:r>
        <w:t xml:space="preserve"> </w:t>
      </w:r>
      <m:oMath>
        <m:r>
          <m:t>t</m:t>
        </m:r>
      </m:oMath>
      <w:r>
        <w:t xml:space="preserve">-based 95% confidence intervals, and SCAFFOLD was compared with FedAvg by paired</w:t>
      </w:r>
      <w:r>
        <w:t xml:space="preserve"> </w:t>
      </w:r>
      <m:oMath>
        <m:r>
          <m:t>t</m:t>
        </m:r>
      </m:oMath>
      <w:r>
        <w:t xml:space="preserve">-tests over</w:t>
      </w:r>
      <w:r>
        <w:t xml:space="preserve"> </w:t>
      </w:r>
      <w:r>
        <w:t xml:space="preserve">seeds with Holm correction across 15 configurations.</w:t>
      </w:r>
    </w:p>
    <w:p>
      <w:pPr>
        <w:pStyle w:val="BodyText"/>
        <w:spacing w:line="480" w:lineRule="auto"/>
        <w:jc w:val="left"/>
      </w:pPr>
      <w:r>
        <w:t xml:space="preserve">The client-count effect was estimated as the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privacy level.</w:t>
      </w:r>
      <w:r>
        <w:t xml:space="preserve"> </w:t>
      </w:r>
      <w:r>
        <w:t xml:space="preserve">Explanation metrics within one model carry 95% intervals from 2000 bootstrap resamples of test patients.</w:t>
      </w:r>
    </w:p>
    <w:p>
      <w:pPr>
        <w:pStyle w:val="BodyText"/>
        <w:spacing w:line="480" w:lineRule="auto"/>
        <w:jc w:val="left"/>
      </w:pPr>
      <w:r>
        <w:t xml:space="preserve">All training ran on Kaggle with two NVIDIA T4 GPUs, about 64 GPU hours in total, from tagged code versions. Each run</w:t>
      </w:r>
      <w:r>
        <w:t xml:space="preserve"> </w:t>
      </w:r>
      <w:r>
        <w:t xml:space="preserve">is identified by a hash of its resolved configuration. The tables and figures were regenerated on Kaggle from the</w:t>
      </w:r>
      <w:r>
        <w:t xml:space="preserve"> </w:t>
      </w:r>
      <w:r>
        <w:t xml:space="preserve">stored run files and frozen with SHA-256 hashes before writing.</w:t>
      </w:r>
    </w:p>
    <w:p>
      <w:pPr>
        <w:pStyle w:val="BodyText"/>
        <w:spacing w:line="480" w:lineRule="auto"/>
        <w:jc w:val="left"/>
      </w:pPr>
      <w:r>
        <w:t xml:space="preserve">These procedures produced the measurements reported next, beginning with the accuracy cost of each privacy setting.</w:t>
      </w:r>
    </w:p>
    <w:bookmarkEnd w:id="31"/>
    <w:bookmarkEnd w:id="32"/>
    <w:bookmarkStart w:id="40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33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Deduplication removed half of all labelled images, mostly because SARTAJ and Br35H repeat each other and Figshare</w:t>
      </w:r>
      <w:r>
        <w:t xml:space="preserve"> </w:t>
      </w:r>
      <w:r>
        <w:t xml:space="preserve">(Table 1). The NCC check then removed 66 test images, almost all Br35H no-tumour images whose mirrored</w:t>
      </w:r>
      <w:r>
        <w:t xml:space="preserve"> </w:t>
      </w:r>
      <w:r>
        <w:t xml:space="preserve">copies sat in training or validation.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 labels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After deduplication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Removing the contaminated images lowered balanced accuracy by 0.01 to 0.05 in every configuration, and by up to</w:t>
      </w:r>
      <w:r>
        <w:t xml:space="preserve"> </w:t>
      </w:r>
      <w:r>
        <w:t xml:space="preserve">0.072 in a single run. DP models lost slightly more than non-private ones, so the full test set flattered private</w:t>
      </w:r>
      <w:r>
        <w:t xml:space="preserve"> </w:t>
      </w:r>
      <w:r>
        <w:t xml:space="preserve">models a little more than non-private ones, and all conclusions below hold on both sets (Supplementary Table S3).</w:t>
      </w:r>
    </w:p>
    <w:bookmarkEnd w:id="33"/>
    <w:bookmarkStart w:id="34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and accuracy approached</w:t>
      </w:r>
      <w:r>
        <w:t xml:space="preserve"> </w:t>
      </w:r>
      <w:r>
        <w:t xml:space="preserve">chance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(Table 2, Fig. 1). Clipping alone cost 0.063, so most of the</w:t>
      </w:r>
      <w:r>
        <w:t xml:space="preserve"> </w:t>
      </w:r>
      <w:r>
        <w:t xml:space="preserve">loss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came from noise rather than clipping.</w:t>
      </w:r>
    </w:p>
    <w:p>
      <w:pPr>
        <w:pStyle w:val="TableCaption"/>
        <w:jc w:val="left"/>
      </w:pPr>
      <w:r>
        <w:t xml:space="preserve">Table 2. Balanced accuracy on the clean test set, mean over five seeds with 95% confidence 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Balanced accuracy on the clean test set, mean over five seed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record-level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Dirichlet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0.5,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</w:t>
      </w:r>
      <w:r>
        <w:t xml:space="preserve"> </w:t>
      </w:r>
      <w:r>
        <w:t xml:space="preserve">so weighting each patient once did not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Matching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therefore needed a patient-level budget about</w:t>
      </w:r>
      <w:r>
        <w:t xml:space="preserve"> </w:t>
      </w:r>
      <w:r>
        <w:t xml:space="preserve">eight times larger.</w:t>
      </w:r>
    </w:p>
    <w:p>
      <w:pPr>
        <w:pStyle w:val="BodyText"/>
        <w:spacing w:line="480" w:lineRule="auto"/>
        <w:jc w:val="left"/>
      </w:pPr>
      <w:r>
        <w:t xml:space="preserve">The gap follows from the noise scale. Patient-level noise is divided by the number of units, 634 in training, rather</w:t>
      </w:r>
      <w:r>
        <w:t xml:space="preserve"> </w:t>
      </w:r>
      <w:r>
        <w:t xml:space="preserve">than by 2610 images, so the same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produces about four times more noise in each averaged update.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not a weak guarantee per patient by accident. A Figshare patient contributes a median</w:t>
      </w:r>
      <w:r>
        <w:t xml:space="preserve"> </w:t>
      </w:r>
      <w:r>
        <w:t xml:space="preserve">of 13 slices, so group privacy bounds that patient’s loss only at roughly 13 times the per-image budget.</w:t>
      </w:r>
    </w:p>
    <w:bookmarkEnd w:id="34"/>
    <w:bookmarkStart w:id="35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With the same 2610 images split across more clients, accuracy fell under DP but not without it</w:t>
      </w:r>
      <w:r>
        <w:t xml:space="preserve"> </w:t>
      </w:r>
      <w:r>
        <w:t xml:space="preserve">(Fig. 2).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), from 0.677 with</w:t>
      </w:r>
      <w:r>
        <w:t xml:space="preserve"> </w:t>
      </w:r>
      <w:r>
        <w:t xml:space="preserve">three clients to 0.525 with 15.</w:t>
      </w:r>
    </w:p>
    <w:p>
      <w:pPr>
        <w:pStyle w:val="BodyText"/>
        <w:spacing w:line="480" w:lineRule="auto"/>
        <w:jc w:val="left"/>
      </w:pP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decline reached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with a learning rate of 0.01, but</w:t>
      </w:r>
      <w:r>
        <w:t xml:space="preserve"> </w:t>
      </w:r>
      <w:r>
        <w:t xml:space="preserve">almost vanished with the rate of 0.003 tuned for 10 clients (</w:t>
      </w:r>
      <m:oMath>
        <m:r>
          <m:rPr>
            <m:sty m:val="p"/>
          </m:rPr>
          <m:t>−</m:t>
        </m:r>
        <m:r>
          <m:t>0.016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0.38</m:t>
        </m:r>
      </m:oMath>
      <w:r>
        <w:t xml:space="preserve">).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With size-weighted averaging, the noise in the averaged update has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whatever</w:t>
      </w:r>
      <w:r>
        <w:t xml:space="preserve"> </w:t>
      </w:r>
      <w:r>
        <w:t xml:space="preserve">the client sizes, so both privacy levels lie on one curve against this quantity. Client count, not label skew, set the</w:t>
      </w:r>
      <w:r>
        <w:t xml:space="preserve"> </w:t>
      </w:r>
      <w:r>
        <w:t xml:space="preserve">cost of DP here, which also explains why the three-client natural3 partition held up best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 changed validation</w:t>
      </w:r>
      <w:r>
        <w:t xml:space="preserve"> </w:t>
      </w:r>
      <w:r>
        <w:t xml:space="preserve">loss by less than one seed standard deviation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made models worse without DP and</w:t>
      </w:r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</w:t>
      </w:r>
      <w:r>
        <w:t xml:space="preserve"> </w:t>
      </w:r>
      <w:r>
        <w:t xml:space="preserve">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</w:t>
      </w:r>
      <w:r>
        <w:t xml:space="preserve"> </w:t>
      </w:r>
      <w:r>
        <w:t xml:space="preserve">falling to 0.590 against 0.825 on natural3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 the full test set.</w:t>
      </w:r>
    </w:p>
    <w:bookmarkEnd w:id="36"/>
    <w:bookmarkStart w:id="37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Without DP, LiRA identified training images and especially training patients well above chance</w:t>
      </w:r>
      <w:r>
        <w:t xml:space="preserve"> </w:t>
      </w:r>
      <w:r>
        <w:t xml:space="preserve">(Table 3, Fig. 3). At a 1% false-positive rate it found 10.8% of training images, and</w:t>
      </w:r>
      <w:r>
        <w:t xml:space="preserve"> </w:t>
      </w:r>
      <w:r>
        <w:t xml:space="preserve">summed over slices it separated training from test patients with AUC 0.805.</w:t>
      </w:r>
    </w:p>
    <w:p>
      <w:pPr>
        <w:pStyle w:val="TableCaption"/>
        <w:jc w:val="left"/>
      </w:pPr>
      <w:r>
        <w:t xml:space="preserve">Table 3. Online LiRA against natural3 FedAvg, 16 shadow models,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Online LiRA against natural3 FedAvg, 16 shadow models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 at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 at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true-positive rate at 1% false positives stayed between 0.010 and 0.017, the level of a</w:t>
      </w:r>
      <w:r>
        <w:t xml:space="preserve"> </w:t>
      </w:r>
      <w:r>
        <w:t xml:space="preserve">random guess. Average-case AUC under DP moved slightly away from 0.5 in both directions, which reflects the smaller</w:t>
      </w:r>
      <w:r>
        <w:t xml:space="preserve"> </w:t>
      </w:r>
      <w:r>
        <w:t xml:space="preserve">training sets of the shadow models rather than leakage, since the low-false-positive tail stayed at chance.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value of the prior work, training diverged in all 21</w:t>
      </w:r>
      <w:r>
        <w:t xml:space="preserve"> </w:t>
      </w:r>
      <w:r>
        <w:t xml:space="preserve">runs and produced no usable model.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yet the attack</w:t>
      </w:r>
      <w:r>
        <w:t xml:space="preserve"> </w:t>
      </w:r>
      <w:r>
        <w:t xml:space="preserve">found 4.5% of training images at 1% false positives and training patients with AUC 0.745.</w:t>
      </w:r>
    </w:p>
    <w:p>
      <w:pPr>
        <w:pStyle w:val="BodyText"/>
        <w:spacing w:line="480" w:lineRule="auto"/>
        <w:jc w:val="left"/>
      </w:pPr>
      <w:r>
        <w:t xml:space="preserve">A simpler loss-threshold attack was weak even without DP, with AUC 0.52 to 0.54. Computed within each source and</w:t>
      </w:r>
      <w:r>
        <w:t xml:space="preserve"> </w:t>
      </w:r>
      <w:r>
        <w:t xml:space="preserve">class, it stayed below 0.5 under DP, which confirms that its sub-chance values were not caused by the mix of sources</w:t>
      </w:r>
      <w:r>
        <w:t xml:space="preserve"> </w:t>
      </w:r>
      <w:r>
        <w:t xml:space="preserve">in each split.</w:t>
      </w:r>
    </w:p>
    <w:bookmarkEnd w:id="37"/>
    <w:bookmarkStart w:id="38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</w:t>
      </w:r>
    </w:p>
    <w:p>
      <w:pPr>
        <w:pStyle w:val="BodyText"/>
        <w:spacing w:line="480" w:lineRule="auto"/>
        <w:jc w:val="left"/>
      </w:pPr>
      <w:r>
        <w:t xml:space="preserve">Masks cover 1.8% of the image on average, so these values remain well above chance but far from precise</w:t>
      </w:r>
      <w:r>
        <w:t xml:space="preserve"> </w:t>
      </w:r>
      <w:r>
        <w:t xml:space="preserve">localisation. Grad-CAM placed 0.17 to 0.19 of its mass on the outer brain rim, below the rim’s area share of 0.33, and</w:t>
      </w:r>
      <w:r>
        <w:t xml:space="preserve"> </w:t>
      </w:r>
      <w:r>
        <w:t xml:space="preserve">placed less mass outside the brain than the area share of the background.</w:t>
      </w:r>
    </w:p>
    <w:p>
      <w:pPr>
        <w:pStyle w:val="BodyText"/>
        <w:spacing w:line="480" w:lineRule="auto"/>
        <w:jc w:val="left"/>
      </w:pPr>
      <w:r>
        <w:t xml:space="preserve">Consistency across seeds fell from 0.700 without DP to 0.663 with clipping alone and to 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 (Fig. 4a). Patient-level models stayed between 0.22 and 0.29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Across all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(Fig. 4b), and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0.85</m:t>
        </m:r>
      </m:oMath>
      <w:r>
        <w:t xml:space="preserve">. Once accuracy entered a regression, the</w:t>
      </w:r>
      <w:r>
        <w:t xml:space="preserve"> </w:t>
      </w:r>
      <w:r>
        <w:t xml:space="preserve">noise multiplier added no explanatory power for IoU (</w:t>
      </w:r>
      <m:oMath>
        <m:r>
          <m:t>p</m:t>
        </m:r>
        <m:r>
          <m:rPr>
            <m:sty m:val="p"/>
          </m:rPr>
          <m:t>=</m:t>
        </m:r>
        <m:r>
          <m:t>0.51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Integrated Gradients failed the randomisation test, since maps from a fully re-initialised network kept a Spearman</w:t>
      </w:r>
      <w:r>
        <w:t xml:space="preserve"> </w:t>
      </w:r>
      <w:r>
        <w:t xml:space="preserve">correlation of 0.68 to 0.71 with the trained maps. Grad-CAM passed, with correlations between</w:t>
      </w:r>
      <w:r>
        <w:t xml:space="preserve"> </w:t>
      </w:r>
      <m:oMath>
        <m:r>
          <m:rPr>
            <m:sty m:val="p"/>
          </m:rPr>
          <m:t>−</m:t>
        </m:r>
        <m:r>
          <m:t>0.05</m:t>
        </m:r>
      </m:oMath>
      <w:r>
        <w:t xml:space="preserve"> </w:t>
      </w:r>
      <w:r>
        <w:t xml:space="preserve">and 0.39, so</w:t>
      </w:r>
      <w:r>
        <w:t xml:space="preserve"> </w:t>
      </w:r>
      <w:r>
        <w:t xml:space="preserve">its numbers are the ones interpreted here.</w:t>
      </w:r>
    </w:p>
    <w:bookmarkEnd w:id="38"/>
    <w:bookmarkStart w:id="39" w:name="source-controls-1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close to the</w:t>
      </w:r>
      <w:r>
        <w:t xml:space="preserve"> </w:t>
      </w:r>
      <w:r>
        <w:t xml:space="preserve">0.871 of the ImageNet initialisation and the 0.846 of a random network.</w:t>
      </w:r>
    </w:p>
    <w:p>
      <w:pPr>
        <w:pStyle w:val="BodyText"/>
        <w:spacing w:line="480" w:lineRule="auto"/>
        <w:jc w:val="left"/>
      </w:pPr>
      <w:r>
        <w:t xml:space="preserve">Source therefore lives in the images themselves, and training added only about 0.04 to it. Accuracy on SARTAJ alone,</w:t>
      </w:r>
      <w:r>
        <w:t xml:space="preserve"> </w:t>
      </w:r>
      <w:r>
        <w:t xml:space="preserve">the one source with all four classes, was 0.663 for central models without DP on the full test set, far below the</w:t>
      </w:r>
      <w:r>
        <w:t xml:space="preserve"> </w:t>
      </w:r>
      <w:r>
        <w:t xml:space="preserve">pooled 0.919, which shows how strongly per-source composition shapes headline accuracy.</w:t>
      </w:r>
    </w:p>
    <w:p>
      <w:pPr>
        <w:pStyle w:val="BodyText"/>
        <w:spacing w:line="480" w:lineRule="auto"/>
        <w:jc w:val="left"/>
      </w:pPr>
      <w:r>
        <w:t xml:space="preserve">These measurements raise questions about why privacy cost so much more per patient than per image, and what the</w:t>
      </w:r>
      <w:r>
        <w:t xml:space="preserve"> </w:t>
      </w:r>
      <w:r>
        <w:t xml:space="preserve">audit does and does not show, which the next section discusses.</w:t>
      </w:r>
    </w:p>
    <w:bookmarkEnd w:id="39"/>
    <w:bookmarkEnd w:id="40"/>
    <w:bookmarkStart w:id="47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41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tell one consistent story. Without DP, a federated model trained on 2610 images leaks</w:t>
      </w:r>
      <w:r>
        <w:t xml:space="preserve"> </w:t>
      </w:r>
      <w:r>
        <w:t xml:space="preserve">enough for LiRA to flag one training image in ten at a 1% false-positive rate, and patient-level aggregation makes</w:t>
      </w:r>
      <w:r>
        <w:t xml:space="preserve"> </w:t>
      </w:r>
      <w:r>
        <w:t xml:space="preserve">the leak clearer still.</w:t>
      </w:r>
    </w:p>
    <w:p>
      <w:pPr>
        <w:pStyle w:val="BodyText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signal, at a cost of 0.08 in balanced accuracy for</w:t>
      </w:r>
      <w:r>
        <w:t xml:space="preserve"> </w:t>
      </w:r>
      <w:r>
        <w:t xml:space="preserve">natural3 FedAvg and 0.13 centrally. This agrees with the view that moderate budgets already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although an attack failing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guarantee. Noise added to weights without clipping can be tuned to</w:t>
      </w:r>
      <w:r>
        <w:t xml:space="preserve"> </w:t>
      </w:r>
      <w:r>
        <w:t xml:space="preserve">keep 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with AUC 0.745.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 destroys the model, so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12</w:t>
      </w:r>
    </w:p>
    <w:bookmarkEnd w:id="41"/>
    <w:bookmarkStart w:id="42" w:name="higher-cost-of-patient-level-protection"/>
    <w:p>
      <w:pPr>
        <w:pStyle w:val="Heading2"/>
        <w:spacing w:line="480" w:lineRule="auto"/>
        <w:jc w:val="left"/>
      </w:pPr>
      <w:r>
        <w:t xml:space="preserve">Higher 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clinically meaningful unit but needs a budget about eight times larger for the same</w:t>
      </w:r>
      <w:r>
        <w:t xml:space="preserve"> </w:t>
      </w:r>
      <w:r>
        <w:t xml:space="preserve">accuracy. The arithmetic is simple, since the noise in each update is divided by 634 units instead of 2610 images,</w:t>
      </w:r>
      <w:r>
        <w:t xml:space="preserve"> </w:t>
      </w:r>
      <w:r>
        <w:t xml:space="preserve">and the clip-only control confirms that noise, not per-patient weighting, causes the loss.</w:t>
      </w:r>
    </w:p>
    <w:p>
      <w:pPr>
        <w:pStyle w:val="BodyText"/>
        <w:spacing w:line="480" w:lineRule="auto"/>
        <w:jc w:val="left"/>
      </w:pPr>
      <w:r>
        <w:t xml:space="preserve">This reinforces the finding of Knolle et al. that multi-record patients are the real privacy risk.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At the scale of public brain tumour collections, a strong per-patient guarantee and a useful classifier are not yet</w:t>
      </w:r>
      <w:r>
        <w:t xml:space="preserve"> </w:t>
      </w:r>
      <w:r>
        <w:t xml:space="preserve">compatible, and a larger number of patients is the most direct remedy.</w:t>
      </w:r>
    </w:p>
    <w:bookmarkEnd w:id="42"/>
    <w:bookmarkStart w:id="43" w:name="client-count-not-heterogeneity"/>
    <w:p>
      <w:pPr>
        <w:pStyle w:val="Heading2"/>
        <w:spacing w:line="480" w:lineRule="auto"/>
        <w:jc w:val="left"/>
      </w:pPr>
      <w:r>
        <w:t xml:space="preserve">Client count, not heterogeneity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split across more clients, while label skew mattered less. The</w:t>
      </w:r>
      <w:r>
        <w:t xml:space="preserve"> </w:t>
      </w:r>
      <w:r>
        <w:t xml:space="preserve">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grows with the square root of client count, so each added</w:t>
      </w:r>
      <w:r>
        <w:t xml:space="preserve"> </w:t>
      </w:r>
      <w:r>
        <w:t xml:space="preserve">client adds independent noise without adding data.</w:t>
      </w:r>
    </w:p>
    <w:p>
      <w:pPr>
        <w:pStyle w:val="BodyText"/>
        <w:spacing w:line="480" w:lineRule="auto"/>
        <w:jc w:val="left"/>
      </w:pPr>
      <w:r>
        <w:t xml:space="preserve">This mechanism is standard DP-SGD arithmetic and is not claimed as new. Its practical consequence is that cross-silo</w:t>
      </w:r>
      <w:r>
        <w:t xml:space="preserve"> </w:t>
      </w:r>
      <w:r>
        <w:t xml:space="preserve">consortia with few large sites suffer least, and that learning rates tuned for one client count can hide the effect</w:t>
      </w:r>
      <w:r>
        <w:t xml:space="preserve"> </w:t>
      </w:r>
      <w:r>
        <w:t xml:space="preserve">at another.</w:t>
      </w:r>
    </w:p>
    <w:p>
      <w:pPr>
        <w:pStyle w:val="BodyText"/>
        <w:spacing w:line="480" w:lineRule="auto"/>
        <w:jc w:val="left"/>
      </w:pPr>
      <w:r>
        <w:t xml:space="preserve">Drift correction did not help because one local epoch per round produced little drift, while noise dominated the</w:t>
      </w:r>
      <w:r>
        <w:t xml:space="preserve"> </w:t>
      </w:r>
      <w:r>
        <w:t xml:space="preserve">error. The SCAFFOLD ablation also shows that control variates must be averaged with the same weights as the model, or</w:t>
      </w:r>
      <w:r>
        <w:t xml:space="preserve"> </w:t>
      </w:r>
      <w:r>
        <w:t xml:space="preserve">the correction harms exactly the unequal, noisy settings where it is most needed.</w:t>
      </w:r>
    </w:p>
    <w:bookmarkEnd w:id="43"/>
    <w:bookmarkStart w:id="44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that DP harms gradient-based</w:t>
      </w:r>
      <w:r>
        <w:t xml:space="preserve"> </w:t>
      </w:r>
      <w:r>
        <w:t xml:space="preserve">attributions in general.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The present results add that, for brain tumour MRI, the</w:t>
      </w:r>
      <w:r>
        <w:t xml:space="preserve"> </w:t>
      </w:r>
      <w:r>
        <w:t xml:space="preserve">degradation follows accuracy closely and the noise level adds nothing once accuracy is known.</w:t>
      </w:r>
    </w:p>
    <w:p>
      <w:pPr>
        <w:pStyle w:val="BodyText"/>
        <w:spacing w:line="480" w:lineRule="auto"/>
        <w:jc w:val="left"/>
      </w:pPr>
      <w:r>
        <w:t xml:space="preserve">For clinical use this means a private model’s explanations are about as trustworthy as its predictions, not less. The</w:t>
      </w:r>
      <w:r>
        <w:t xml:space="preserve"> </w:t>
      </w:r>
      <w:r>
        <w:t xml:space="preserve">clip-only control shows that clipping alone barely changes consistency (0.700 to 0.663), so noise drives the change</w:t>
      </w:r>
      <w:r>
        <w:t xml:space="preserve"> </w:t>
      </w:r>
      <w:r>
        <w:t xml:space="preserve">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near 0.2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</w:t>
      </w:r>
      <w:r>
        <w:t xml:space="preserve"> </w:t>
      </w:r>
      <w:r>
        <w:t xml:space="preserve">of the last ResNet block at 128-pixel input. Integrated Gradients with a black baseline failed the randomisation test,</w:t>
      </w:r>
      <w:r>
        <w:t xml:space="preserve"> </w:t>
      </w:r>
      <w:r>
        <w:t xml:space="preserve">which argues against reporting such maps without that check.</w:t>
      </w:r>
      <w:r>
        <w:rPr>
          <w:vertAlign w:val="superscript"/>
        </w:rPr>
        <w:t xml:space="preserve">32</w:t>
      </w:r>
    </w:p>
    <w:bookmarkEnd w:id="44"/>
    <w:bookmarkStart w:id="45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had missed, concentrated in the no-tumour</w:t>
      </w:r>
      <w:r>
        <w:t xml:space="preserve"> </w:t>
      </w:r>
      <w:r>
        <w:t xml:space="preserve">class of Br35H. Training with random flips can then show a model the exact test image, and near-perfect no-tumour</w:t>
      </w:r>
      <w:r>
        <w:t xml:space="preserve"> </w:t>
      </w:r>
      <w:r>
        <w:t xml:space="preserve">specificity on Br35H partly reflected this.</w:t>
      </w:r>
    </w:p>
    <w:p>
      <w:pPr>
        <w:pStyle w:val="BodyText"/>
        <w:spacing w:line="480" w:lineRule="auto"/>
        <w:jc w:val="left"/>
      </w:pPr>
      <w:r>
        <w:t xml:space="preserve">Source is also decodable from images of a single class even by a random network. Headline accuracy on merged public</w:t>
      </w:r>
      <w:r>
        <w:t xml:space="preserve"> </w:t>
      </w:r>
      <w:r>
        <w:t xml:space="preserve">collections therefore partly measures which collection an image came from, as Vangala et al. reported for</w:t>
      </w:r>
      <w:r>
        <w:t xml:space="preserve"> </w:t>
      </w:r>
      <w:r>
        <w:t xml:space="preserve">centralised benchmarks.</w:t>
      </w:r>
      <w:r>
        <w:rPr>
          <w:vertAlign w:val="superscript"/>
        </w:rPr>
        <w:t xml:space="preserve">8</w:t>
      </w:r>
    </w:p>
    <w:p>
      <w:pPr>
        <w:pStyle w:val="BodyText"/>
        <w:spacing w:line="480" w:lineRule="auto"/>
        <w:jc w:val="left"/>
      </w:pPr>
      <w:r>
        <w:t xml:space="preserve">Both findings suggest that the 92% to 99% 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4-7</w:t>
      </w:r>
      <w:r>
        <w:t xml:space="preserve"> </w:t>
      </w:r>
      <w:r>
        <w:t xml:space="preserve">should not be compared with clinical performance.</w:t>
      </w:r>
      <w:r>
        <w:t xml:space="preserve"> </w:t>
      </w:r>
      <w:r>
        <w:t xml:space="preserve">Deduplication by a flip-invariant measure and per-source reporting should become routine for these data.</w:t>
      </w:r>
    </w:p>
    <w:bookmarkEnd w:id="45"/>
    <w:bookmarkStart w:id="46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Remaining duplicates in development data.</w:t>
      </w:r>
      <w:r>
        <w:t xml:space="preserve"> </w:t>
      </w:r>
      <w:r>
        <w:t xml:space="preserve">Mirrored pairs remain between training and validation (47</w:t>
      </w:r>
      <w:r>
        <w:t xml:space="preserve"> </w:t>
      </w:r>
      <w:r>
        <w:t xml:space="preserve">pairs), so round selection used slightly contaminated validation data, while all test results exclude contaminated</w:t>
      </w:r>
      <w:r>
        <w:t xml:space="preserve"> </w:t>
      </w:r>
      <w:r>
        <w:t xml:space="preserve">images.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Look-alike units.</w:t>
      </w:r>
      <w:r>
        <w:t xml:space="preserve"> </w:t>
      </w:r>
      <w:r>
        <w:t xml:space="preserve">SARTAJ and Br35H carry no patient identifiers, so their units are groups of similar</w:t>
      </w:r>
      <w:r>
        <w:t xml:space="preserve"> </w:t>
      </w:r>
      <w:r>
        <w:t xml:space="preserve">images, and the patient-level guarantee is exact only for Figshare.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Shadow-target mismatch.</w:t>
      </w:r>
      <w:r>
        <w:t xml:space="preserve"> </w:t>
      </w:r>
      <w:r>
        <w:t xml:space="preserve">Shadow models trained on about 1700 images against 2610 for the targets, which</w:t>
      </w:r>
      <w:r>
        <w:t xml:space="preserve"> </w:t>
      </w:r>
      <w:r>
        <w:t xml:space="preserve">shifts average-case AUC, so conclusions rest on low-false-positive rates.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Small patient-level test set.</w:t>
      </w:r>
      <w:r>
        <w:t xml:space="preserve"> </w:t>
      </w:r>
      <w:r>
        <w:t xml:space="preserve">Only 40 Figshare test patients were available, so patient-level</w:t>
      </w:r>
      <w:r>
        <w:t xml:space="preserve"> </w:t>
      </w:r>
      <w:r>
        <w:t xml:space="preserve">true-positive rates below 2.5% false positives cannot be resolved.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Scope.</w:t>
      </w:r>
      <w:r>
        <w:t xml:space="preserve"> </w:t>
      </w:r>
      <w:r>
        <w:t xml:space="preserve">All models are 2D ResNet-18 classifiers on axial slices from three public sources, and the</w:t>
      </w:r>
      <w:r>
        <w:t xml:space="preserve"> </w:t>
      </w:r>
      <w:r>
        <w:t xml:space="preserve">federated partitions are simulated rather than real institutions.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Selection cost.</w:t>
      </w:r>
      <w:r>
        <w:t xml:space="preserve"> </w:t>
      </w:r>
      <w:r>
        <w:t xml:space="preserve">Learning rates were chosen on private 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reported but was not used for calibration.</w:t>
      </w:r>
    </w:p>
    <w:p>
      <w:pPr>
        <w:pStyle w:val="FirstParagraph"/>
        <w:spacing w:line="480" w:lineRule="auto"/>
        <w:jc w:val="left"/>
      </w:pPr>
      <w:r>
        <w:t xml:space="preserve">Within these limits, the results support a small number of firm conclusions, stated next.</w:t>
      </w:r>
    </w:p>
    <w:bookmarkEnd w:id="46"/>
    <w:bookmarkEnd w:id="47"/>
    <w:bookmarkStart w:id="48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all leakage that a</w:t>
      </w:r>
      <w:r>
        <w:t xml:space="preserve"> </w:t>
      </w:r>
      <w:r>
        <w:t xml:space="preserve">strong membership attack could measure, at a cost of 0.08 to 0.13 in balanced accuracy. Without DP, the same attack</w:t>
      </w:r>
      <w:r>
        <w:t xml:space="preserve"> </w:t>
      </w:r>
      <w:r>
        <w:t xml:space="preserve">identified training images and, more clearly, training patients.</w:t>
      </w:r>
    </w:p>
    <w:p>
      <w:pPr>
        <w:pStyle w:val="BodyText"/>
        <w:spacing w:line="480" w:lineRule="auto"/>
        <w:jc w:val="left"/>
      </w:pPr>
      <w:r>
        <w:t xml:space="preserve">A formal guarantee per patient cost far more, needing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match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because</w:t>
      </w:r>
      <w:r>
        <w:t xml:space="preserve"> </w:t>
      </w:r>
      <w:r>
        <w:t xml:space="preserve">noise is shared among patients rather than slices. Under DP, splitting data across more clients lowered accuracy</w:t>
      </w:r>
      <w:r>
        <w:t xml:space="preserve"> </w:t>
      </w:r>
      <w:r>
        <w:t xml:space="preserve">through the aggregated noise scale, and drift correction did not help.</w:t>
      </w:r>
    </w:p>
    <w:p>
      <w:pPr>
        <w:pStyle w:val="BodyText"/>
        <w:spacing w:line="480" w:lineRule="auto"/>
        <w:jc w:val="left"/>
      </w:pPr>
      <w:r>
        <w:t xml:space="preserve">Weight noise without clipping either destroyed the model or left patients identifiable, so it should not be reported</w:t>
      </w:r>
      <w:r>
        <w:t xml:space="preserve"> </w:t>
      </w:r>
      <w:r>
        <w:t xml:space="preserve">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 with accuracy.</w:t>
      </w:r>
    </w:p>
    <w:p>
      <w:pPr>
        <w:pStyle w:val="BodyText"/>
        <w:spacing w:line="480" w:lineRule="auto"/>
        <w:jc w:val="left"/>
      </w:pPr>
      <w:r>
        <w:t xml:space="preserve">Future federated studies on these public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48"/>
    <w:bookmarkStart w:id="49" w:name="credit-authorship-contribution-statement"/>
    <w:p>
      <w:pPr>
        <w:pStyle w:val="Heading1"/>
        <w:spacing w:line="480" w:lineRule="auto"/>
        <w:jc w:val="left"/>
      </w:pPr>
      <w:r>
        <w:t xml:space="preserve">CRediT authorship contribution statement</w:t>
      </w:r>
    </w:p>
    <w:p>
      <w:pPr>
        <w:pStyle w:val="FirstParagraph"/>
        <w:spacing w:line="480" w:lineRule="auto"/>
        <w:jc w:val="left"/>
      </w:pPr>
      <w:r>
        <w:t xml:space="preserve">To be completed by the corresponding author with roles from the 14-role CRediT taxonomy, for example</w:t>
      </w:r>
      <w:r>
        <w:t xml:space="preserve"> </w:t>
      </w:r>
      <w:r>
        <w:t xml:space="preserve">conceptualisation, methodology, software, formal analysis, investigation, data curation, writing of the original</w:t>
      </w:r>
      <w:r>
        <w:t xml:space="preserve"> </w:t>
      </w:r>
      <w:r>
        <w:t xml:space="preserve">draft, review and editing, and visualisation.</w:t>
      </w:r>
    </w:p>
    <w:bookmarkEnd w:id="49"/>
    <w:bookmarkStart w:id="50" w:name="ethics-statement"/>
    <w:p>
      <w:pPr>
        <w:pStyle w:val="Heading1"/>
        <w:spacing w:line="480" w:lineRule="auto"/>
        <w:jc w:val="left"/>
      </w:pPr>
      <w:r>
        <w:t xml:space="preserve">Ethics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The authors should confirm with their institution that formal ethics approval was not required and</w:t>
      </w:r>
      <w:r>
        <w:t xml:space="preserve"> </w:t>
      </w:r>
      <w:r>
        <w:t xml:space="preserve">state that waiver here.</w:t>
      </w:r>
    </w:p>
    <w:bookmarkEnd w:id="50"/>
    <w:bookmarkStart w:id="51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To be completed on the journal’s declaration template, choosing the first option if there are no interests to</w:t>
      </w:r>
      <w:r>
        <w:t xml:space="preserve"> </w:t>
      </w:r>
      <w:r>
        <w:t xml:space="preserve">declare.</w:t>
      </w:r>
    </w:p>
    <w:bookmarkEnd w:id="51"/>
    <w:bookmarkStart w:id="52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To be completed. If no grant applies, the sentence recommended by the journal for unfunded research is used, together</w:t>
      </w:r>
      <w:r>
        <w:t xml:space="preserve"> </w:t>
      </w:r>
      <w:r>
        <w:t xml:space="preserve">with a statement on the role of the funding source.</w:t>
      </w:r>
    </w:p>
    <w:bookmarkEnd w:id="52"/>
    <w:bookmarkStart w:id="53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Figshare data are available under CC BY 4.0, SARTAJ under the MIT licence and Br35H from its Kaggle page. Split,</w:t>
      </w:r>
      <w:r>
        <w:t xml:space="preserve"> </w:t>
      </w:r>
      <w:r>
        <w:t xml:space="preserve">duplicate and hash manifests, all run results, figure data and code are in the project repository at tag</w:t>
      </w:r>
      <w:r>
        <w:t xml:space="preserve"> </w:t>
      </w:r>
      <w:r>
        <w:t xml:space="preserve">v0.9.1-results-frozen, and the repository visibility and a persistent archive are to be decided by the authors.</w:t>
      </w:r>
    </w:p>
    <w:bookmarkEnd w:id="53"/>
    <w:bookmarkStart w:id="54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To be completed by the authors. The journal permits such tools only to improve readability, so the extent of AI</w:t>
      </w:r>
      <w:r>
        <w:t xml:space="preserve"> </w:t>
      </w:r>
      <w:r>
        <w:t xml:space="preserve">assistance in analysis code and drafting must be disclosed accurately after the authors have reviewed every sentence.</w:t>
      </w:r>
    </w:p>
    <w:bookmarkEnd w:id="54"/>
    <w:bookmarkStart w:id="55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To be completed by the authors.</w:t>
      </w:r>
    </w:p>
    <w:bookmarkEnd w:id="55"/>
    <w:bookmarkStart w:id="56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bookmarkEnd w:id="56"/>
    <w:bookmarkStart w:id="69" w:name="figures"/>
    <w:p>
      <w:pPr>
        <w:pStyle w:val="Heading1"/>
        <w:spacing w:line="480" w:lineRule="auto"/>
        <w:jc w:val="left"/>
      </w:pPr>
      <w:r>
        <w:t xml:space="preserve">Figures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ure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Privacy and utility. Balanced accuracy on the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for central training with record-level and patient-level DP-SGD and for FedAvg on</w:t>
      </w:r>
      <w:r>
        <w:t xml:space="preserve"> </w:t>
      </w:r>
      <w:r>
        <w:t xml:space="preserve">the natural and the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partitions. Points are means over five seeds with 95% confidence</w:t>
      </w:r>
      <w:r>
        <w:t xml:space="preserve"> </w:t>
      </w:r>
      <w:r>
        <w:t xml:space="preserve">intervals, and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carries no formal guarantee.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Client count under DP. Clean balanced accuracy of FedAvg on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 with 3, 5, 10</w:t>
      </w:r>
      <w:r>
        <w:t xml:space="preserve"> </w:t>
      </w:r>
      <w:r>
        <w:t xml:space="preserve">and 15 clients holding the same 2610 images, against the 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w:r>
        <w:t xml:space="preserve">The dashed series uses the learning rate tuned for 10 clients and hides the decline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Membership inference. Online LiRA receiver operating characteristic curves on logarithmic axes against</w:t>
      </w:r>
      <w:r>
        <w:t xml:space="preserve"> </w:t>
      </w:r>
      <w:r>
        <w:t xml:space="preserve">natural3 FedAvg, each the mean over five target models with 16 shadow models per configuration. The left panel is</w:t>
      </w:r>
      <w:r>
        <w:t xml:space="preserve"> </w:t>
      </w:r>
      <w:r>
        <w:t xml:space="preserve">image level and the right panel Figshare patient level, and shaded regions lie below the false-positive resolution of</w:t>
      </w:r>
      <w:r>
        <w:t xml:space="preserve"> </w:t>
      </w:r>
      <w:r>
        <w:t xml:space="preserve">the test set.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Explanations under privacy. (a) Cross-seed Grad-CAM consistency, the IoU of the top 10% of each model’s map</w:t>
      </w:r>
      <w:r>
        <w:t xml:space="preserve"> </w:t>
      </w:r>
      <w:r>
        <w:t xml:space="preserve">with the mean map over five seeds,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models. (b) Consistency against clean balanced</w:t>
      </w:r>
      <w:r>
        <w:t xml:space="preserve"> </w:t>
      </w:r>
      <w:r>
        <w:t xml:space="preserve">accuracy for all 115 explained models, with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.</w:t>
      </w:r>
    </w:p>
    <w:bookmarkEnd w:id="69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6" Type="http://schemas.openxmlformats.org/officeDocument/2006/relationships/image" Target="media/rId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 on a deduplicated benchmark</dc:title>
  <dc:creator/>
  <cp:keywords/>
  <dcterms:created xsi:type="dcterms:W3CDTF">2026-10-12T19:18:48Z</dcterms:created>
  <dcterms:modified xsi:type="dcterms:W3CDTF">2026-10-12T19:18:48Z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