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2FC5" w14:textId="77777777" w:rsidR="00201983" w:rsidRDefault="00000000">
      <w:pPr>
        <w:pStyle w:val="a3"/>
        <w:widowControl/>
        <w:rPr>
          <w:bCs/>
        </w:rPr>
      </w:pPr>
      <w:r>
        <w:rPr>
          <w:rStyle w:val="a4"/>
          <w:b w:val="0"/>
          <w:bCs/>
        </w:rPr>
        <w:t>四、</w:t>
      </w:r>
      <w:r>
        <w:rPr>
          <w:rStyle w:val="a4"/>
          <w:b w:val="0"/>
          <w:bCs/>
        </w:rPr>
        <w:t xml:space="preserve"> </w:t>
      </w:r>
      <w:r>
        <w:rPr>
          <w:rStyle w:val="a4"/>
          <w:b w:val="0"/>
          <w:bCs/>
        </w:rPr>
        <w:t>前沿技术与未来展望</w:t>
      </w:r>
    </w:p>
    <w:p w14:paraId="359D5BD8" w14:textId="36661E9E" w:rsidR="003121BC" w:rsidRPr="003121BC" w:rsidRDefault="00000000">
      <w:pPr>
        <w:pStyle w:val="a3"/>
        <w:widowControl/>
        <w:rPr>
          <w:rStyle w:val="a4"/>
          <w:rFonts w:hint="eastAsia"/>
          <w:b w:val="0"/>
          <w:bCs/>
        </w:rPr>
      </w:pPr>
      <w:r>
        <w:rPr>
          <w:rStyle w:val="a4"/>
          <w:b w:val="0"/>
          <w:bCs/>
        </w:rPr>
        <w:t xml:space="preserve">4.1 </w:t>
      </w:r>
      <w:r>
        <w:rPr>
          <w:rStyle w:val="a4"/>
          <w:b w:val="0"/>
          <w:bCs/>
        </w:rPr>
        <w:t>制造工艺与底层材料的突破</w:t>
      </w:r>
    </w:p>
    <w:p w14:paraId="4605B541" w14:textId="1B8AADF1" w:rsidR="002E6F7E" w:rsidRPr="002E6F7E" w:rsidRDefault="002E6F7E">
      <w:pPr>
        <w:pStyle w:val="a3"/>
        <w:widowControl/>
        <w:rPr>
          <w:bCs/>
        </w:rPr>
      </w:pPr>
      <w:r w:rsidRPr="002E6F7E">
        <w:rPr>
          <w:bCs/>
          <w:noProof/>
        </w:rPr>
        <w:drawing>
          <wp:inline distT="0" distB="0" distL="0" distR="0" wp14:anchorId="323FBC03" wp14:editId="3D40DE73">
            <wp:extent cx="5822717" cy="1463040"/>
            <wp:effectExtent l="0" t="0" r="6985" b="3810"/>
            <wp:docPr id="1852740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40762" name=""/>
                    <pic:cNvPicPr/>
                  </pic:nvPicPr>
                  <pic:blipFill>
                    <a:blip r:embed="rId4"/>
                    <a:stretch>
                      <a:fillRect/>
                    </a:stretch>
                  </pic:blipFill>
                  <pic:spPr>
                    <a:xfrm>
                      <a:off x="0" y="0"/>
                      <a:ext cx="5835084" cy="1466147"/>
                    </a:xfrm>
                    <a:prstGeom prst="rect">
                      <a:avLst/>
                    </a:prstGeom>
                  </pic:spPr>
                </pic:pic>
              </a:graphicData>
            </a:graphic>
          </wp:inline>
        </w:drawing>
      </w:r>
    </w:p>
    <w:p w14:paraId="004B8E03" w14:textId="77777777" w:rsidR="00201983" w:rsidRDefault="00000000">
      <w:pPr>
        <w:pStyle w:val="a3"/>
        <w:widowControl/>
        <w:rPr>
          <w:bCs/>
        </w:rPr>
      </w:pPr>
      <w:r>
        <w:rPr>
          <w:bCs/>
        </w:rPr>
        <w:t>半导体逻辑器件正处于从埃米尺度微缩向系统级异构集成的范式转移中，晶体管架构的物理演进是这一变革的核心。传统平面</w:t>
      </w:r>
      <w:r>
        <w:rPr>
          <w:rStyle w:val="a4"/>
          <w:b w:val="0"/>
          <w:bCs/>
        </w:rPr>
        <w:t>MOSFET</w:t>
      </w:r>
      <w:r>
        <w:rPr>
          <w:bCs/>
        </w:rPr>
        <w:t>架构由于栅极仅在顶面控制通道，在进入</w:t>
      </w:r>
      <w:r>
        <w:rPr>
          <w:bCs/>
        </w:rPr>
        <w:t>20</w:t>
      </w:r>
      <w:r>
        <w:rPr>
          <w:bCs/>
        </w:rPr>
        <w:t>纳米以下节点时面临严重的短沟道效应。自</w:t>
      </w:r>
      <w:r>
        <w:rPr>
          <w:bCs/>
        </w:rPr>
        <w:t>2011</w:t>
      </w:r>
      <w:r>
        <w:rPr>
          <w:bCs/>
        </w:rPr>
        <w:t>年起，</w:t>
      </w:r>
      <w:r>
        <w:rPr>
          <w:bCs/>
        </w:rPr>
        <w:t>FinFET</w:t>
      </w:r>
      <w:r>
        <w:rPr>
          <w:bCs/>
        </w:rPr>
        <w:t>（鳍式场效应晶体管）</w:t>
      </w:r>
      <w:r>
        <w:rPr>
          <w:rStyle w:val="a4"/>
          <w:b w:val="0"/>
          <w:bCs/>
        </w:rPr>
        <w:t>通过立体鳍片结构实现了三面受控，有效抑制了漏电并推动了主导行业十余年的微缩进程。然而，当制程推进至</w:t>
      </w:r>
      <w:r>
        <w:rPr>
          <w:rStyle w:val="a4"/>
          <w:b w:val="0"/>
          <w:bCs/>
        </w:rPr>
        <w:t>3</w:t>
      </w:r>
      <w:r>
        <w:rPr>
          <w:rStyle w:val="a4"/>
          <w:b w:val="0"/>
          <w:bCs/>
        </w:rPr>
        <w:t>纳米及以下时，</w:t>
      </w:r>
      <w:r>
        <w:rPr>
          <w:rStyle w:val="a4"/>
          <w:b w:val="0"/>
          <w:bCs/>
        </w:rPr>
        <w:t>FinFET</w:t>
      </w:r>
      <w:r>
        <w:rPr>
          <w:rStyle w:val="a4"/>
          <w:b w:val="0"/>
          <w:bCs/>
        </w:rPr>
        <w:t>的静电控制力达到物理极限，行业开始全面转向</w:t>
      </w:r>
      <w:r>
        <w:rPr>
          <w:bCs/>
        </w:rPr>
        <w:t>GAAFET</w:t>
      </w:r>
      <w:r>
        <w:rPr>
          <w:bCs/>
        </w:rPr>
        <w:t>（环绕栅极晶体管</w:t>
      </w:r>
      <w:r>
        <w:rPr>
          <w:bCs/>
        </w:rPr>
        <w:t>/Nanosheet</w:t>
      </w:r>
      <w:r>
        <w:rPr>
          <w:bCs/>
        </w:rPr>
        <w:t>）架构。</w:t>
      </w:r>
      <w:r>
        <w:rPr>
          <w:bCs/>
        </w:rPr>
        <w:t>GAAFET</w:t>
      </w:r>
      <w:r>
        <w:rPr>
          <w:bCs/>
        </w:rPr>
        <w:t>（如</w:t>
      </w:r>
      <w:r>
        <w:rPr>
          <w:bCs/>
        </w:rPr>
        <w:t>Intel</w:t>
      </w:r>
      <w:r>
        <w:rPr>
          <w:bCs/>
        </w:rPr>
        <w:t>的</w:t>
      </w:r>
      <w:proofErr w:type="spellStart"/>
      <w:r>
        <w:rPr>
          <w:bCs/>
        </w:rPr>
        <w:t>RibbonFET</w:t>
      </w:r>
      <w:proofErr w:type="spellEnd"/>
      <w:r>
        <w:rPr>
          <w:bCs/>
        </w:rPr>
        <w:t>或三星的</w:t>
      </w:r>
      <w:r>
        <w:rPr>
          <w:bCs/>
        </w:rPr>
        <w:t>MBCFET</w:t>
      </w:r>
      <w:r>
        <w:rPr>
          <w:bCs/>
        </w:rPr>
        <w:t>）通过栅极四面全包围纳米片通道，实现了近乎完美的静电完整性，显著降低了电压损耗并提升了驱动电流。</w:t>
      </w:r>
    </w:p>
    <w:p w14:paraId="7674DBE1" w14:textId="0D6AAB70" w:rsidR="000A2051" w:rsidRDefault="000A2051">
      <w:pPr>
        <w:pStyle w:val="a3"/>
        <w:widowControl/>
        <w:rPr>
          <w:bCs/>
        </w:rPr>
      </w:pPr>
      <w:r>
        <w:rPr>
          <w:noProof/>
        </w:rPr>
        <w:drawing>
          <wp:inline distT="0" distB="0" distL="0" distR="0" wp14:anchorId="42804234" wp14:editId="6A1CDE4E">
            <wp:extent cx="3681385" cy="1961248"/>
            <wp:effectExtent l="0" t="0" r="0" b="1270"/>
            <wp:docPr id="592944524" name="图片 5" descr="What is the Difference Between D-MOSFET and E-MOS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the Difference Between D-MOSFET and E-MOSFE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85435" cy="1963405"/>
                    </a:xfrm>
                    <a:prstGeom prst="rect">
                      <a:avLst/>
                    </a:prstGeom>
                    <a:noFill/>
                    <a:ln>
                      <a:noFill/>
                    </a:ln>
                  </pic:spPr>
                </pic:pic>
              </a:graphicData>
            </a:graphic>
          </wp:inline>
        </w:drawing>
      </w:r>
    </w:p>
    <w:p w14:paraId="066495AA" w14:textId="5855F3A8" w:rsidR="00D331F7" w:rsidRDefault="00D331F7">
      <w:pPr>
        <w:pStyle w:val="a3"/>
        <w:widowControl/>
        <w:rPr>
          <w:bCs/>
        </w:rPr>
      </w:pPr>
      <w:r>
        <w:rPr>
          <w:noProof/>
        </w:rPr>
        <w:lastRenderedPageBreak/>
        <w:drawing>
          <wp:inline distT="0" distB="0" distL="0" distR="0" wp14:anchorId="286A187E" wp14:editId="5D82484F">
            <wp:extent cx="3913950" cy="2289656"/>
            <wp:effectExtent l="0" t="0" r="0" b="0"/>
            <wp:docPr id="211753292" name="图片 1" descr="BRUNO FUGA A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UNO FUGA ADV"/>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28522" cy="2298181"/>
                    </a:xfrm>
                    <a:prstGeom prst="rect">
                      <a:avLst/>
                    </a:prstGeom>
                    <a:noFill/>
                    <a:ln>
                      <a:noFill/>
                    </a:ln>
                  </pic:spPr>
                </pic:pic>
              </a:graphicData>
            </a:graphic>
          </wp:inline>
        </w:drawing>
      </w:r>
    </w:p>
    <w:p w14:paraId="1B968DB7" w14:textId="3F9D9DE8" w:rsidR="00163108" w:rsidRDefault="00163108">
      <w:pPr>
        <w:pStyle w:val="a3"/>
        <w:widowControl/>
        <w:rPr>
          <w:bCs/>
        </w:rPr>
      </w:pPr>
      <w:r>
        <w:rPr>
          <w:noProof/>
        </w:rPr>
        <w:drawing>
          <wp:inline distT="0" distB="0" distL="0" distR="0" wp14:anchorId="52C4C342" wp14:editId="06B15E7B">
            <wp:extent cx="3791129" cy="2341499"/>
            <wp:effectExtent l="0" t="0" r="0" b="1905"/>
            <wp:docPr id="412672388" name="图片 10" descr="How CFET Will Revolutionize Semiconductor Morphology and Continue Moore’s Law | by Matt Traverso Ph.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ow CFET Will Revolutionize Semiconductor Morphology and Continue Moore’s Law | by Matt Traverso Ph.D. | Medi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97413" cy="2345380"/>
                    </a:xfrm>
                    <a:prstGeom prst="rect">
                      <a:avLst/>
                    </a:prstGeom>
                    <a:noFill/>
                    <a:ln>
                      <a:noFill/>
                    </a:ln>
                  </pic:spPr>
                </pic:pic>
              </a:graphicData>
            </a:graphic>
          </wp:inline>
        </w:drawing>
      </w:r>
    </w:p>
    <w:p w14:paraId="3C7E1750" w14:textId="202E1D53" w:rsidR="00D331F7" w:rsidRDefault="000A2051">
      <w:pPr>
        <w:pStyle w:val="a3"/>
        <w:widowControl/>
        <w:rPr>
          <w:bCs/>
        </w:rPr>
      </w:pPr>
      <w:r>
        <w:rPr>
          <w:noProof/>
        </w:rPr>
        <w:drawing>
          <wp:inline distT="0" distB="0" distL="0" distR="0" wp14:anchorId="6B98310E" wp14:editId="05635DCB">
            <wp:extent cx="2904857" cy="1937154"/>
            <wp:effectExtent l="0" t="0" r="0" b="6350"/>
            <wp:docPr id="1585317937" name="图片 3" descr="Gate-All-Around (GAA) transistors Advantages, Risks,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te-All-Around (GAA) transistors Advantages, Risks, Fu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3655" cy="1943021"/>
                    </a:xfrm>
                    <a:prstGeom prst="rect">
                      <a:avLst/>
                    </a:prstGeom>
                    <a:noFill/>
                    <a:ln>
                      <a:noFill/>
                    </a:ln>
                  </pic:spPr>
                </pic:pic>
              </a:graphicData>
            </a:graphic>
          </wp:inline>
        </w:drawing>
      </w:r>
    </w:p>
    <w:p w14:paraId="57F89C0B" w14:textId="4208DAC9" w:rsidR="000A2051" w:rsidRDefault="000A2051">
      <w:pPr>
        <w:pStyle w:val="a3"/>
        <w:widowControl/>
        <w:rPr>
          <w:bCs/>
        </w:rPr>
      </w:pPr>
      <w:r>
        <w:rPr>
          <w:noProof/>
        </w:rPr>
        <w:lastRenderedPageBreak/>
        <w:drawing>
          <wp:inline distT="0" distB="0" distL="0" distR="0" wp14:anchorId="6538A86A" wp14:editId="3BDDB111">
            <wp:extent cx="3760669" cy="2668146"/>
            <wp:effectExtent l="0" t="0" r="0" b="0"/>
            <wp:docPr id="711335023" name="图片 4" descr="先进制程晶圆制造工艺挑战之一GAA器件模型 - 深圳市萨科微半导体有限公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先进制程晶圆制造工艺挑战之一GAA器件模型 - 深圳市萨科微半导体有限公司"/>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4150" cy="2670615"/>
                    </a:xfrm>
                    <a:prstGeom prst="rect">
                      <a:avLst/>
                    </a:prstGeom>
                    <a:noFill/>
                    <a:ln>
                      <a:noFill/>
                    </a:ln>
                  </pic:spPr>
                </pic:pic>
              </a:graphicData>
            </a:graphic>
          </wp:inline>
        </w:drawing>
      </w:r>
    </w:p>
    <w:p w14:paraId="10059987" w14:textId="6F53736C" w:rsidR="00163108" w:rsidRDefault="00163108">
      <w:pPr>
        <w:pStyle w:val="a3"/>
        <w:widowControl/>
        <w:rPr>
          <w:bCs/>
        </w:rPr>
      </w:pPr>
      <w:r>
        <w:rPr>
          <w:noProof/>
        </w:rPr>
        <w:drawing>
          <wp:inline distT="0" distB="0" distL="0" distR="0" wp14:anchorId="7DC207CC" wp14:editId="6216B54C">
            <wp:extent cx="5274310" cy="1802130"/>
            <wp:effectExtent l="0" t="0" r="2540" b="7620"/>
            <wp:docPr id="943243700" name="图片 8" descr="IMEC首次在12吋晶圆上实现3D CFET集成-电子发烧友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EC首次在12吋晶圆上实现3D CFET集成-电子发烧友网"/>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802130"/>
                    </a:xfrm>
                    <a:prstGeom prst="rect">
                      <a:avLst/>
                    </a:prstGeom>
                    <a:noFill/>
                    <a:ln>
                      <a:noFill/>
                    </a:ln>
                  </pic:spPr>
                </pic:pic>
              </a:graphicData>
            </a:graphic>
          </wp:inline>
        </w:drawing>
      </w:r>
    </w:p>
    <w:p w14:paraId="60A2BA1A" w14:textId="67B86487" w:rsidR="00163108" w:rsidRPr="00D331F7" w:rsidRDefault="00163108">
      <w:pPr>
        <w:pStyle w:val="a3"/>
        <w:widowControl/>
        <w:rPr>
          <w:bCs/>
        </w:rPr>
      </w:pPr>
      <w:r>
        <w:rPr>
          <w:noProof/>
        </w:rPr>
        <w:drawing>
          <wp:inline distT="0" distB="0" distL="0" distR="0" wp14:anchorId="58096815" wp14:editId="232E72D6">
            <wp:extent cx="5274310" cy="2953385"/>
            <wp:effectExtent l="0" t="0" r="2540" b="0"/>
            <wp:docPr id="580699782" name="图片 9" descr="VLSI Symposium - TSMC and Imec on Advanced Process and Devices Technology Toward 2nm - Semi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LSI Symposium - TSMC and Imec on Advanced Process and Devices Technology Toward 2nm - SemiWik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953385"/>
                    </a:xfrm>
                    <a:prstGeom prst="rect">
                      <a:avLst/>
                    </a:prstGeom>
                    <a:noFill/>
                    <a:ln>
                      <a:noFill/>
                    </a:ln>
                  </pic:spPr>
                </pic:pic>
              </a:graphicData>
            </a:graphic>
          </wp:inline>
        </w:drawing>
      </w:r>
    </w:p>
    <w:p w14:paraId="31565687" w14:textId="77777777" w:rsidR="00201983" w:rsidRDefault="00000000">
      <w:pPr>
        <w:pStyle w:val="a3"/>
        <w:widowControl/>
        <w:rPr>
          <w:bCs/>
        </w:rPr>
      </w:pPr>
      <w:r>
        <w:rPr>
          <w:bCs/>
        </w:rPr>
        <w:t>随着微缩红利在</w:t>
      </w:r>
      <w:r>
        <w:rPr>
          <w:bCs/>
        </w:rPr>
        <w:t>2</w:t>
      </w:r>
      <w:r>
        <w:rPr>
          <w:bCs/>
        </w:rPr>
        <w:t>纳米后进一步递减，</w:t>
      </w:r>
      <w:r>
        <w:rPr>
          <w:rStyle w:val="a4"/>
          <w:b w:val="0"/>
          <w:bCs/>
        </w:rPr>
        <w:t>Forksheet FET</w:t>
      </w:r>
      <w:r>
        <w:rPr>
          <w:rStyle w:val="a4"/>
          <w:b w:val="0"/>
          <w:bCs/>
        </w:rPr>
        <w:t>（叉指式场效应晶体管）作为</w:t>
      </w:r>
      <w:r>
        <w:rPr>
          <w:rStyle w:val="a4"/>
          <w:b w:val="0"/>
          <w:bCs/>
        </w:rPr>
        <w:t>GAA</w:t>
      </w:r>
      <w:r>
        <w:rPr>
          <w:rStyle w:val="a4"/>
          <w:b w:val="0"/>
          <w:bCs/>
        </w:rPr>
        <w:t>的进化版被引入，其通过在</w:t>
      </w:r>
      <w:r>
        <w:rPr>
          <w:rStyle w:val="a4"/>
          <w:b w:val="0"/>
          <w:bCs/>
        </w:rPr>
        <w:t>n</w:t>
      </w:r>
      <w:r>
        <w:rPr>
          <w:rStyle w:val="a4"/>
          <w:b w:val="0"/>
          <w:bCs/>
        </w:rPr>
        <w:t>型和</w:t>
      </w:r>
      <w:r>
        <w:rPr>
          <w:rStyle w:val="a4"/>
          <w:b w:val="0"/>
          <w:bCs/>
        </w:rPr>
        <w:t>p</w:t>
      </w:r>
      <w:r>
        <w:rPr>
          <w:rStyle w:val="a4"/>
          <w:b w:val="0"/>
          <w:bCs/>
        </w:rPr>
        <w:t>型晶体管之间嵌入超薄的</w:t>
      </w:r>
      <w:proofErr w:type="gramStart"/>
      <w:r>
        <w:rPr>
          <w:rStyle w:val="a4"/>
          <w:b w:val="0"/>
          <w:bCs/>
        </w:rPr>
        <w:t>介</w:t>
      </w:r>
      <w:proofErr w:type="gramEnd"/>
      <w:r>
        <w:rPr>
          <w:rStyle w:val="a4"/>
          <w:b w:val="0"/>
          <w:bCs/>
        </w:rPr>
        <w:t>电隔离壁，极大地压缩了</w:t>
      </w:r>
      <w:r>
        <w:rPr>
          <w:rStyle w:val="a4"/>
          <w:b w:val="0"/>
          <w:bCs/>
        </w:rPr>
        <w:t>n-p</w:t>
      </w:r>
      <w:r>
        <w:rPr>
          <w:rStyle w:val="a4"/>
          <w:b w:val="0"/>
          <w:bCs/>
        </w:rPr>
        <w:t>间距，使得标准单元高度可从</w:t>
      </w:r>
      <w:r>
        <w:rPr>
          <w:rStyle w:val="a4"/>
          <w:b w:val="0"/>
          <w:bCs/>
        </w:rPr>
        <w:t>A14</w:t>
      </w:r>
      <w:r>
        <w:rPr>
          <w:rStyle w:val="a4"/>
          <w:b w:val="0"/>
          <w:bCs/>
        </w:rPr>
        <w:t>节点的</w:t>
      </w:r>
      <w:r>
        <w:rPr>
          <w:rStyle w:val="a4"/>
          <w:b w:val="0"/>
          <w:bCs/>
        </w:rPr>
        <w:t>115nm</w:t>
      </w:r>
      <w:r>
        <w:rPr>
          <w:rStyle w:val="a4"/>
          <w:b w:val="0"/>
          <w:bCs/>
        </w:rPr>
        <w:t>缩减</w:t>
      </w:r>
      <w:r>
        <w:rPr>
          <w:rStyle w:val="a4"/>
          <w:b w:val="0"/>
          <w:bCs/>
        </w:rPr>
        <w:lastRenderedPageBreak/>
        <w:t>至</w:t>
      </w:r>
      <w:r>
        <w:rPr>
          <w:rStyle w:val="a4"/>
          <w:b w:val="0"/>
          <w:bCs/>
        </w:rPr>
        <w:t>A10</w:t>
      </w:r>
      <w:r>
        <w:rPr>
          <w:rStyle w:val="a4"/>
          <w:b w:val="0"/>
          <w:bCs/>
        </w:rPr>
        <w:t>节点的</w:t>
      </w:r>
      <w:r>
        <w:rPr>
          <w:rStyle w:val="a4"/>
          <w:b w:val="0"/>
          <w:bCs/>
        </w:rPr>
        <w:t>90nm</w:t>
      </w:r>
      <w:r>
        <w:rPr>
          <w:rStyle w:val="a4"/>
          <w:b w:val="0"/>
          <w:bCs/>
        </w:rPr>
        <w:t>。而逻辑器件的终极形态则被认为是</w:t>
      </w:r>
      <w:r>
        <w:rPr>
          <w:rStyle w:val="a4"/>
          <w:b w:val="0"/>
          <w:bCs/>
        </w:rPr>
        <w:t>CFET</w:t>
      </w:r>
      <w:r>
        <w:rPr>
          <w:rStyle w:val="a4"/>
          <w:b w:val="0"/>
          <w:bCs/>
        </w:rPr>
        <w:t>（互补场效应晶体管）</w:t>
      </w:r>
      <w:r>
        <w:rPr>
          <w:bCs/>
        </w:rPr>
        <w:t>，它将</w:t>
      </w:r>
      <w:r>
        <w:rPr>
          <w:bCs/>
        </w:rPr>
        <w:t>nMOS</w:t>
      </w:r>
      <w:r>
        <w:rPr>
          <w:bCs/>
        </w:rPr>
        <w:t>和</w:t>
      </w:r>
      <w:r>
        <w:rPr>
          <w:bCs/>
        </w:rPr>
        <w:t>pMOS</w:t>
      </w:r>
      <w:r>
        <w:rPr>
          <w:bCs/>
        </w:rPr>
        <w:t>在垂直方向上直接堆叠，彻底消除了水平间距限制，预计能将单元面积缩减</w:t>
      </w:r>
      <w:r>
        <w:rPr>
          <w:bCs/>
        </w:rPr>
        <w:t>50%</w:t>
      </w:r>
      <w:r>
        <w:rPr>
          <w:bCs/>
        </w:rPr>
        <w:t>以上，推动逻辑电路向真</w:t>
      </w:r>
      <w:r>
        <w:rPr>
          <w:bCs/>
        </w:rPr>
        <w:t>3D</w:t>
      </w:r>
      <w:r>
        <w:rPr>
          <w:bCs/>
        </w:rPr>
        <w:t>架构转型。</w:t>
      </w:r>
    </w:p>
    <w:p w14:paraId="036650FA" w14:textId="77777777" w:rsidR="00201983" w:rsidRDefault="00000000">
      <w:pPr>
        <w:pStyle w:val="a3"/>
        <w:widowControl/>
        <w:rPr>
          <w:bCs/>
        </w:rPr>
      </w:pPr>
      <w:r>
        <w:rPr>
          <w:bCs/>
        </w:rPr>
        <w:t>支撑这一架构演进的关键光学武器是</w:t>
      </w:r>
      <w:r>
        <w:rPr>
          <w:rStyle w:val="a4"/>
          <w:b w:val="0"/>
          <w:bCs/>
        </w:rPr>
        <w:t>高数值孔径极紫外光刻（</w:t>
      </w:r>
      <w:r>
        <w:rPr>
          <w:rStyle w:val="a4"/>
          <w:b w:val="0"/>
          <w:bCs/>
        </w:rPr>
        <w:t>High-NA EUV</w:t>
      </w:r>
      <w:r>
        <w:rPr>
          <w:rStyle w:val="a4"/>
          <w:b w:val="0"/>
          <w:bCs/>
        </w:rPr>
        <w:t>）</w:t>
      </w:r>
      <w:r>
        <w:rPr>
          <w:bCs/>
        </w:rPr>
        <w:t>，其通过将数值孔径从</w:t>
      </w:r>
      <w:r>
        <w:rPr>
          <w:bCs/>
        </w:rPr>
        <w:t>0.33</w:t>
      </w:r>
      <w:r>
        <w:rPr>
          <w:bCs/>
        </w:rPr>
        <w:t>提升至</w:t>
      </w:r>
      <w:r>
        <w:rPr>
          <w:bCs/>
        </w:rPr>
        <w:t>0.55</w:t>
      </w:r>
      <w:r>
        <w:rPr>
          <w:bCs/>
        </w:rPr>
        <w:t>，结合变形光学设计，实现了</w:t>
      </w:r>
      <w:r>
        <w:rPr>
          <w:bCs/>
        </w:rPr>
        <w:t>8</w:t>
      </w:r>
      <w:r>
        <w:rPr>
          <w:bCs/>
        </w:rPr>
        <w:t>纳米的图案分辨率。这种光学革命允许芯片制造商在</w:t>
      </w:r>
      <w:r>
        <w:rPr>
          <w:bCs/>
        </w:rPr>
        <w:t>1.4</w:t>
      </w:r>
      <w:r>
        <w:rPr>
          <w:bCs/>
        </w:rPr>
        <w:t>纳米及以下节点使用</w:t>
      </w:r>
      <w:r>
        <w:rPr>
          <w:bCs/>
        </w:rPr>
        <w:t>“</w:t>
      </w:r>
      <w:r>
        <w:rPr>
          <w:bCs/>
        </w:rPr>
        <w:t>单次曝光</w:t>
      </w:r>
      <w:r>
        <w:rPr>
          <w:bCs/>
        </w:rPr>
        <w:t>”</w:t>
      </w:r>
      <w:r>
        <w:rPr>
          <w:bCs/>
        </w:rPr>
        <w:t>工艺，显著简化了多重图案化的复杂性，降低了缺陷率并缩短了生产周期。与此同时，背面供电网络（</w:t>
      </w:r>
      <w:r>
        <w:rPr>
          <w:bCs/>
        </w:rPr>
        <w:t>BSPDN/PowerVia</w:t>
      </w:r>
      <w:r>
        <w:rPr>
          <w:bCs/>
        </w:rPr>
        <w:t>）技术通过将电源配送网络从晶圆正面移至背面，彻底解决了信号线与电力线争夺空间的布线拥挤难题。这一架构变革可将</w:t>
      </w:r>
      <w:r>
        <w:rPr>
          <w:bCs/>
        </w:rPr>
        <w:t>IR</w:t>
      </w:r>
      <w:r>
        <w:rPr>
          <w:bCs/>
        </w:rPr>
        <w:t>压降从</w:t>
      </w:r>
      <w:r>
        <w:rPr>
          <w:bCs/>
        </w:rPr>
        <w:t>7%</w:t>
      </w:r>
      <w:r>
        <w:rPr>
          <w:bCs/>
        </w:rPr>
        <w:t>降至</w:t>
      </w:r>
      <w:r>
        <w:rPr>
          <w:bCs/>
        </w:rPr>
        <w:t>1%</w:t>
      </w:r>
      <w:r>
        <w:rPr>
          <w:bCs/>
        </w:rPr>
        <w:t>以下，使逻辑单元利用率提升至</w:t>
      </w:r>
      <w:r>
        <w:rPr>
          <w:bCs/>
        </w:rPr>
        <w:t>90%</w:t>
      </w:r>
      <w:r>
        <w:rPr>
          <w:bCs/>
        </w:rPr>
        <w:t>以上，并为</w:t>
      </w:r>
      <w:r>
        <w:rPr>
          <w:bCs/>
        </w:rPr>
        <w:t>CPU</w:t>
      </w:r>
      <w:r>
        <w:rPr>
          <w:bCs/>
        </w:rPr>
        <w:t>带来最高约</w:t>
      </w:r>
      <w:r>
        <w:rPr>
          <w:bCs/>
        </w:rPr>
        <w:t>6%</w:t>
      </w:r>
      <w:r>
        <w:rPr>
          <w:bCs/>
        </w:rPr>
        <w:t>的主频增益。</w:t>
      </w:r>
    </w:p>
    <w:p w14:paraId="6650E274" w14:textId="101EB0F8" w:rsidR="000A2051" w:rsidRDefault="000A2051">
      <w:pPr>
        <w:pStyle w:val="a3"/>
        <w:widowControl/>
        <w:rPr>
          <w:bCs/>
        </w:rPr>
      </w:pPr>
      <w:r>
        <w:rPr>
          <w:noProof/>
        </w:rPr>
        <w:drawing>
          <wp:inline distT="0" distB="0" distL="0" distR="0" wp14:anchorId="39A37362" wp14:editId="0E41FA35">
            <wp:extent cx="2539707" cy="1428547"/>
            <wp:effectExtent l="0" t="0" r="0" b="635"/>
            <wp:docPr id="6932455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7898" cy="1433154"/>
                    </a:xfrm>
                    <a:prstGeom prst="rect">
                      <a:avLst/>
                    </a:prstGeom>
                    <a:noFill/>
                    <a:ln>
                      <a:noFill/>
                    </a:ln>
                  </pic:spPr>
                </pic:pic>
              </a:graphicData>
            </a:graphic>
          </wp:inline>
        </w:drawing>
      </w:r>
      <w:r w:rsidRPr="000A2051">
        <w:t xml:space="preserve"> </w:t>
      </w:r>
      <w:r>
        <w:rPr>
          <w:noProof/>
        </w:rPr>
        <w:drawing>
          <wp:inline distT="0" distB="0" distL="0" distR="0" wp14:anchorId="19E36162" wp14:editId="1B9FD27A">
            <wp:extent cx="2640132" cy="1291777"/>
            <wp:effectExtent l="0" t="0" r="8255" b="3810"/>
            <wp:docPr id="1285078661" name="图片 7" descr="Slide from Mark Phillips' AL22 presentation on high-NA E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lide from Mark Phillips' AL22 presentation on high-NA EUV"/>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66058" cy="1304462"/>
                    </a:xfrm>
                    <a:prstGeom prst="rect">
                      <a:avLst/>
                    </a:prstGeom>
                    <a:noFill/>
                    <a:ln>
                      <a:noFill/>
                    </a:ln>
                  </pic:spPr>
                </pic:pic>
              </a:graphicData>
            </a:graphic>
          </wp:inline>
        </w:drawing>
      </w:r>
    </w:p>
    <w:p w14:paraId="46D67405" w14:textId="77777777" w:rsidR="00201983" w:rsidRDefault="00000000">
      <w:pPr>
        <w:pStyle w:val="a3"/>
        <w:widowControl/>
        <w:rPr>
          <w:bCs/>
        </w:rPr>
      </w:pPr>
      <w:r>
        <w:rPr>
          <w:bCs/>
        </w:rPr>
        <w:t>在材料层面，硅基通道正逐渐触及原子级极限，具有原子级物理厚度的</w:t>
      </w:r>
      <w:r>
        <w:rPr>
          <w:rStyle w:val="a4"/>
          <w:b w:val="0"/>
          <w:bCs/>
        </w:rPr>
        <w:t>二维半导体材料（如</w:t>
      </w:r>
      <w:r>
        <w:rPr>
          <w:rStyle w:val="a4"/>
          <w:b w:val="0"/>
          <w:bCs/>
        </w:rPr>
        <w:t>MoS₂</w:t>
      </w:r>
      <w:r>
        <w:rPr>
          <w:rStyle w:val="a4"/>
          <w:b w:val="0"/>
          <w:bCs/>
        </w:rPr>
        <w:t>）和具有极高载流子迁移率的碳纳米管（</w:t>
      </w:r>
      <w:r>
        <w:rPr>
          <w:rStyle w:val="a4"/>
          <w:b w:val="0"/>
          <w:bCs/>
        </w:rPr>
        <w:t>CNT</w:t>
      </w:r>
      <w:r>
        <w:rPr>
          <w:rStyle w:val="a4"/>
          <w:b w:val="0"/>
          <w:bCs/>
        </w:rPr>
        <w:t>）成为后摩尔时代的理想替代方案。特别是高密度对齐的</w:t>
      </w:r>
      <w:r>
        <w:rPr>
          <w:rStyle w:val="a4"/>
          <w:b w:val="0"/>
          <w:bCs/>
        </w:rPr>
        <w:t>CNT</w:t>
      </w:r>
      <w:r>
        <w:rPr>
          <w:rStyle w:val="a4"/>
          <w:b w:val="0"/>
          <w:bCs/>
        </w:rPr>
        <w:t>阵列，其跨导性能已打破记录并超越了传统硅平面场效应晶体管。此外，宽禁带材料如氧化镓</w:t>
      </w:r>
      <w:r>
        <w:rPr>
          <w:bCs/>
        </w:rPr>
        <w:t>由于极高的击穿电场，以及</w:t>
      </w:r>
      <w:r>
        <w:rPr>
          <w:rStyle w:val="a4"/>
          <w:b w:val="0"/>
          <w:bCs/>
        </w:rPr>
        <w:t>金刚石</w:t>
      </w:r>
      <w:r>
        <w:rPr>
          <w:bCs/>
        </w:rPr>
        <w:t>作为</w:t>
      </w:r>
      <w:r>
        <w:rPr>
          <w:bCs/>
        </w:rPr>
        <w:t>“</w:t>
      </w:r>
      <w:r>
        <w:rPr>
          <w:bCs/>
        </w:rPr>
        <w:t>终极半导体</w:t>
      </w:r>
      <w:r>
        <w:rPr>
          <w:bCs/>
        </w:rPr>
        <w:t>”</w:t>
      </w:r>
      <w:r>
        <w:rPr>
          <w:bCs/>
        </w:rPr>
        <w:t>所具备的超高热导率，为极端环境下的超高性能运算提供了物质基础。</w:t>
      </w:r>
    </w:p>
    <w:p w14:paraId="2B30EB93" w14:textId="77777777" w:rsidR="00201983" w:rsidRDefault="00000000">
      <w:pPr>
        <w:pStyle w:val="a3"/>
        <w:widowControl/>
        <w:rPr>
          <w:bCs/>
        </w:rPr>
      </w:pPr>
      <w:r>
        <w:rPr>
          <w:rStyle w:val="a4"/>
          <w:b w:val="0"/>
          <w:bCs/>
        </w:rPr>
        <w:t xml:space="preserve">4.2 </w:t>
      </w:r>
      <w:r>
        <w:rPr>
          <w:rStyle w:val="a4"/>
          <w:b w:val="0"/>
          <w:bCs/>
        </w:rPr>
        <w:t>先进封装技术</w:t>
      </w:r>
    </w:p>
    <w:p w14:paraId="79101BBD" w14:textId="77777777" w:rsidR="00163108" w:rsidRPr="00163108" w:rsidRDefault="00163108" w:rsidP="00163108">
      <w:pPr>
        <w:pStyle w:val="a3"/>
        <w:rPr>
          <w:bCs/>
        </w:rPr>
      </w:pPr>
      <w:r w:rsidRPr="00163108">
        <w:rPr>
          <w:bCs/>
        </w:rPr>
        <w:t>在</w:t>
      </w:r>
      <w:proofErr w:type="gramStart"/>
      <w:r w:rsidRPr="00163108">
        <w:rPr>
          <w:bCs/>
        </w:rPr>
        <w:t>前端制程微缩</w:t>
      </w:r>
      <w:proofErr w:type="gramEnd"/>
      <w:r w:rsidRPr="00163108">
        <w:rPr>
          <w:bCs/>
        </w:rPr>
        <w:t>红利边际递减的背景下，先进封装已成为提升系统整体性能的关键途径。半导体行业正逐渐从传统的单片集成向基于芯粒（</w:t>
      </w:r>
      <w:r w:rsidRPr="00163108">
        <w:rPr>
          <w:bCs/>
        </w:rPr>
        <w:t>Chiplet</w:t>
      </w:r>
      <w:r w:rsidRPr="00163108">
        <w:rPr>
          <w:bCs/>
        </w:rPr>
        <w:t>）的异构集成架构转型。该模块化设计方法能够有效提升芯片制造良率，并降低</w:t>
      </w:r>
      <w:proofErr w:type="gramStart"/>
      <w:r w:rsidRPr="00163108">
        <w:rPr>
          <w:bCs/>
        </w:rPr>
        <w:t>先进制程的</w:t>
      </w:r>
      <w:proofErr w:type="gramEnd"/>
      <w:r w:rsidRPr="00163108">
        <w:rPr>
          <w:bCs/>
        </w:rPr>
        <w:t>开发成本。混合键合（</w:t>
      </w:r>
      <w:r w:rsidRPr="00163108">
        <w:rPr>
          <w:bCs/>
        </w:rPr>
        <w:t>Hybrid Bonding</w:t>
      </w:r>
      <w:r w:rsidRPr="00163108">
        <w:rPr>
          <w:bCs/>
        </w:rPr>
        <w:t>）技术是实现三维（</w:t>
      </w:r>
      <w:r w:rsidRPr="00163108">
        <w:rPr>
          <w:bCs/>
        </w:rPr>
        <w:t>3D</w:t>
      </w:r>
      <w:r w:rsidRPr="00163108">
        <w:rPr>
          <w:bCs/>
        </w:rPr>
        <w:t>）高密度集成的核心工艺。该技术采用无</w:t>
      </w:r>
      <w:proofErr w:type="gramStart"/>
      <w:r w:rsidRPr="00163108">
        <w:rPr>
          <w:bCs/>
        </w:rPr>
        <w:t>凸</w:t>
      </w:r>
      <w:proofErr w:type="gramEnd"/>
      <w:r w:rsidRPr="00163108">
        <w:rPr>
          <w:bCs/>
        </w:rPr>
        <w:t>块的铜</w:t>
      </w:r>
      <w:r w:rsidRPr="00163108">
        <w:rPr>
          <w:bCs/>
        </w:rPr>
        <w:t>-</w:t>
      </w:r>
      <w:proofErr w:type="gramStart"/>
      <w:r w:rsidRPr="00163108">
        <w:rPr>
          <w:bCs/>
        </w:rPr>
        <w:t>铜直接</w:t>
      </w:r>
      <w:proofErr w:type="gramEnd"/>
      <w:r w:rsidRPr="00163108">
        <w:rPr>
          <w:bCs/>
        </w:rPr>
        <w:t>互连取代传统微凸点，将互连间距缩减至</w:t>
      </w:r>
      <w:r w:rsidRPr="00163108">
        <w:rPr>
          <w:bCs/>
        </w:rPr>
        <w:t>10</w:t>
      </w:r>
      <w:r w:rsidRPr="00163108">
        <w:rPr>
          <w:bCs/>
        </w:rPr>
        <w:t>微米以下，从而大幅提升异构芯片间的通信带宽。</w:t>
      </w:r>
    </w:p>
    <w:p w14:paraId="7A051113" w14:textId="77777777" w:rsidR="00163108" w:rsidRPr="00163108" w:rsidRDefault="00163108" w:rsidP="00163108">
      <w:pPr>
        <w:pStyle w:val="a3"/>
        <w:rPr>
          <w:bCs/>
        </w:rPr>
      </w:pPr>
      <w:r w:rsidRPr="00163108">
        <w:rPr>
          <w:bCs/>
        </w:rPr>
        <w:t>面向未来的高性能计算处理器预计将广泛采用</w:t>
      </w:r>
      <w:r w:rsidRPr="00163108">
        <w:rPr>
          <w:bCs/>
        </w:rPr>
        <w:t>3D</w:t>
      </w:r>
      <w:r w:rsidRPr="00163108">
        <w:rPr>
          <w:bCs/>
        </w:rPr>
        <w:t>堆叠与异构集成架构，实现逻辑单元、存储单元乃至光电组件的垂直封装。在基板材料方面，玻璃基板凭借其出色的平整度以及与硅晶</w:t>
      </w:r>
      <w:proofErr w:type="gramStart"/>
      <w:r w:rsidRPr="00163108">
        <w:rPr>
          <w:bCs/>
        </w:rPr>
        <w:t>圆高度</w:t>
      </w:r>
      <w:proofErr w:type="gramEnd"/>
      <w:r w:rsidRPr="00163108">
        <w:rPr>
          <w:bCs/>
        </w:rPr>
        <w:t>匹配的热膨胀系数，正成为传统有机基板的重要替代方案，以满足更大封装尺寸、更高信号频率的</w:t>
      </w:r>
      <w:r w:rsidRPr="00163108">
        <w:rPr>
          <w:bCs/>
        </w:rPr>
        <w:t>AI</w:t>
      </w:r>
      <w:r w:rsidRPr="00163108">
        <w:rPr>
          <w:bCs/>
        </w:rPr>
        <w:t>及下一代通信芯片的需求。此外，在数据传输层面，共封装光学（</w:t>
      </w:r>
      <w:r w:rsidRPr="00163108">
        <w:rPr>
          <w:bCs/>
        </w:rPr>
        <w:t>CPO</w:t>
      </w:r>
      <w:r w:rsidRPr="00163108">
        <w:rPr>
          <w:bCs/>
        </w:rPr>
        <w:t>）技术通过将光电转换引擎直接集成于逻辑芯片周边，将电信号传输距离缩短至毫米级别。行业数据显示，该技术可使网络互连能耗显著降低（预计达</w:t>
      </w:r>
      <w:r w:rsidRPr="00163108">
        <w:rPr>
          <w:bCs/>
        </w:rPr>
        <w:t>50%</w:t>
      </w:r>
      <w:r w:rsidRPr="00163108">
        <w:rPr>
          <w:bCs/>
        </w:rPr>
        <w:t>以上），从而有效缓解当</w:t>
      </w:r>
      <w:r w:rsidRPr="00163108">
        <w:rPr>
          <w:bCs/>
        </w:rPr>
        <w:lastRenderedPageBreak/>
        <w:t>前数据中心面临的大规模、高带宽互连瓶颈。</w:t>
      </w:r>
    </w:p>
    <w:p w14:paraId="2D167EA8" w14:textId="6D57973D" w:rsidR="006A2917" w:rsidRDefault="00000000" w:rsidP="006A2917">
      <w:pPr>
        <w:pStyle w:val="a3"/>
        <w:widowControl/>
        <w:rPr>
          <w:rFonts w:cstheme="minorBidi"/>
          <w:bCs/>
          <w:kern w:val="2"/>
        </w:rPr>
      </w:pPr>
      <w:r>
        <w:rPr>
          <w:rStyle w:val="a4"/>
          <w:b w:val="0"/>
          <w:bCs/>
        </w:rPr>
        <w:t xml:space="preserve">4.3 </w:t>
      </w:r>
      <w:r>
        <w:rPr>
          <w:rStyle w:val="a4"/>
          <w:b w:val="0"/>
          <w:bCs/>
        </w:rPr>
        <w:t>特定领域架构（</w:t>
      </w:r>
      <w:r>
        <w:rPr>
          <w:rStyle w:val="a4"/>
          <w:b w:val="0"/>
          <w:bCs/>
        </w:rPr>
        <w:t>DSA</w:t>
      </w:r>
      <w:r>
        <w:rPr>
          <w:rStyle w:val="a4"/>
          <w:b w:val="0"/>
          <w:bCs/>
        </w:rPr>
        <w:t>）与</w:t>
      </w:r>
      <w:r>
        <w:rPr>
          <w:rStyle w:val="a4"/>
          <w:b w:val="0"/>
          <w:bCs/>
        </w:rPr>
        <w:t>AI</w:t>
      </w:r>
      <w:r>
        <w:rPr>
          <w:rStyle w:val="a4"/>
          <w:b w:val="0"/>
          <w:bCs/>
        </w:rPr>
        <w:t>融合</w:t>
      </w:r>
    </w:p>
    <w:p w14:paraId="67834295" w14:textId="77777777" w:rsidR="006A2917" w:rsidRPr="006A2917" w:rsidRDefault="006A2917" w:rsidP="006A2917">
      <w:pPr>
        <w:pStyle w:val="a3"/>
        <w:rPr>
          <w:bCs/>
        </w:rPr>
      </w:pPr>
      <w:r w:rsidRPr="006A2917">
        <w:rPr>
          <w:bCs/>
        </w:rPr>
        <w:t>AI</w:t>
      </w:r>
      <w:proofErr w:type="gramStart"/>
      <w:r w:rsidRPr="006A2917">
        <w:rPr>
          <w:bCs/>
        </w:rPr>
        <w:t>算力需求的指数级</w:t>
      </w:r>
      <w:proofErr w:type="gramEnd"/>
      <w:r w:rsidRPr="006A2917">
        <w:rPr>
          <w:bCs/>
        </w:rPr>
        <w:t>增长正促使处理器设计向特定领域架构（</w:t>
      </w:r>
      <w:r w:rsidRPr="006A2917">
        <w:rPr>
          <w:bCs/>
        </w:rPr>
        <w:t>DSA</w:t>
      </w:r>
      <w:r w:rsidRPr="006A2917">
        <w:rPr>
          <w:bCs/>
        </w:rPr>
        <w:t>）转型，旨在通过软硬件的深度协同优化来突破传统</w:t>
      </w:r>
      <w:proofErr w:type="gramStart"/>
      <w:r w:rsidRPr="006A2917">
        <w:rPr>
          <w:bCs/>
        </w:rPr>
        <w:t>的算力与</w:t>
      </w:r>
      <w:proofErr w:type="gramEnd"/>
      <w:r w:rsidRPr="006A2917">
        <w:rPr>
          <w:bCs/>
        </w:rPr>
        <w:t>功耗瓶颈。未来的计算芯片正逐步演进为融合神经处理单元（</w:t>
      </w:r>
      <w:r w:rsidRPr="006A2917">
        <w:rPr>
          <w:bCs/>
        </w:rPr>
        <w:t>NPU</w:t>
      </w:r>
      <w:r w:rsidRPr="006A2917">
        <w:rPr>
          <w:bCs/>
        </w:rPr>
        <w:t>）与通用计算核心的异构系统。同时，系统级技术协同优化（</w:t>
      </w:r>
      <w:r w:rsidRPr="006A2917">
        <w:rPr>
          <w:bCs/>
        </w:rPr>
        <w:t>STCO</w:t>
      </w:r>
      <w:r w:rsidRPr="006A2917">
        <w:rPr>
          <w:bCs/>
        </w:rPr>
        <w:t>）及其拓展范式（</w:t>
      </w:r>
      <w:r w:rsidRPr="006A2917">
        <w:rPr>
          <w:bCs/>
        </w:rPr>
        <w:t>XTCO</w:t>
      </w:r>
      <w:r w:rsidRPr="006A2917">
        <w:rPr>
          <w:bCs/>
        </w:rPr>
        <w:t>）将研发焦点从单一晶体管层级提升至系统全局，通过联合优化计算密度、内存带宽与</w:t>
      </w:r>
      <w:proofErr w:type="gramStart"/>
      <w:r w:rsidRPr="006A2917">
        <w:rPr>
          <w:bCs/>
        </w:rPr>
        <w:t>热管理</w:t>
      </w:r>
      <w:proofErr w:type="gramEnd"/>
      <w:r w:rsidRPr="006A2917">
        <w:rPr>
          <w:bCs/>
        </w:rPr>
        <w:t>能力来最大化整体能效。</w:t>
      </w:r>
    </w:p>
    <w:p w14:paraId="319E3528" w14:textId="77777777" w:rsidR="006A2917" w:rsidRPr="006A2917" w:rsidRDefault="006A2917" w:rsidP="006A2917">
      <w:pPr>
        <w:pStyle w:val="a3"/>
        <w:rPr>
          <w:bCs/>
        </w:rPr>
      </w:pPr>
      <w:r w:rsidRPr="006A2917">
        <w:rPr>
          <w:bCs/>
        </w:rPr>
        <w:t>在数据交互层面，存内计算（</w:t>
      </w:r>
      <w:r w:rsidRPr="006A2917">
        <w:rPr>
          <w:bCs/>
        </w:rPr>
        <w:t>PIM/</w:t>
      </w:r>
      <w:proofErr w:type="gramStart"/>
      <w:r w:rsidRPr="006A2917">
        <w:rPr>
          <w:bCs/>
        </w:rPr>
        <w:t>存算一体</w:t>
      </w:r>
      <w:proofErr w:type="gramEnd"/>
      <w:r w:rsidRPr="006A2917">
        <w:rPr>
          <w:bCs/>
        </w:rPr>
        <w:t>）技术通过在存储阵列附近或内部集成计算单元，旨在缓解传统冯</w:t>
      </w:r>
      <w:r w:rsidRPr="006A2917">
        <w:rPr>
          <w:bCs/>
        </w:rPr>
        <w:t>·</w:t>
      </w:r>
      <w:r w:rsidRPr="006A2917">
        <w:rPr>
          <w:bCs/>
        </w:rPr>
        <w:t>诺依曼架构中数据频繁搬运导致的能效瓶颈。相关行业研究与测试表明，基于</w:t>
      </w:r>
      <w:r w:rsidRPr="006A2917">
        <w:rPr>
          <w:bCs/>
        </w:rPr>
        <w:t>3D</w:t>
      </w:r>
      <w:r w:rsidRPr="006A2917">
        <w:rPr>
          <w:bCs/>
        </w:rPr>
        <w:t>混合</w:t>
      </w:r>
      <w:proofErr w:type="gramStart"/>
      <w:r w:rsidRPr="006A2917">
        <w:rPr>
          <w:bCs/>
        </w:rPr>
        <w:t>键合技术</w:t>
      </w:r>
      <w:proofErr w:type="gramEnd"/>
      <w:r w:rsidRPr="006A2917">
        <w:rPr>
          <w:bCs/>
        </w:rPr>
        <w:t>实现的逻辑与存储异构集成架构（如</w:t>
      </w:r>
      <w:r w:rsidRPr="006A2917">
        <w:rPr>
          <w:bCs/>
        </w:rPr>
        <w:t>14</w:t>
      </w:r>
      <w:r w:rsidRPr="006A2917">
        <w:rPr>
          <w:bCs/>
        </w:rPr>
        <w:t>纳米逻辑层与</w:t>
      </w:r>
      <w:r w:rsidRPr="006A2917">
        <w:rPr>
          <w:bCs/>
        </w:rPr>
        <w:t>18</w:t>
      </w:r>
      <w:r w:rsidRPr="006A2917">
        <w:rPr>
          <w:bCs/>
        </w:rPr>
        <w:t>纳米</w:t>
      </w:r>
      <w:r w:rsidRPr="006A2917">
        <w:rPr>
          <w:bCs/>
        </w:rPr>
        <w:t>DRAM</w:t>
      </w:r>
      <w:r w:rsidRPr="006A2917">
        <w:rPr>
          <w:bCs/>
        </w:rPr>
        <w:t>的垂直堆叠），在执行特定人工智能任务时，展现出与更先进微缩制程（如</w:t>
      </w:r>
      <w:r w:rsidRPr="006A2917">
        <w:rPr>
          <w:bCs/>
        </w:rPr>
        <w:t>4</w:t>
      </w:r>
      <w:r w:rsidRPr="006A2917">
        <w:rPr>
          <w:bCs/>
        </w:rPr>
        <w:t>纳米工艺）相近的性能表现，并大幅降低了系统能耗。随着高带宽存储器迈向</w:t>
      </w:r>
      <w:r w:rsidRPr="006A2917">
        <w:rPr>
          <w:bCs/>
        </w:rPr>
        <w:t>HBM4</w:t>
      </w:r>
      <w:r w:rsidRPr="006A2917">
        <w:rPr>
          <w:bCs/>
        </w:rPr>
        <w:t>阶段，定制化的逻辑底层（</w:t>
      </w:r>
      <w:r w:rsidRPr="006A2917">
        <w:rPr>
          <w:bCs/>
        </w:rPr>
        <w:t>Logic Die</w:t>
      </w:r>
      <w:r w:rsidRPr="006A2917">
        <w:rPr>
          <w:bCs/>
        </w:rPr>
        <w:t>）将促使存储单元与计算核心实现更深度的物理与逻辑融合，从而为生成式</w:t>
      </w:r>
      <w:r w:rsidRPr="006A2917">
        <w:rPr>
          <w:bCs/>
        </w:rPr>
        <w:t>AI</w:t>
      </w:r>
      <w:r w:rsidRPr="006A2917">
        <w:rPr>
          <w:bCs/>
        </w:rPr>
        <w:t>向物理</w:t>
      </w:r>
      <w:r w:rsidRPr="006A2917">
        <w:rPr>
          <w:bCs/>
        </w:rPr>
        <w:t>AI</w:t>
      </w:r>
      <w:r w:rsidRPr="006A2917">
        <w:rPr>
          <w:bCs/>
        </w:rPr>
        <w:t>（</w:t>
      </w:r>
      <w:r w:rsidRPr="006A2917">
        <w:rPr>
          <w:bCs/>
        </w:rPr>
        <w:t>Physical AI</w:t>
      </w:r>
      <w:r w:rsidRPr="006A2917">
        <w:rPr>
          <w:bCs/>
        </w:rPr>
        <w:t>）及代理</w:t>
      </w:r>
      <w:r w:rsidRPr="006A2917">
        <w:rPr>
          <w:bCs/>
        </w:rPr>
        <w:t>AI</w:t>
      </w:r>
      <w:r w:rsidRPr="006A2917">
        <w:rPr>
          <w:bCs/>
        </w:rPr>
        <w:t>（</w:t>
      </w:r>
      <w:r w:rsidRPr="006A2917">
        <w:rPr>
          <w:bCs/>
        </w:rPr>
        <w:t>Agentic AI</w:t>
      </w:r>
      <w:r w:rsidRPr="006A2917">
        <w:rPr>
          <w:bCs/>
        </w:rPr>
        <w:t>）的代际演进提供底层硬件支撑。</w:t>
      </w:r>
    </w:p>
    <w:p w14:paraId="695F5D4A" w14:textId="0905DF38" w:rsidR="006A2917" w:rsidRPr="006A2917" w:rsidRDefault="006A2917" w:rsidP="006A2917">
      <w:pPr>
        <w:pStyle w:val="a3"/>
        <w:rPr>
          <w:bCs/>
        </w:rPr>
      </w:pPr>
      <w:r w:rsidRPr="006A2917">
        <w:rPr>
          <w:bCs/>
        </w:rPr>
        <w:t>在设计方法学层面，</w:t>
      </w:r>
      <w:r w:rsidRPr="006A2917">
        <w:rPr>
          <w:bCs/>
        </w:rPr>
        <w:t>AI</w:t>
      </w:r>
      <w:r w:rsidRPr="006A2917">
        <w:rPr>
          <w:bCs/>
        </w:rPr>
        <w:t>辅助芯片设计正逐渐成为新的研发范式。通过部署</w:t>
      </w:r>
      <w:r w:rsidRPr="006A2917">
        <w:rPr>
          <w:bCs/>
        </w:rPr>
        <w:t>AI</w:t>
      </w:r>
      <w:r w:rsidRPr="006A2917">
        <w:rPr>
          <w:bCs/>
        </w:rPr>
        <w:t>智能体（</w:t>
      </w:r>
      <w:r w:rsidRPr="006A2917">
        <w:rPr>
          <w:bCs/>
        </w:rPr>
        <w:t>AI Agent</w:t>
      </w:r>
      <w:r w:rsidRPr="006A2917">
        <w:rPr>
          <w:bCs/>
        </w:rPr>
        <w:t>）自动优化</w:t>
      </w:r>
      <w:proofErr w:type="gramStart"/>
      <w:r w:rsidRPr="006A2917">
        <w:rPr>
          <w:bCs/>
        </w:rPr>
        <w:t>埃米级工艺</w:t>
      </w:r>
      <w:proofErr w:type="gramEnd"/>
      <w:r w:rsidRPr="006A2917">
        <w:rPr>
          <w:bCs/>
        </w:rPr>
        <w:t>下的复杂电路布局与布线，芯片设计正形成高度自动化与智能化的迭代闭环。这一研发模式的转变，为后摩尔时代处理器性能的持续提升提供了关键的驱动力。</w:t>
      </w:r>
    </w:p>
    <w:p w14:paraId="32E2F78E" w14:textId="1A5AEBD8" w:rsidR="00201983" w:rsidRDefault="00000000">
      <w:pPr>
        <w:rPr>
          <w:bCs/>
          <w:sz w:val="24"/>
        </w:rPr>
      </w:pPr>
      <w:r>
        <w:rPr>
          <w:rFonts w:hint="eastAsia"/>
          <w:bCs/>
          <w:sz w:val="24"/>
        </w:rPr>
        <w:t xml:space="preserve">4.4 </w:t>
      </w:r>
      <w:r>
        <w:rPr>
          <w:rFonts w:hint="eastAsia"/>
          <w:bCs/>
          <w:sz w:val="24"/>
        </w:rPr>
        <w:t>本章总结</w:t>
      </w:r>
    </w:p>
    <w:p w14:paraId="42A62B66" w14:textId="77777777" w:rsidR="00201983" w:rsidRDefault="00000000">
      <w:pPr>
        <w:pStyle w:val="a3"/>
        <w:widowControl/>
        <w:rPr>
          <w:bCs/>
        </w:rPr>
      </w:pPr>
      <w:r>
        <w:rPr>
          <w:bCs/>
        </w:rPr>
        <w:t>总而言之，半导体行业正经历从单一的几何尺寸微缩向</w:t>
      </w:r>
      <w:r>
        <w:rPr>
          <w:rStyle w:val="a4"/>
          <w:b w:val="0"/>
          <w:bCs/>
        </w:rPr>
        <w:t>系统级技术协同优化</w:t>
      </w:r>
      <w:r>
        <w:rPr>
          <w:rStyle w:val="a4"/>
          <w:rFonts w:hint="eastAsia"/>
          <w:b w:val="0"/>
          <w:bCs/>
        </w:rPr>
        <w:t>、</w:t>
      </w:r>
      <w:r>
        <w:rPr>
          <w:rStyle w:val="a4"/>
          <w:b w:val="0"/>
          <w:bCs/>
        </w:rPr>
        <w:t>的根本性转变。通过晶体管架构从</w:t>
      </w:r>
      <w:r>
        <w:rPr>
          <w:rStyle w:val="a4"/>
          <w:b w:val="0"/>
          <w:bCs/>
        </w:rPr>
        <w:t xml:space="preserve"> FinFET </w:t>
      </w:r>
      <w:r>
        <w:rPr>
          <w:rStyle w:val="a4"/>
          <w:b w:val="0"/>
          <w:bCs/>
        </w:rPr>
        <w:t>向</w:t>
      </w:r>
      <w:r>
        <w:rPr>
          <w:rStyle w:val="a4"/>
          <w:b w:val="0"/>
          <w:bCs/>
        </w:rPr>
        <w:t xml:space="preserve"> GAAFET</w:t>
      </w:r>
      <w:r>
        <w:rPr>
          <w:rStyle w:val="a4"/>
          <w:b w:val="0"/>
          <w:bCs/>
        </w:rPr>
        <w:t>、</w:t>
      </w:r>
      <w:r>
        <w:rPr>
          <w:rStyle w:val="a4"/>
          <w:b w:val="0"/>
          <w:bCs/>
        </w:rPr>
        <w:t xml:space="preserve">Forksheet </w:t>
      </w:r>
      <w:r>
        <w:rPr>
          <w:rStyle w:val="a4"/>
          <w:b w:val="0"/>
          <w:bCs/>
        </w:rPr>
        <w:t>以及</w:t>
      </w:r>
      <w:r>
        <w:rPr>
          <w:rStyle w:val="a4"/>
          <w:b w:val="0"/>
          <w:bCs/>
        </w:rPr>
        <w:t xml:space="preserve"> CFET </w:t>
      </w:r>
      <w:r>
        <w:rPr>
          <w:rStyle w:val="a4"/>
          <w:b w:val="0"/>
          <w:bCs/>
        </w:rPr>
        <w:t>的三维物理演进，结合</w:t>
      </w:r>
      <w:r>
        <w:rPr>
          <w:rStyle w:val="a4"/>
          <w:b w:val="0"/>
          <w:bCs/>
        </w:rPr>
        <w:t xml:space="preserve"> High-NA EUV </w:t>
      </w:r>
      <w:r>
        <w:rPr>
          <w:rStyle w:val="a4"/>
          <w:b w:val="0"/>
          <w:bCs/>
        </w:rPr>
        <w:t>光刻的光学革命与背面供电（</w:t>
      </w:r>
      <w:r>
        <w:rPr>
          <w:rStyle w:val="a4"/>
          <w:b w:val="0"/>
          <w:bCs/>
        </w:rPr>
        <w:t>BSPDN</w:t>
      </w:r>
      <w:r>
        <w:rPr>
          <w:rStyle w:val="a4"/>
          <w:b w:val="0"/>
          <w:bCs/>
        </w:rPr>
        <w:t>）技术的架构重构，处理器得以在埃米尺度下持续抑制漏电并提升能效。与此同时，碳纳米管、二维半导体等颠覆性材料的应用，以及芯粒（</w:t>
      </w:r>
      <w:r>
        <w:rPr>
          <w:rStyle w:val="a4"/>
          <w:b w:val="0"/>
          <w:bCs/>
        </w:rPr>
        <w:t>Chiplets</w:t>
      </w:r>
      <w:r>
        <w:rPr>
          <w:rStyle w:val="a4"/>
          <w:b w:val="0"/>
          <w:bCs/>
        </w:rPr>
        <w:t>）</w:t>
      </w:r>
      <w:r>
        <w:rPr>
          <w:bCs/>
        </w:rPr>
        <w:t>、</w:t>
      </w:r>
      <w:r>
        <w:rPr>
          <w:rStyle w:val="a4"/>
          <w:b w:val="0"/>
          <w:bCs/>
        </w:rPr>
        <w:t>混合键合</w:t>
      </w:r>
      <w:r>
        <w:rPr>
          <w:bCs/>
        </w:rPr>
        <w:t>与共封装光学（</w:t>
      </w:r>
      <w:r>
        <w:rPr>
          <w:bCs/>
        </w:rPr>
        <w:t>CPO</w:t>
      </w:r>
      <w:r>
        <w:rPr>
          <w:bCs/>
        </w:rPr>
        <w:t>）等先进封装技术的突破，共同打破了传统硅基芯片的物理与算力瓶颈</w:t>
      </w:r>
      <w:r>
        <w:rPr>
          <w:rFonts w:hint="eastAsia"/>
          <w:bCs/>
        </w:rPr>
        <w:t>，</w:t>
      </w:r>
      <w:r>
        <w:rPr>
          <w:bCs/>
        </w:rPr>
        <w:t>未来的处理器将不再是孤立的运算单元</w:t>
      </w:r>
      <w:r>
        <w:rPr>
          <w:rFonts w:hint="eastAsia"/>
          <w:bCs/>
        </w:rPr>
        <w:t>。</w:t>
      </w:r>
    </w:p>
    <w:p w14:paraId="14B31B94" w14:textId="77777777" w:rsidR="00201983" w:rsidRDefault="00201983">
      <w:pPr>
        <w:rPr>
          <w:bCs/>
          <w:sz w:val="24"/>
        </w:rPr>
      </w:pPr>
    </w:p>
    <w:p w14:paraId="433C6FD4" w14:textId="77777777" w:rsidR="00201983" w:rsidRDefault="00201983">
      <w:pPr>
        <w:ind w:firstLine="420"/>
        <w:rPr>
          <w:bCs/>
          <w:sz w:val="24"/>
        </w:rPr>
      </w:pPr>
    </w:p>
    <w:sectPr w:rsidR="002019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83"/>
    <w:rsid w:val="000A2051"/>
    <w:rsid w:val="00163108"/>
    <w:rsid w:val="00201983"/>
    <w:rsid w:val="00273FBB"/>
    <w:rsid w:val="002E6F7E"/>
    <w:rsid w:val="003121BC"/>
    <w:rsid w:val="00450D10"/>
    <w:rsid w:val="006A2917"/>
    <w:rsid w:val="00BD4B23"/>
    <w:rsid w:val="00D331F7"/>
    <w:rsid w:val="570D7E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0B72E"/>
  <w15:docId w15:val="{B858CF7E-980C-493D-8388-0D190FE0A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365</Words>
  <Characters>2086</Characters>
  <Application>Microsoft Office Word</Application>
  <DocSecurity>0</DocSecurity>
  <Lines>17</Lines>
  <Paragraphs>4</Paragraphs>
  <ScaleCrop>false</ScaleCrop>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Master.WU</dc:creator>
  <cp:lastModifiedBy>亦寒 宋</cp:lastModifiedBy>
  <cp:revision>5</cp:revision>
  <dcterms:created xsi:type="dcterms:W3CDTF">2026-04-05T02:46:00Z</dcterms:created>
  <dcterms:modified xsi:type="dcterms:W3CDTF">2026-04-05T11:50:00Z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eyJoZGlkIjoiN2M3Mzk2ODUwZTFiYTQ2M2E0ZmUwZTA4NTBjMDRmMGEiLCJ1c2VySWQiOiIxODEyOTE4MzEzIn0=</vt:lpwstr>
  </property>
  <property fmtid="{D5CDD505-2E9C-101B-9397-08002B2CF9AE}" pid="4" name="ICV">
    <vt:lpwstr>EE7154D2A1574930B9D02D14DA89DF55_12</vt:lpwstr>
  </property>
</Properties>
</file>