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caps/>
          <w:color w:val="595959"/>
          <w:sz w:val="24"/>
          <w:szCs w:val="24"/>
        </w:rPr>
        <w:t xml:space="preserve">DSA OS Program</w:t>
      </w:r>
    </w:p>
    <w:p>
      <w:pPr>
        <w:spacing w:after="120"/>
      </w:pPr>
      <w:r>
        <w:rPr>
          <w:rFonts w:ascii="Calibri" w:cs="Calibri" w:eastAsia="Calibri" w:hAnsi="Calibri"/>
          <w:b/>
          <w:bCs/>
          <w:color w:val="1F3864"/>
          <w:sz w:val="56"/>
          <w:szCs w:val="56"/>
        </w:rPr>
        <w:t xml:space="preserve">Software Requirements Specification</w:t>
      </w:r>
    </w:p>
    <w:p>
      <w:pPr>
        <w:pBdr>
          <w:bottom w:val="single" w:color="1F3864" w:sz="12" w:space="6"/>
        </w:pBdr>
        <w:spacing w:after="600"/>
      </w:pPr>
      <w:r>
        <w:rPr>
          <w:rFonts w:ascii="Calibri" w:cs="Calibri" w:eastAsia="Calibri" w:hAnsi="Calibri"/>
          <w:color w:val="404040"/>
          <w:sz w:val="28"/>
          <w:szCs w:val="28"/>
        </w:rPr>
        <w:t xml:space="preserve">DSA OS: Vehicle-Loan Operations Platform for Direct Selling Agents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Item</w:t>
            </w:r>
          </w:p>
        </w:tc>
        <w:tc>
          <w:tcPr>
            <w:tcW w:type="dxa" w:w="64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Detail</w:t>
            </w:r>
          </w:p>
        </w:tc>
      </w:tr>
      <w:tr>
        <w:trPr>
          <w:cantSplit/>
          <w:tblHeader w:val="false"/>
        </w:trP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Document ID</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SRS-DSAOS-001</w:t>
            </w:r>
          </w:p>
        </w:tc>
      </w:tr>
      <w:tr>
        <w:trPr>
          <w:cantSplit/>
          <w:tblHeader w:val="false"/>
        </w:trP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Version / status</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1.0 / Draft for review</w:t>
            </w:r>
          </w:p>
        </w:tc>
      </w:tr>
      <w:tr>
        <w:trPr>
          <w:cantSplit/>
          <w:tblHeader w:val="false"/>
        </w:trP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Date</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04 October 2026</w:t>
            </w:r>
          </w:p>
        </w:tc>
      </w:tr>
      <w:tr>
        <w:trPr>
          <w:cantSplit/>
          <w:tblHeader w:val="false"/>
        </w:trP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Product</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DSA OS, vehicle-loan operations platform</w:t>
            </w:r>
          </w:p>
        </w:tc>
      </w:tr>
      <w:tr>
        <w:trPr>
          <w:cantSplit/>
          <w:tblHeader w:val="false"/>
        </w:trP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Author</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Shashwat (Product Owner)</w:t>
            </w:r>
          </w:p>
        </w:tc>
      </w:tr>
      <w:tr>
        <w:trPr>
          <w:cantSplit/>
          <w:tblHeader w:val="false"/>
        </w:trP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Parent document</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PRD-DSAOS-001 (Product Requirements Document)</w:t>
            </w:r>
          </w:p>
        </w:tc>
      </w:tr>
      <w:tr>
        <w:trPr>
          <w:cantSplit/>
          <w:tblHeader w:val="false"/>
        </w:trP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Standard followed</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ISO/IEC/IEEE 29148:2018 structure</w:t>
            </w:r>
          </w:p>
        </w:tc>
      </w:tr>
    </w:tbl>
    <w:p>
      <w:pPr>
        <w:spacing w:before="300"/>
      </w:pPr>
      <w:r>
        <w:rPr>
          <w:rFonts w:ascii="Calibri" w:cs="Calibri" w:eastAsia="Calibri" w:hAnsi="Calibri"/>
          <w:i/>
          <w:iCs/>
          <w:color w:val="7F7F7F"/>
          <w:sz w:val="18"/>
          <w:szCs w:val="18"/>
        </w:rPr>
        <w:t xml:space="preserve">Confidential. Draft for engineering review. Not for external distribution.</w:t>
      </w:r>
    </w:p>
    <w:p>
      <w:pPr>
        <w:pStyle w:val="Heading1"/>
        <w:pageBreakBefore/>
      </w:pPr>
      <w:r>
        <w:rPr>
          <w:rFonts w:ascii="Calibri" w:cs="Calibri" w:eastAsia="Calibri" w:hAnsi="Calibri"/>
        </w:rPr>
        <w:t xml:space="preserve">Document Control</w:t>
      </w:r>
    </w:p>
    <w:p>
      <w:pPr>
        <w:pStyle w:val="Heading2"/>
      </w:pPr>
      <w:r>
        <w:rPr>
          <w:rFonts w:ascii="Calibri" w:cs="Calibri" w:eastAsia="Calibri" w:hAnsi="Calibri"/>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444"/>
        <w:gridCol w:w="1624"/>
        <w:gridCol w:w="5056"/>
      </w:tblGrid>
      <w:tr>
        <w:trPr>
          <w:cantSplit/>
          <w:tblHeader/>
        </w:trPr>
        <w:tc>
          <w:tcPr>
            <w:tcW w:type="dxa" w:w="90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Version</w:t>
            </w:r>
          </w:p>
        </w:tc>
        <w:tc>
          <w:tcPr>
            <w:tcW w:type="dxa" w:w="144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Date</w:t>
            </w:r>
          </w:p>
        </w:tc>
        <w:tc>
          <w:tcPr>
            <w:tcW w:type="dxa" w:w="162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Author</w:t>
            </w:r>
          </w:p>
        </w:tc>
        <w:tc>
          <w:tcPr>
            <w:tcW w:type="dxa" w:w="505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Change</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0.1</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Sep 2026</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Product Owner</w:t>
            </w:r>
          </w:p>
        </w:tc>
        <w:tc>
          <w:tcPr>
            <w:tcW w:type="dxa" w:w="50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Initial generic SRS</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0.2</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04 Oct 2026</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Product Owner</w:t>
            </w:r>
          </w:p>
        </w:tc>
        <w:tc>
          <w:tcPr>
            <w:tcW w:type="dxa" w:w="50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Vehicle-loan data model, payout engine, compliance</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0.3</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04 Oct 2026</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Product Owner</w:t>
            </w:r>
          </w:p>
        </w:tc>
        <w:tc>
          <w:tcPr>
            <w:tcW w:type="dxa" w:w="50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Permission matrix, state machines, audit, error handling</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1.0</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04 Oct 2026</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Product Owner</w:t>
            </w:r>
          </w:p>
        </w:tc>
        <w:tc>
          <w:tcPr>
            <w:tcW w:type="dxa" w:w="505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Restructured to ISO/IEC/IEEE 29148 with numbered, verifiable requirements and traceability</w:t>
            </w:r>
          </w:p>
        </w:tc>
      </w:tr>
    </w:tbl>
    <w:p>
      <w:pPr>
        <w:spacing w:after="160"/>
      </w:pPr>
    </w:p>
    <w:p>
      <w:pPr>
        <w:pStyle w:val="Heading2"/>
      </w:pPr>
      <w:r>
        <w:rPr>
          <w:rFonts w:ascii="Calibri" w:cs="Calibri" w:eastAsia="Calibri" w:hAnsi="Calibri"/>
        </w:rPr>
        <w:t xml:space="preserve">Review and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527"/>
        <w:gridCol w:w="1985"/>
        <w:gridCol w:w="1987"/>
      </w:tblGrid>
      <w:tr>
        <w:trPr>
          <w:cantSplit/>
          <w:tblHeader/>
        </w:trPr>
        <w:tc>
          <w:tcPr>
            <w:tcW w:type="dxa" w:w="252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Role</w:t>
            </w:r>
          </w:p>
        </w:tc>
        <w:tc>
          <w:tcPr>
            <w:tcW w:type="dxa" w:w="252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Name</w:t>
            </w:r>
          </w:p>
        </w:tc>
        <w:tc>
          <w:tcPr>
            <w:tcW w:type="dxa" w:w="198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Signature</w:t>
            </w:r>
          </w:p>
        </w:tc>
        <w:tc>
          <w:tcPr>
            <w:tcW w:type="dxa" w:w="198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Date</w:t>
            </w:r>
          </w:p>
        </w:tc>
      </w:tr>
      <w:tr>
        <w:trPr>
          <w:cantSplit/>
          <w:tblHeader w:val="false"/>
        </w:trP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Product Owner</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Shashwat</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blHeader w:val="false"/>
        </w:trP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Engineering lead</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[To be assigned]</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blHeader w:val="false"/>
        </w:trP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QA lead</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[To be assigned]</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blHeader w:val="false"/>
        </w:trP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Security / Legal reviewer</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[To be assigned]</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bl>
    <w:p>
      <w:pPr>
        <w:spacing w:after="160"/>
      </w:pPr>
    </w:p>
    <w:p>
      <w:pPr>
        <w:pStyle w:val="Heading2"/>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00" w:line="276"/>
      </w:pPr>
      <w:r>
        <w:rPr>
          <w:rFonts w:ascii="Calibri" w:cs="Calibri" w:eastAsia="Calibri" w:hAnsi="Calibri"/>
          <w:sz w:val="21"/>
          <w:szCs w:val="21"/>
        </w:rPr>
        <w:t xml:space="preserve">This Software Requirements Specification (SRS) defines the functional, non-functional, interface, data and compliance requirements of </w:t>
      </w:r>
      <w:r>
        <w:rPr>
          <w:rFonts w:ascii="Calibri" w:cs="Calibri" w:eastAsia="Calibri" w:hAnsi="Calibri"/>
          <w:b/>
          <w:bCs/>
          <w:sz w:val="21"/>
          <w:szCs w:val="21"/>
        </w:rPr>
        <w:t xml:space="preserve">DSA OS</w:t>
      </w:r>
      <w:r>
        <w:rPr>
          <w:rFonts w:ascii="Calibri" w:cs="Calibri" w:eastAsia="Calibri" w:hAnsi="Calibri"/>
          <w:sz w:val="21"/>
          <w:szCs w:val="21"/>
        </w:rPr>
        <w:t xml:space="preserve">, a platform for managing vehicle-loan cases for Direct Selling Agents in India. It is the contract between product, engineering and test. It follows the structure of ISO/IEC/IEEE 29148:2018 and is the companion of the Product Requirements Document (PRD-DSAOS-001), to which its requirements trace.</w:t>
      </w:r>
    </w:p>
    <w:p>
      <w:pPr>
        <w:pStyle w:val="Heading2"/>
      </w:pPr>
      <w:r>
        <w:rPr>
          <w:rFonts w:ascii="Calibri" w:cs="Calibri" w:eastAsia="Calibri" w:hAnsi="Calibri"/>
        </w:rPr>
        <w:t xml:space="preserve">1.2 Scope</w:t>
      </w:r>
    </w:p>
    <w:p>
      <w:pPr>
        <w:spacing w:after="100" w:line="276"/>
      </w:pPr>
      <w:r>
        <w:rPr>
          <w:rFonts w:ascii="Calibri" w:cs="Calibri" w:eastAsia="Calibri" w:hAnsi="Calibri"/>
          <w:sz w:val="21"/>
          <w:szCs w:val="21"/>
        </w:rPr>
        <w:t xml:space="preserve">The product shall provide tenant-isolated management of parties, cases, vehicles, documents, lender applications, workflow with SLA, sources and partners, payout rules, expectations and reconciliation, notifications, dashboards, consent and audit. It is an internal back-office tool for DSA staff in release 1.</w:t>
      </w:r>
    </w:p>
    <w:p>
      <w:pPr>
        <w:spacing w:after="100" w:line="276"/>
      </w:pPr>
      <w:r>
        <w:rPr>
          <w:rFonts w:ascii="Calibri" w:cs="Calibri" w:eastAsia="Calibri" w:hAnsi="Calibri"/>
          <w:b/>
          <w:bCs/>
          <w:sz w:val="21"/>
          <w:szCs w:val="21"/>
        </w:rPr>
        <w:t xml:space="preserve">Out of scope for release 1:</w:t>
      </w:r>
      <w:r>
        <w:rPr>
          <w:rFonts w:ascii="Calibri" w:cs="Calibri" w:eastAsia="Calibri" w:hAnsi="Calibri"/>
          <w:sz w:val="21"/>
          <w:szCs w:val="21"/>
        </w:rPr>
        <w:t xml:space="preserve"> integration with lender systems, credit decisioning, customer-facing display of loan offers, native mobile apps, e-sign and e-mandate, EMI collection, accounting system integration, cloud AI or OCR services for customer documents.</w:t>
      </w:r>
    </w:p>
    <w:p>
      <w:pPr>
        <w:pStyle w:val="Heading2"/>
      </w:pPr>
      <w:r>
        <w:rPr>
          <w:rFonts w:ascii="Calibri" w:cs="Calibri" w:eastAsia="Calibri" w:hAnsi="Calibri"/>
        </w:rPr>
        <w:t xml:space="preserve">1.3 Definitions, acronyms and conventions</w:t>
      </w:r>
    </w:p>
    <w:p>
      <w:pPr>
        <w:pStyle w:val="ListParagraph"/>
        <w:numPr>
          <w:ilvl w:val="0"/>
          <w:numId w:val="2"/>
        </w:numPr>
        <w:spacing w:after="60"/>
      </w:pPr>
      <w:r>
        <w:rPr>
          <w:rFonts w:ascii="Calibri" w:cs="Calibri" w:eastAsia="Calibri" w:hAnsi="Calibri"/>
          <w:sz w:val="21"/>
          <w:szCs w:val="21"/>
        </w:rPr>
        <w:t xml:space="preserve">Terms are defined in PRD Appendix A (DSA, LSP, PDD, RC, hypothecation, NOC, TDS, RCM, DPDP, SLA, RBAC, RLS).</w:t>
      </w:r>
    </w:p>
    <w:p>
      <w:pPr>
        <w:pStyle w:val="ListParagraph"/>
        <w:numPr>
          <w:ilvl w:val="0"/>
          <w:numId w:val="2"/>
        </w:numPr>
        <w:spacing w:after="60"/>
      </w:pPr>
      <w:r>
        <w:rPr>
          <w:rFonts w:ascii="Calibri" w:cs="Calibri" w:eastAsia="Calibri" w:hAnsi="Calibri"/>
          <w:b/>
          <w:bCs/>
          <w:sz w:val="21"/>
          <w:szCs w:val="21"/>
        </w:rPr>
        <w:t xml:space="preserve">Shall</w:t>
      </w:r>
      <w:r>
        <w:rPr>
          <w:rFonts w:ascii="Calibri" w:cs="Calibri" w:eastAsia="Calibri" w:hAnsi="Calibri"/>
          <w:sz w:val="21"/>
          <w:szCs w:val="21"/>
        </w:rPr>
        <w:t xml:space="preserve"> denotes a mandatory requirement; </w:t>
      </w:r>
      <w:r>
        <w:rPr>
          <w:rFonts w:ascii="Calibri" w:cs="Calibri" w:eastAsia="Calibri" w:hAnsi="Calibri"/>
          <w:b/>
          <w:bCs/>
          <w:sz w:val="21"/>
          <w:szCs w:val="21"/>
        </w:rPr>
        <w:t xml:space="preserve">should</w:t>
      </w:r>
      <w:r>
        <w:rPr>
          <w:rFonts w:ascii="Calibri" w:cs="Calibri" w:eastAsia="Calibri" w:hAnsi="Calibri"/>
          <w:sz w:val="21"/>
          <w:szCs w:val="21"/>
        </w:rPr>
        <w:t xml:space="preserve"> a recommended one; </w:t>
      </w:r>
      <w:r>
        <w:rPr>
          <w:rFonts w:ascii="Calibri" w:cs="Calibri" w:eastAsia="Calibri" w:hAnsi="Calibri"/>
          <w:b/>
          <w:bCs/>
          <w:sz w:val="21"/>
          <w:szCs w:val="21"/>
        </w:rPr>
        <w:t xml:space="preserve">may</w:t>
      </w:r>
      <w:r>
        <w:rPr>
          <w:rFonts w:ascii="Calibri" w:cs="Calibri" w:eastAsia="Calibri" w:hAnsi="Calibri"/>
          <w:sz w:val="21"/>
          <w:szCs w:val="21"/>
        </w:rPr>
        <w:t xml:space="preserve"> an option.</w:t>
      </w:r>
    </w:p>
    <w:p>
      <w:pPr>
        <w:pStyle w:val="ListParagraph"/>
        <w:numPr>
          <w:ilvl w:val="0"/>
          <w:numId w:val="2"/>
        </w:numPr>
        <w:spacing w:after="60"/>
      </w:pPr>
      <w:r>
        <w:rPr>
          <w:rFonts w:ascii="Calibri" w:cs="Calibri" w:eastAsia="Calibri" w:hAnsi="Calibri"/>
          <w:sz w:val="21"/>
          <w:szCs w:val="21"/>
        </w:rPr>
        <w:t xml:space="preserve">Priority: P0 pilot MVP, P1 pilot hardening, P2 later.</w:t>
      </w:r>
    </w:p>
    <w:p>
      <w:pPr>
        <w:pStyle w:val="ListParagraph"/>
        <w:numPr>
          <w:ilvl w:val="0"/>
          <w:numId w:val="2"/>
        </w:numPr>
        <w:spacing w:after="60"/>
      </w:pPr>
      <w:r>
        <w:rPr>
          <w:rFonts w:ascii="Calibri" w:cs="Calibri" w:eastAsia="Calibri" w:hAnsi="Calibri"/>
          <w:sz w:val="21"/>
          <w:szCs w:val="21"/>
        </w:rPr>
        <w:t xml:space="preserve">Verification method: T = test, D = demonstration, I = inspection, A = analysis.</w:t>
      </w:r>
    </w:p>
    <w:p>
      <w:pPr>
        <w:pStyle w:val="ListParagraph"/>
        <w:numPr>
          <w:ilvl w:val="0"/>
          <w:numId w:val="2"/>
        </w:numPr>
        <w:spacing w:after="60"/>
      </w:pPr>
      <w:r>
        <w:rPr>
          <w:rFonts w:ascii="Calibri" w:cs="Calibri" w:eastAsia="Calibri" w:hAnsi="Calibri"/>
          <w:sz w:val="21"/>
          <w:szCs w:val="21"/>
        </w:rPr>
        <w:t xml:space="preserve">Requirement IDs: </w:t>
      </w:r>
      <w:r>
        <w:rPr>
          <w:rFonts w:ascii="Consolas" w:cs="Consolas" w:eastAsia="Consolas" w:hAnsi="Consolas"/>
          <w:sz w:val="19"/>
          <w:szCs w:val="19"/>
        </w:rPr>
        <w:t xml:space="preserve">FR-&lt;module&gt;-&lt;nnn&gt;</w:t>
      </w:r>
      <w:r>
        <w:rPr>
          <w:rFonts w:ascii="Calibri" w:cs="Calibri" w:eastAsia="Calibri" w:hAnsi="Calibri"/>
          <w:sz w:val="21"/>
          <w:szCs w:val="21"/>
        </w:rPr>
        <w:t xml:space="preserve"> functional, </w:t>
      </w:r>
      <w:r>
        <w:rPr>
          <w:rFonts w:ascii="Consolas" w:cs="Consolas" w:eastAsia="Consolas" w:hAnsi="Consolas"/>
          <w:sz w:val="19"/>
          <w:szCs w:val="19"/>
        </w:rPr>
        <w:t xml:space="preserve">NFR-&lt;area&gt;-&lt;nnn&gt;</w:t>
      </w:r>
      <w:r>
        <w:rPr>
          <w:rFonts w:ascii="Calibri" w:cs="Calibri" w:eastAsia="Calibri" w:hAnsi="Calibri"/>
          <w:sz w:val="21"/>
          <w:szCs w:val="21"/>
        </w:rPr>
        <w:t xml:space="preserve"> non-functional, </w:t>
      </w:r>
      <w:r>
        <w:rPr>
          <w:rFonts w:ascii="Consolas" w:cs="Consolas" w:eastAsia="Consolas" w:hAnsi="Consolas"/>
          <w:sz w:val="19"/>
          <w:szCs w:val="19"/>
        </w:rPr>
        <w:t xml:space="preserve">BR-nn</w:t>
      </w:r>
      <w:r>
        <w:rPr>
          <w:rFonts w:ascii="Calibri" w:cs="Calibri" w:eastAsia="Calibri" w:hAnsi="Calibri"/>
          <w:sz w:val="21"/>
          <w:szCs w:val="21"/>
        </w:rPr>
        <w:t xml:space="preserve"> business rule, </w:t>
      </w:r>
      <w:r>
        <w:rPr>
          <w:rFonts w:ascii="Consolas" w:cs="Consolas" w:eastAsia="Consolas" w:hAnsi="Consolas"/>
          <w:sz w:val="19"/>
          <w:szCs w:val="19"/>
        </w:rPr>
        <w:t xml:space="preserve">IF-n</w:t>
      </w:r>
      <w:r>
        <w:rPr>
          <w:rFonts w:ascii="Calibri" w:cs="Calibri" w:eastAsia="Calibri" w:hAnsi="Calibri"/>
          <w:sz w:val="21"/>
          <w:szCs w:val="21"/>
        </w:rPr>
        <w:t xml:space="preserve"> interface.</w:t>
      </w:r>
    </w:p>
    <w:p>
      <w:pPr>
        <w:pStyle w:val="Heading2"/>
      </w:pPr>
      <w:r>
        <w:rPr>
          <w:rFonts w:ascii="Calibri" w:cs="Calibri" w:eastAsia="Calibri" w:hAnsi="Calibri"/>
        </w:rPr>
        <w:t xml:space="preserve">1.4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8304"/>
      </w:tblGrid>
      <w:tr>
        <w:trPr>
          <w:cantSplit/>
          <w:tblHeader/>
        </w:trPr>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Ref</w:t>
            </w:r>
          </w:p>
        </w:tc>
        <w:tc>
          <w:tcPr>
            <w:tcW w:type="dxa" w:w="830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Document</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[1]</w:t>
            </w:r>
          </w:p>
        </w:tc>
        <w:tc>
          <w:tcPr>
            <w:tcW w:type="dxa" w:w="83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PRD-DSAOS-001, Product Requirements Document, v1.0</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[2]</w:t>
            </w:r>
          </w:p>
        </w:tc>
        <w:tc>
          <w:tcPr>
            <w:tcW w:type="dxa" w:w="83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ISO/IEC/IEEE 29148:2018, Requirements engineering</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[3]</w:t>
            </w:r>
          </w:p>
        </w:tc>
        <w:tc>
          <w:tcPr>
            <w:tcW w:type="dxa" w:w="83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RBI (Digital Lending) Directions, 2025</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[4]</w:t>
            </w:r>
          </w:p>
        </w:tc>
        <w:tc>
          <w:tcPr>
            <w:tcW w:type="dxa" w:w="83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Digital Personal Data Protection Act 2023 and DPDP Rules 2025</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[5]</w:t>
            </w:r>
          </w:p>
        </w:tc>
        <w:tc>
          <w:tcPr>
            <w:tcW w:type="dxa" w:w="83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Income-tax Act 2025, section 393(1) (TDS on commission)</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[6]</w:t>
            </w:r>
          </w:p>
        </w:tc>
        <w:tc>
          <w:tcPr>
            <w:tcW w:type="dxa" w:w="83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OWASP Application Security Verification Standard (ASVS) 4.x, level 2 as design reference</w:t>
            </w:r>
          </w:p>
        </w:tc>
      </w:tr>
    </w:tbl>
    <w:p>
      <w:pPr>
        <w:spacing w:after="120"/>
      </w:pPr>
    </w:p>
    <w:p>
      <w:pPr>
        <w:pStyle w:val="Heading2"/>
      </w:pPr>
      <w:r>
        <w:rPr>
          <w:rFonts w:ascii="Calibri" w:cs="Calibri" w:eastAsia="Calibri" w:hAnsi="Calibri"/>
        </w:rPr>
        <w:t xml:space="preserve">1.5 Document overview</w:t>
      </w:r>
    </w:p>
    <w:p>
      <w:pPr>
        <w:spacing w:after="100" w:line="276"/>
      </w:pPr>
      <w:r>
        <w:rPr>
          <w:rFonts w:ascii="Calibri" w:cs="Calibri" w:eastAsia="Calibri" w:hAnsi="Calibri"/>
          <w:sz w:val="21"/>
          <w:szCs w:val="21"/>
        </w:rPr>
        <w:t xml:space="preserve">Section 2 describes the product context. Section 3 contains specific requirements: interfaces, functions, performance, data, design constraints, quality attributes and legal requirements. Section 4 defines verification and traceability. Appendices hold business rules, permission matrix, state machines, audit and error-handling specifications and open items.</w:t>
      </w:r>
    </w:p>
    <w:p>
      <w:pPr>
        <w:pStyle w:val="Heading1"/>
        <w:pageBreakBefore/>
      </w:pPr>
      <w:r>
        <w:rPr>
          <w:rFonts w:ascii="Calibri" w:cs="Calibri" w:eastAsia="Calibri" w:hAnsi="Calibri"/>
        </w:rPr>
        <w:t xml:space="preserve">2. Overall Description</w:t>
      </w:r>
    </w:p>
    <w:p>
      <w:pPr>
        <w:pStyle w:val="Heading2"/>
      </w:pPr>
      <w:r>
        <w:rPr>
          <w:rFonts w:ascii="Calibri" w:cs="Calibri" w:eastAsia="Calibri" w:hAnsi="Calibri"/>
        </w:rPr>
        <w:t xml:space="preserve">2.1 Product perspective</w:t>
      </w:r>
    </w:p>
    <w:p>
      <w:pPr>
        <w:spacing w:after="100" w:line="276"/>
      </w:pPr>
      <w:r>
        <w:rPr>
          <w:rFonts w:ascii="Calibri" w:cs="Calibri" w:eastAsia="Calibri" w:hAnsi="Calibri"/>
          <w:sz w:val="21"/>
          <w:szCs w:val="21"/>
        </w:rPr>
        <w:t xml:space="preserve">DSA OS is a new, standalone, multi-tenant web application. It does not integrate with lender systems in release 1. Staff continue to submit applications on lender portals and record outcomes in DSA OS.</w:t>
      </w:r>
    </w:p>
    <w:p>
      <w:pPr>
        <w:shd w:fill="F2F2F2" w:color="auto" w:val="clear"/>
        <w:spacing w:after="0"/>
      </w:pPr>
      <w:r>
        <w:rPr>
          <w:rFonts w:ascii="Consolas" w:cs="Consolas" w:eastAsia="Consolas" w:hAnsi="Consolas"/>
          <w:sz w:val="17"/>
          <w:szCs w:val="17"/>
        </w:rPr>
        <w:t xml:space="preserve">Browser / mobile browser (PWA-ready)</w:t>
      </w:r>
    </w:p>
    <w:p>
      <w:pPr>
        <w:shd w:fill="F2F2F2" w:color="auto" w:val="clear"/>
        <w:spacing w:after="0"/>
      </w:pPr>
      <w:r>
        <w:rPr>
          <w:rFonts w:ascii="Consolas" w:cs="Consolas" w:eastAsia="Consolas" w:hAnsi="Consolas"/>
          <w:sz w:val="17"/>
          <w:szCs w:val="17"/>
        </w:rPr>
        <w:t xml:space="preserve">        |  HTTPS</w:t>
      </w:r>
    </w:p>
    <w:p>
      <w:pPr>
        <w:shd w:fill="F2F2F2" w:color="auto" w:val="clear"/>
        <w:spacing w:after="0"/>
      </w:pPr>
      <w:r>
        <w:rPr>
          <w:rFonts w:ascii="Consolas" w:cs="Consolas" w:eastAsia="Consolas" w:hAnsi="Consolas"/>
          <w:sz w:val="17"/>
          <w:szCs w:val="17"/>
        </w:rPr>
        <w:t xml:space="preserve">API (FastAPI) + business logic</w:t>
      </w:r>
    </w:p>
    <w:p>
      <w:pPr>
        <w:shd w:fill="F2F2F2" w:color="auto" w:val="clear"/>
        <w:spacing w:after="0"/>
      </w:pPr>
      <w:r>
        <w:rPr>
          <w:rFonts w:ascii="Consolas" w:cs="Consolas" w:eastAsia="Consolas" w:hAnsi="Consolas"/>
          <w:sz w:val="17"/>
          <w:szCs w:val="17"/>
        </w:rPr>
        <w:t xml:space="preserve">        |-----------------------&gt; PostgreSQL (RLS by org_id)</w:t>
      </w:r>
    </w:p>
    <w:p>
      <w:pPr>
        <w:shd w:fill="F2F2F2" w:color="auto" w:val="clear"/>
        <w:spacing w:after="0"/>
      </w:pPr>
      <w:r>
        <w:rPr>
          <w:rFonts w:ascii="Consolas" w:cs="Consolas" w:eastAsia="Consolas" w:hAnsi="Consolas"/>
          <w:sz w:val="17"/>
          <w:szCs w:val="17"/>
        </w:rPr>
        <w:t xml:space="preserve">        |-----------------------&gt; Object storage (private, India region)</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Background worker: imports, reminders, retention jobs, future OCR</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Notification channels: in-app, email (SMS / WhatsApp later)</w:t>
      </w:r>
    </w:p>
    <w:p>
      <w:pPr>
        <w:spacing w:after="100"/>
      </w:pPr>
    </w:p>
    <w:p>
      <w:pPr>
        <w:pStyle w:val="Heading2"/>
      </w:pPr>
      <w:r>
        <w:rPr>
          <w:rFonts w:ascii="Calibri" w:cs="Calibri" w:eastAsia="Calibri" w:hAnsi="Calibri"/>
        </w:rPr>
        <w:t xml:space="preserve">2.2 Product functions (summary)</w:t>
      </w:r>
    </w:p>
    <w:p>
      <w:pPr>
        <w:spacing w:after="100" w:line="276"/>
      </w:pPr>
      <w:r>
        <w:rPr>
          <w:rFonts w:ascii="Calibri" w:cs="Calibri" w:eastAsia="Calibri" w:hAnsi="Calibri"/>
          <w:sz w:val="21"/>
          <w:szCs w:val="21"/>
        </w:rPr>
        <w:t xml:space="preserve">Authentication and RBAC; party and duplicate management; case and vehicle management; rule-driven document checklist and hub; lender applications; workflow, SLA and follow-ups; PDD and RC tracking; sources, partners and splits; payout rules, expectations and clawbacks; statement import and reconciliation; dashboards and reports; notifications; consent and privacy operations; audit; data import and export.</w:t>
      </w:r>
    </w:p>
    <w:p>
      <w:pPr>
        <w:pStyle w:val="Heading2"/>
      </w:pPr>
      <w:r>
        <w:rPr>
          <w:rFonts w:ascii="Calibri" w:cs="Calibri" w:eastAsia="Calibri" w:hAnsi="Calibri"/>
        </w:rPr>
        <w:t xml:space="preserve">2.3 User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cantSplit/>
          <w:tblHeader/>
        </w:trPr>
        <w:tc>
          <w:tcPr>
            <w:tcW w:type="dxa" w:w="198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Class</w:t>
            </w:r>
          </w:p>
        </w:tc>
        <w:tc>
          <w:tcPr>
            <w:tcW w:type="dxa" w:w="43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Description</w:t>
            </w:r>
          </w:p>
        </w:tc>
        <w:tc>
          <w:tcPr>
            <w:tcW w:type="dxa" w:w="270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Technical level</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Owner</w:t>
            </w:r>
          </w:p>
        </w:tc>
        <w:tc>
          <w:tcPr>
            <w:tcW w:type="dxa" w:w="433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Business owner of the DSA organization</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Low to medium</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Manager</w:t>
            </w:r>
          </w:p>
        </w:tc>
        <w:tc>
          <w:tcPr>
            <w:tcW w:type="dxa" w:w="433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Supervises cases and staff</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Medium</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Processor</w:t>
            </w:r>
          </w:p>
        </w:tc>
        <w:tc>
          <w:tcPr>
            <w:tcW w:type="dxa" w:w="433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Back-office staff handling documents and lender logins</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Medium</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Field executive</w:t>
            </w:r>
          </w:p>
        </w:tc>
        <w:tc>
          <w:tcPr>
            <w:tcW w:type="dxa" w:w="433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Captures leads and documents on mobile</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Low</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Accountant</w:t>
            </w:r>
          </w:p>
        </w:tc>
        <w:tc>
          <w:tcPr>
            <w:tcW w:type="dxa" w:w="433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Handles payouts, TDS and reconciliation</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Medium</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Auditor</w:t>
            </w:r>
          </w:p>
        </w:tc>
        <w:tc>
          <w:tcPr>
            <w:tcW w:type="dxa" w:w="433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Read-only reviewer</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Medium</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Platform administrator</w:t>
            </w:r>
          </w:p>
        </w:tc>
        <w:tc>
          <w:tcPr>
            <w:tcW w:type="dxa" w:w="433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Operates the platform; no routine access to tenant customer data</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High</w:t>
            </w:r>
          </w:p>
        </w:tc>
      </w:tr>
    </w:tbl>
    <w:p>
      <w:pPr>
        <w:spacing w:after="120"/>
      </w:pPr>
    </w:p>
    <w:p>
      <w:pPr>
        <w:pStyle w:val="Heading2"/>
      </w:pPr>
      <w:r>
        <w:rPr>
          <w:rFonts w:ascii="Calibri" w:cs="Calibri" w:eastAsia="Calibri" w:hAnsi="Calibri"/>
        </w:rPr>
        <w:t xml:space="preserve">2.4 Operating environment</w:t>
      </w:r>
    </w:p>
    <w:p>
      <w:pPr>
        <w:pStyle w:val="ListParagraph"/>
        <w:numPr>
          <w:ilvl w:val="0"/>
          <w:numId w:val="2"/>
        </w:numPr>
        <w:spacing w:after="60"/>
      </w:pPr>
      <w:r>
        <w:rPr>
          <w:rFonts w:ascii="Calibri" w:cs="Calibri" w:eastAsia="Calibri" w:hAnsi="Calibri"/>
          <w:sz w:val="21"/>
          <w:szCs w:val="21"/>
        </w:rPr>
        <w:t xml:space="preserve">Clients: current versions of Chrome and Edge on desktop; Chrome on Android 9 or later; Safari on iOS 15 or later.</w:t>
      </w:r>
    </w:p>
    <w:p>
      <w:pPr>
        <w:pStyle w:val="ListParagraph"/>
        <w:numPr>
          <w:ilvl w:val="0"/>
          <w:numId w:val="2"/>
        </w:numPr>
        <w:spacing w:after="60"/>
      </w:pPr>
      <w:r>
        <w:rPr>
          <w:rFonts w:ascii="Calibri" w:cs="Calibri" w:eastAsia="Calibri" w:hAnsi="Calibri"/>
          <w:sz w:val="21"/>
          <w:szCs w:val="21"/>
        </w:rPr>
        <w:t xml:space="preserve">Server: containers on a cloud provider's India region; PostgreSQL 15 or later; S3-compatible private object storage.</w:t>
      </w:r>
    </w:p>
    <w:p>
      <w:pPr>
        <w:pStyle w:val="ListParagraph"/>
        <w:numPr>
          <w:ilvl w:val="0"/>
          <w:numId w:val="2"/>
        </w:numPr>
        <w:spacing w:after="60"/>
      </w:pPr>
      <w:r>
        <w:rPr>
          <w:rFonts w:ascii="Calibri" w:cs="Calibri" w:eastAsia="Calibri" w:hAnsi="Calibri"/>
          <w:sz w:val="21"/>
          <w:szCs w:val="21"/>
        </w:rPr>
        <w:t xml:space="preserve">Network: must remain usable on 3G/4G connections with intermittent loss.</w:t>
      </w:r>
    </w:p>
    <w:p>
      <w:pPr>
        <w:pStyle w:val="Heading2"/>
      </w:pPr>
      <w:r>
        <w:rPr>
          <w:rFonts w:ascii="Calibri" w:cs="Calibri" w:eastAsia="Calibri" w:hAnsi="Calibri"/>
        </w:rPr>
        <w:t xml:space="preserve">2.5 Design and implementation constraints</w:t>
      </w:r>
    </w:p>
    <w:p>
      <w:pPr>
        <w:pStyle w:val="ListParagraph"/>
        <w:numPr>
          <w:ilvl w:val="0"/>
          <w:numId w:val="2"/>
        </w:numPr>
        <w:spacing w:after="60"/>
      </w:pPr>
      <w:r>
        <w:rPr>
          <w:rFonts w:ascii="Calibri" w:cs="Calibri" w:eastAsia="Calibri" w:hAnsi="Calibri"/>
          <w:sz w:val="21"/>
          <w:szCs w:val="21"/>
        </w:rPr>
        <w:t xml:space="preserve">Modular monolith; Python and FastAPI back end; React, TypeScript and Vite front end; PostgreSQL; S3-compatible storage; Git with CI.</w:t>
      </w:r>
    </w:p>
    <w:p>
      <w:pPr>
        <w:pStyle w:val="ListParagraph"/>
        <w:numPr>
          <w:ilvl w:val="0"/>
          <w:numId w:val="2"/>
        </w:numPr>
        <w:spacing w:after="60"/>
      </w:pPr>
      <w:r>
        <w:rPr>
          <w:rFonts w:ascii="Calibri" w:cs="Calibri" w:eastAsia="Calibri" w:hAnsi="Calibri"/>
          <w:sz w:val="21"/>
          <w:szCs w:val="21"/>
        </w:rPr>
        <w:t xml:space="preserve">Customer documents shall not be sent to external AI or OCR services (see NFR-PRV-004).</w:t>
      </w:r>
    </w:p>
    <w:p>
      <w:pPr>
        <w:pStyle w:val="ListParagraph"/>
        <w:numPr>
          <w:ilvl w:val="0"/>
          <w:numId w:val="2"/>
        </w:numPr>
        <w:spacing w:after="60"/>
      </w:pPr>
      <w:r>
        <w:rPr>
          <w:rFonts w:ascii="Calibri" w:cs="Calibri" w:eastAsia="Calibri" w:hAnsi="Calibri"/>
          <w:sz w:val="21"/>
          <w:szCs w:val="21"/>
        </w:rPr>
        <w:t xml:space="preserve">Data hosted in India by default; deployable in DSA-controlled infrastructure.</w:t>
      </w:r>
    </w:p>
    <w:p>
      <w:pPr>
        <w:pStyle w:val="ListParagraph"/>
        <w:numPr>
          <w:ilvl w:val="0"/>
          <w:numId w:val="2"/>
        </w:numPr>
        <w:spacing w:after="60"/>
      </w:pPr>
      <w:r>
        <w:rPr>
          <w:rFonts w:ascii="Calibri" w:cs="Calibri" w:eastAsia="Calibri" w:hAnsi="Calibri"/>
          <w:sz w:val="21"/>
          <w:szCs w:val="21"/>
        </w:rPr>
        <w:t xml:space="preserve">Money values stored as </w:t>
      </w:r>
      <w:r>
        <w:rPr>
          <w:rFonts w:ascii="Consolas" w:cs="Consolas" w:eastAsia="Consolas" w:hAnsi="Consolas"/>
          <w:sz w:val="19"/>
          <w:szCs w:val="19"/>
        </w:rPr>
        <w:t xml:space="preserve">NUMERIC(14,2)</w:t>
      </w:r>
      <w:r>
        <w:rPr>
          <w:rFonts w:ascii="Calibri" w:cs="Calibri" w:eastAsia="Calibri" w:hAnsi="Calibri"/>
          <w:sz w:val="21"/>
          <w:szCs w:val="21"/>
        </w:rPr>
        <w:t xml:space="preserve">; timestamps stored in UTC and shown in IST.</w:t>
      </w:r>
    </w:p>
    <w:p>
      <w:pPr>
        <w:pStyle w:val="Heading2"/>
      </w:pPr>
      <w:r>
        <w:rPr>
          <w:rFonts w:ascii="Calibri" w:cs="Calibri" w:eastAsia="Calibri" w:hAnsi="Calibri"/>
        </w:rPr>
        <w:t xml:space="preserve">2.6 Assumptions and dependencies</w:t>
      </w:r>
    </w:p>
    <w:p>
      <w:pPr>
        <w:pStyle w:val="ListParagraph"/>
        <w:numPr>
          <w:ilvl w:val="0"/>
          <w:numId w:val="2"/>
        </w:numPr>
        <w:spacing w:after="60"/>
      </w:pPr>
      <w:r>
        <w:rPr>
          <w:rFonts w:ascii="Calibri" w:cs="Calibri" w:eastAsia="Calibri" w:hAnsi="Calibri"/>
          <w:sz w:val="21"/>
          <w:szCs w:val="21"/>
        </w:rPr>
        <w:t xml:space="preserve">Payout rules and statement formats are obtained from the pilot DSA before M4.</w:t>
      </w:r>
    </w:p>
    <w:p>
      <w:pPr>
        <w:pStyle w:val="ListParagraph"/>
        <w:numPr>
          <w:ilvl w:val="0"/>
          <w:numId w:val="2"/>
        </w:numPr>
        <w:spacing w:after="60"/>
      </w:pPr>
      <w:r>
        <w:rPr>
          <w:rFonts w:ascii="Calibri" w:cs="Calibri" w:eastAsia="Calibri" w:hAnsi="Calibri"/>
          <w:sz w:val="21"/>
          <w:szCs w:val="21"/>
        </w:rPr>
        <w:t xml:space="preserve">Lenders provide no APIs to the pilot DSA.</w:t>
      </w:r>
    </w:p>
    <w:p>
      <w:pPr>
        <w:pStyle w:val="ListParagraph"/>
        <w:numPr>
          <w:ilvl w:val="0"/>
          <w:numId w:val="2"/>
        </w:numPr>
        <w:spacing w:after="60"/>
      </w:pPr>
      <w:r>
        <w:rPr>
          <w:rFonts w:ascii="Calibri" w:cs="Calibri" w:eastAsia="Calibri" w:hAnsi="Calibri"/>
          <w:sz w:val="21"/>
          <w:szCs w:val="21"/>
        </w:rPr>
        <w:t xml:space="preserve">Legal and CA input is available for retention periods, consent wording and GST/TDS treatment.</w:t>
      </w:r>
    </w:p>
    <w:p>
      <w:pPr>
        <w:pStyle w:val="ListParagraph"/>
        <w:numPr>
          <w:ilvl w:val="0"/>
          <w:numId w:val="2"/>
        </w:numPr>
        <w:spacing w:after="60"/>
      </w:pPr>
      <w:r>
        <w:rPr>
          <w:rFonts w:ascii="Calibri" w:cs="Calibri" w:eastAsia="Calibri" w:hAnsi="Calibri"/>
          <w:sz w:val="21"/>
          <w:szCs w:val="21"/>
        </w:rPr>
        <w:t xml:space="preserve">A change in these assumptions may change requirements marked TBD in Appendix F.</w:t>
      </w:r>
    </w:p>
    <w:p>
      <w:pPr>
        <w:pStyle w:val="Heading1"/>
        <w:pageBreakBefore/>
      </w:pPr>
      <w:r>
        <w:rPr>
          <w:rFonts w:ascii="Calibri" w:cs="Calibri" w:eastAsia="Calibri" w:hAnsi="Calibri"/>
        </w:rPr>
        <w:t xml:space="preserve">3. Specific Requirements</w:t>
      </w:r>
    </w:p>
    <w:p>
      <w:pPr>
        <w:pStyle w:val="Heading2"/>
      </w:pPr>
      <w:r>
        <w:rPr>
          <w:rFonts w:ascii="Calibri" w:cs="Calibri" w:eastAsia="Calibri" w:hAnsi="Calibri"/>
        </w:rPr>
        <w:t xml:space="preserve">3.1 External interface requirements</w:t>
      </w:r>
    </w:p>
    <w:p>
      <w:pPr>
        <w:pStyle w:val="Heading3"/>
      </w:pPr>
      <w:r>
        <w:rPr>
          <w:rFonts w:ascii="Calibri" w:cs="Calibri" w:eastAsia="Calibri" w:hAnsi="Calibri"/>
        </w:rPr>
        <w:t xml:space="preserve">3.1.1 User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6318"/>
        <w:gridCol w:w="902"/>
        <w:gridCol w:w="904"/>
      </w:tblGrid>
      <w:tr>
        <w:trPr>
          <w:cantSplit/>
          <w:tblHeader/>
        </w:trPr>
        <w:tc>
          <w:tcPr>
            <w:tcW w:type="dxa" w:w="90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631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90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90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IF-1</w:t>
            </w:r>
          </w:p>
        </w:tc>
        <w:tc>
          <w:tcPr>
            <w:tcW w:type="dxa" w:w="6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UI shall be responsive and usable at 360 px width and above</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IF-2</w:t>
            </w:r>
          </w:p>
        </w:tc>
        <w:tc>
          <w:tcPr>
            <w:tcW w:type="dxa" w:w="6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Case creation shall require no more than six mandatory fields</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IF-3</w:t>
            </w:r>
          </w:p>
        </w:tc>
        <w:tc>
          <w:tcPr>
            <w:tcW w:type="dxa" w:w="6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UI shall provide a Today view listing overdue, due-today and stuck items</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IF-4</w:t>
            </w:r>
          </w:p>
        </w:tc>
        <w:tc>
          <w:tcPr>
            <w:tcW w:type="dxa" w:w="6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UI shall support English; Hindi labels should be supported</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IF-5</w:t>
            </w:r>
          </w:p>
        </w:tc>
        <w:tc>
          <w:tcPr>
            <w:tcW w:type="dxa" w:w="6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Money values shall be shown in INR with Indian digit grouping</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IF-6</w:t>
            </w:r>
          </w:p>
        </w:tc>
        <w:tc>
          <w:tcPr>
            <w:tcW w:type="dxa" w:w="631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UI shall meet WCAG 2.1 AA for contrast and keyboard operation on core screens</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w:t>
            </w:r>
          </w:p>
        </w:tc>
      </w:tr>
    </w:tbl>
    <w:p>
      <w:pPr>
        <w:spacing w:after="120"/>
      </w:pPr>
    </w:p>
    <w:p>
      <w:pPr>
        <w:pStyle w:val="Heading3"/>
      </w:pPr>
      <w:r>
        <w:rPr>
          <w:rFonts w:ascii="Calibri" w:cs="Calibri" w:eastAsia="Calibri" w:hAnsi="Calibri"/>
        </w:rPr>
        <w:t xml:space="preserve">3.1.2 Software interfaces</w:t>
      </w:r>
    </w:p>
    <w:p>
      <w:pPr>
        <w:pStyle w:val="ListParagraph"/>
        <w:numPr>
          <w:ilvl w:val="0"/>
          <w:numId w:val="2"/>
        </w:numPr>
        <w:spacing w:after="60"/>
      </w:pPr>
      <w:r>
        <w:rPr>
          <w:rFonts w:ascii="Calibri" w:cs="Calibri" w:eastAsia="Calibri" w:hAnsi="Calibri"/>
          <w:sz w:val="21"/>
          <w:szCs w:val="21"/>
        </w:rPr>
        <w:t xml:space="preserve">IF-7 (P0): REST/JSON API described by an OpenAPI 3 specification; versioned under </w:t>
      </w:r>
      <w:r>
        <w:rPr>
          <w:rFonts w:ascii="Consolas" w:cs="Consolas" w:eastAsia="Consolas" w:hAnsi="Consolas"/>
          <w:sz w:val="19"/>
          <w:szCs w:val="19"/>
        </w:rPr>
        <w:t xml:space="preserve">/api/v1</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IF-8 (P1): CSV and Excel import and export with column mapping saved per lender statement format.</w:t>
      </w:r>
    </w:p>
    <w:p>
      <w:pPr>
        <w:pStyle w:val="ListParagraph"/>
        <w:numPr>
          <w:ilvl w:val="0"/>
          <w:numId w:val="2"/>
        </w:numPr>
        <w:spacing w:after="60"/>
      </w:pPr>
      <w:r>
        <w:rPr>
          <w:rFonts w:ascii="Calibri" w:cs="Calibri" w:eastAsia="Calibri" w:hAnsi="Calibri"/>
          <w:sz w:val="21"/>
          <w:szCs w:val="21"/>
        </w:rPr>
        <w:t xml:space="preserve">IF-9 (P0): Email delivery through an SMTP or transactional email provider.</w:t>
      </w:r>
    </w:p>
    <w:p>
      <w:pPr>
        <w:pStyle w:val="ListParagraph"/>
        <w:numPr>
          <w:ilvl w:val="0"/>
          <w:numId w:val="2"/>
        </w:numPr>
        <w:spacing w:after="60"/>
      </w:pPr>
      <w:r>
        <w:rPr>
          <w:rFonts w:ascii="Calibri" w:cs="Calibri" w:eastAsia="Calibri" w:hAnsi="Calibri"/>
          <w:sz w:val="21"/>
          <w:szCs w:val="21"/>
        </w:rPr>
        <w:t xml:space="preserve">IF-10 (P2): WhatsApp Business API, authorised vehicle-data provider, accounting export; designed as pluggable adapters.</w:t>
      </w:r>
    </w:p>
    <w:p>
      <w:pPr>
        <w:pStyle w:val="Heading3"/>
      </w:pPr>
      <w:r>
        <w:rPr>
          <w:rFonts w:ascii="Calibri" w:cs="Calibri" w:eastAsia="Calibri" w:hAnsi="Calibri"/>
        </w:rPr>
        <w:t xml:space="preserve">3.1.3 Hardware and communications interfaces</w:t>
      </w:r>
    </w:p>
    <w:p>
      <w:pPr>
        <w:pStyle w:val="ListParagraph"/>
        <w:numPr>
          <w:ilvl w:val="0"/>
          <w:numId w:val="2"/>
        </w:numPr>
        <w:spacing w:after="60"/>
      </w:pPr>
      <w:r>
        <w:rPr>
          <w:rFonts w:ascii="Calibri" w:cs="Calibri" w:eastAsia="Calibri" w:hAnsi="Calibri"/>
          <w:sz w:val="21"/>
          <w:szCs w:val="21"/>
        </w:rPr>
        <w:t xml:space="preserve">IF-11: Mobile camera and file picker for document capture through the browser.</w:t>
      </w:r>
    </w:p>
    <w:p>
      <w:pPr>
        <w:pStyle w:val="ListParagraph"/>
        <w:numPr>
          <w:ilvl w:val="0"/>
          <w:numId w:val="2"/>
        </w:numPr>
        <w:spacing w:after="60"/>
      </w:pPr>
      <w:r>
        <w:rPr>
          <w:rFonts w:ascii="Calibri" w:cs="Calibri" w:eastAsia="Calibri" w:hAnsi="Calibri"/>
          <w:sz w:val="21"/>
          <w:szCs w:val="21"/>
        </w:rPr>
        <w:t xml:space="preserve">IF-12: All client-server traffic over TLS 1.2 or later.</w:t>
      </w:r>
    </w:p>
    <w:p>
      <w:pPr>
        <w:pStyle w:val="Heading2"/>
      </w:pPr>
      <w:r>
        <w:rPr>
          <w:rFonts w:ascii="Calibri" w:cs="Calibri" w:eastAsia="Calibri" w:hAnsi="Calibri"/>
        </w:rPr>
        <w:t xml:space="preserve">3.2 Functional requirements</w:t>
      </w:r>
    </w:p>
    <w:p>
      <w:pPr>
        <w:pStyle w:val="Heading3"/>
      </w:pPr>
      <w:r>
        <w:rPr>
          <w:rFonts w:ascii="Calibri" w:cs="Calibri" w:eastAsia="Calibri" w:hAnsi="Calibri"/>
        </w:rPr>
        <w:t xml:space="preserve">3.2.1 Authentication and access control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FR-AUTH-001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authenticate users by mobile or email and password and issue short-lived access tokens with refresh</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FR-AUTH-002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enforce roles per Appendix B on every API call and return 403 when denied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FR-AUTH-003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lock an account for 15 minutes after 5 failed logins and log the event</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FR-AUTH-004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support TOTP two-factor authentication, mandatory for Owner and Accountant roles from 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FR-AUTH-005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Owner shall be able to create, deactivate and re-role users; deactivation shall end all sessions immediately</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FR-AUTH-006</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Sessions shall expire after inactivity (default 30 minutes, configurable) and preserve unsaved form data locally</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bl>
    <w:p>
      <w:pPr>
        <w:spacing w:after="120"/>
      </w:pPr>
    </w:p>
    <w:p>
      <w:pPr>
        <w:pStyle w:val="Heading3"/>
      </w:pPr>
      <w:r>
        <w:rPr>
          <w:rFonts w:ascii="Calibri" w:cs="Calibri" w:eastAsia="Calibri" w:hAnsi="Calibri"/>
        </w:rPr>
        <w:t xml:space="preserve">3.2.2 Parties and duplicates (PTY)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FR-PTY-001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An authenticated user with permission shall be able to create a party with name, mobile, employment type and address; the system shall create exactly one record with a unique ID scoped to the organization</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F-01</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FR-PTY-002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On create, the system shall warn when an existing party in the organization has the same mobile number or PAN last four with name similarity, listing the matches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F-01</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FR-PTY-003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search parties by name, mobile, PAN last four, case number and vehicle number</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F-01</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FR-PTY-004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PAN shall be stored encrypted; Aadhaar shall be stored masked only (last four digits)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FR-PTY-005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Each party shall carry a role per case: applicant, co-applicant, guarantor or seller</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F-01</w:t>
            </w:r>
          </w:p>
        </w:tc>
      </w:tr>
    </w:tbl>
    <w:p>
      <w:pPr>
        <w:spacing w:after="120"/>
      </w:pPr>
    </w:p>
    <w:p>
      <w:pPr>
        <w:pStyle w:val="Heading3"/>
      </w:pPr>
      <w:r>
        <w:rPr>
          <w:rFonts w:ascii="Calibri" w:cs="Calibri" w:eastAsia="Calibri" w:hAnsi="Calibri"/>
        </w:rPr>
        <w:t xml:space="preserve">3.2.3 Cases (CAS)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FR-CAS-001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create a case linked to at least one applicant, one source, one owner and a product type (new car, used car, two-wheeler, commercial vehicle, tractor, EV, refinance)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F-02</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FR-CAS-002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generate a unique case number per organization</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F-02</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FR-CAS-003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case detail shall show a chronological timeline of status changes, documents, lender events, follow-ups and payout events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F-02</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FR-CAS-004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list and filter cases by status, lender, product, source, owner, age and stuck flag</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F-02</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FR-CAS-005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warn on likely duplicate cases by vehicle number or applicant and active status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F-01</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FR-CAS-006</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Concurrent edits shall be detected with a version column; the later save shall be rejected with a conflict message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F-02</w:t>
            </w:r>
          </w:p>
        </w:tc>
      </w:tr>
    </w:tbl>
    <w:p>
      <w:pPr>
        <w:spacing w:after="120"/>
      </w:pPr>
    </w:p>
    <w:p>
      <w:pPr>
        <w:pStyle w:val="Heading3"/>
      </w:pPr>
      <w:r>
        <w:rPr>
          <w:rFonts w:ascii="Calibri" w:cs="Calibri" w:eastAsia="Calibri" w:hAnsi="Calibri"/>
        </w:rPr>
        <w:t xml:space="preserve">3.2.4 Vehicles (VEH)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FR-VEH-001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case shall hold a vehicle with condition (new/used), registration number, make, model, variant, year, chassis and engine numbers, owner serial, fuel and price fields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F-03</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FR-VEH-002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validate registration number format and reject invalid values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F-03</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FR-VEH-003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record valuation amount, source and date, and existing hypothecation (lender, status, source of information, date)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F-03</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FR-VEH-004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provide a link-out helper to verify vehicle details on an official portal; no automated lookup in release 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F-03</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FR-VEH-005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When existing hypothecation is recorded as active, the checklist shall add the seller loan closure documents (NOC and Form 35)</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r>
    </w:tbl>
    <w:p>
      <w:pPr>
        <w:spacing w:after="120"/>
      </w:pPr>
    </w:p>
    <w:p>
      <w:pPr>
        <w:pStyle w:val="Heading3"/>
      </w:pPr>
      <w:r>
        <w:rPr>
          <w:rFonts w:ascii="Calibri" w:cs="Calibri" w:eastAsia="Calibri" w:hAnsi="Calibri"/>
        </w:rPr>
        <w:t xml:space="preserve">3.2.5 Document checklist and hub (DOC)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FR-DOC-001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generate the required-document list from rules combining product, employment type, vehicle condition and lender, and recalculate when any input changes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FR-DOC-002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accept PDF, JPG and PNG up to 15 MB per file (configurable), reject other types and scan files for malware before storage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FR-DOC-003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Each document shall have a status: Requested, Received, Under Review, Verified, Rejected, Expired, Archived, with the reason captured on rejection</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FR-DOC-004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set Expired automatically when document-type validity is exceeded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FR-DOC-005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Replacing a document shall create a new version; earlier versions shall be retained and recoverable by the Owner</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FR-DOC-006</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Users shall not hard-delete documents; deletion means archive. Hard deletion occurs only through the retention workflow (FR-PRV-004)</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FR-DOC-007</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generate a copyable request message listing missing documents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FR-DOC-008</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Downloads shall use signed URLs valid for at most 5 minutes; every view and download shall be audit-logged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FR-DOC-009</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merge images into a single PDF on request</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FR-DOC-010</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link-based customer upload with consent notice should be offered after legal review</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r>
    </w:tbl>
    <w:p>
      <w:pPr>
        <w:spacing w:after="120"/>
      </w:pPr>
    </w:p>
    <w:p>
      <w:pPr>
        <w:pStyle w:val="Heading3"/>
      </w:pPr>
      <w:r>
        <w:rPr>
          <w:rFonts w:ascii="Calibri" w:cs="Calibri" w:eastAsia="Calibri" w:hAnsi="Calibri"/>
        </w:rPr>
        <w:t xml:space="preserve">3.2.6 Lender applications (LAP)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FR-LAP-001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case shall support one or more lender applications, each with lender, product, login reference, login date and status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FR-LAP-002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record queries, sanction terms (amount, tenure, rate, margin money, date), rejection reason code, disbursal date, amount and reference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FR-LAP-003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display lender applications of a case side by side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FR-LAP-004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rejected application shall require a rejection reason code (BR-04)</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FR-LAP-005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At most one application per case shall be marked winning, only when Disbursed (BR-05)</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FR-LAP-006</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Disbursed amount shall not exceed sanctioned amount without a recorded override (BR-08)</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F-05</w:t>
            </w:r>
          </w:p>
        </w:tc>
      </w:tr>
    </w:tbl>
    <w:p>
      <w:pPr>
        <w:spacing w:after="120"/>
      </w:pPr>
    </w:p>
    <w:p>
      <w:pPr>
        <w:pStyle w:val="Heading3"/>
      </w:pPr>
      <w:r>
        <w:rPr>
          <w:rFonts w:ascii="Calibri" w:cs="Calibri" w:eastAsia="Calibri" w:hAnsi="Calibri"/>
        </w:rPr>
        <w:t xml:space="preserve">3.2.7 Workflow, SLA and follow-ups (WFL)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FR-WFL-001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enforce the allowed status transitions in Appendix C and return 409 with allowed next states otherwise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F-06</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FR-WFL-002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Statuses and SLAs shall be configurable per organization without code changes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F-06</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FR-WFL-003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Every status change shall store from-status, to-status, user, timestamp and note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F-06</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FR-WFL-004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compute ageing as now minus time entered current stage and flag Stuck when ageing exceeds the stage SLA</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F-06</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FR-WFL-005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Users shall be able to set next action, owner and due date on a case or lender application</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F-06</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FR-WFL-006</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Moving a case to Applied shall be blocked while mandatory documents are missing; a Manager may override with a reason (BR-03)</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F-06</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FR-WFL-007</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provide a PDD board with items by lender application, due date, owner, status and ageing buckets (0-7, 8-15, 16-30, 30+ days)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F-07</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FR-WFL-008</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track RC with hypothecation endorsement, insurance with lender clause and Form 34 receipt as PDD item types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F-07</w:t>
            </w:r>
          </w:p>
        </w:tc>
      </w:tr>
    </w:tbl>
    <w:p>
      <w:pPr>
        <w:spacing w:after="120"/>
      </w:pPr>
    </w:p>
    <w:p>
      <w:pPr>
        <w:pStyle w:val="Heading3"/>
      </w:pPr>
      <w:r>
        <w:rPr>
          <w:rFonts w:ascii="Calibri" w:cs="Calibri" w:eastAsia="Calibri" w:hAnsi="Calibri"/>
        </w:rPr>
        <w:t xml:space="preserve">3.2.8 Sources, partners and splits (SRC)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FR-SRC-001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maintain sources of type dealer, sub-DSA, connector, employee, direct and walk-in, with contact and parent</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F-08</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FR-SRC-002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Every case shall have exactly one primary source (BR-02)</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F-08</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FR-SRC-003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support split rules per source or case (percentage or flat) with beneficiaries; total shall not exceed 100% of net payout (BR-09)</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F-11</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FR-SRC-004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report source-wise cases, approval rate, disbursal conversion, average ticket and payout</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F-12</w:t>
            </w:r>
          </w:p>
        </w:tc>
      </w:tr>
    </w:tbl>
    <w:p>
      <w:pPr>
        <w:spacing w:after="120"/>
      </w:pPr>
    </w:p>
    <w:p>
      <w:pPr>
        <w:pStyle w:val="Heading3"/>
      </w:pPr>
      <w:r>
        <w:rPr>
          <w:rFonts w:ascii="Calibri" w:cs="Calibri" w:eastAsia="Calibri" w:hAnsi="Calibri"/>
        </w:rPr>
        <w:t xml:space="preserve">3.2.9 Payout, clawback and reconciliation (PAY)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store payout rules with lender, product, effective-from and effective-to, basis (percent of disbursed, flat or slab), slabs, conditions (ticket range, vehicle age, segment), gating condition, clawback days, TDS applicability and GST mode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F-09</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On disbursal, the system shall select the rule in force on the disbursal date, store a snapshot and compute expected gross and net payout (BR-06, BR-13)</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F-09</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If no rule matches, the expectation shall be flagged No rule and listed on the attention list, never computed as zero</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F-09</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If the rule has a gating condition, the expectation shall stay Held until satisfied (BR-10)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F-09</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Manual overrides of expectation shall require a reason and be audited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F-09</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FR-PAY-006</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record TDS per receipt and reconcile receipts against TDS reported in Form 26AS/AIS data entered by the accountant</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F-10</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FR-PAY-007</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record payout receipts only against disbursed cases (BR-07)</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F-10</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FR-PAY-008</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import lender statements (CSV or Excel) with a dry run, saved column mapping, and an error file for invalid rows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F-10</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FR-PAY-009</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match statement lines to expectations by loan account number, customer and amount, and classify results as Matched, Short, Excess, Missing, Clawed back or Unmatched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F-10</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FR-PAY-010</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Variance above a configurable tolerance shall appear on a per-lender outstanding report with ageing</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F-10</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FR-PAY-011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track the clawback window per lender application and record clawback events with amount and reason</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F-11</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FR-PAY-012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Manual reconciliation entry shall be available when no statement file exists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F-10</w:t>
            </w:r>
          </w:p>
        </w:tc>
      </w:tr>
    </w:tbl>
    <w:p>
      <w:pPr>
        <w:spacing w:after="120"/>
      </w:pPr>
    </w:p>
    <w:p>
      <w:pPr>
        <w:pStyle w:val="Heading3"/>
      </w:pPr>
      <w:r>
        <w:rPr>
          <w:rFonts w:ascii="Calibri" w:cs="Calibri" w:eastAsia="Calibri" w:hAnsi="Calibri"/>
        </w:rPr>
        <w:t xml:space="preserve">3.2.10 Dashboards and reports (RPT)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FR-RPT-001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dashboard shall show pipeline by status, documents pending, stuck cases, PDD ageing, lender-wise conversion and expected versus received versus outstanding payout, with date-range filters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F-12</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FR-RPT-002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KPIs shall use the formulas in PRD Section 9.1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F-12</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FR-RPT-003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Dashboard figures shall change when underlying data changes without manual refresh beyond page reload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F-12</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FR-RPT-004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Reports shall be filterable by date, lender, product, source, owner and status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F-12</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FR-RPT-005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CSV and Excel export shall be permission-controlled and audit-logged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F-16</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FR-RPT-006</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Employees with the Field executive role shall see only their own performance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bl>
    <w:p>
      <w:pPr>
        <w:spacing w:after="120"/>
      </w:pPr>
    </w:p>
    <w:p>
      <w:pPr>
        <w:pStyle w:val="Heading3"/>
      </w:pPr>
      <w:r>
        <w:rPr>
          <w:rFonts w:ascii="Calibri" w:cs="Calibri" w:eastAsia="Calibri" w:hAnsi="Calibri"/>
        </w:rPr>
        <w:t xml:space="preserve">3.2.11 Notifications (NTF)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FR-NTF-001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generate notifications for: document missing or expiring, follow-up due or overdue, case stuck, status change, lender query, sanction, disbursal, PDD due or overdue, payout held, short or missing, clawback window ending</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F-13</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FR-NTF-002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Notifications shall be delivered in-app in P0 and by email in P1 through a channel abstraction that allows SMS and WhatsApp later</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F-13</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FR-NTF-003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Users shall set preferences, daily digest and quiet hours; duplicate notifications shall be suppressed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F-13</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FR-NTF-004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keep a delivery log per notification</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F-13</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FR-NTF-005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Customer-facing notifications shall not be sent without recorded consent and legal review</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P2</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F-13</w:t>
            </w:r>
          </w:p>
        </w:tc>
      </w:tr>
    </w:tbl>
    <w:p>
      <w:pPr>
        <w:spacing w:after="120"/>
      </w:pPr>
    </w:p>
    <w:p>
      <w:pPr>
        <w:pStyle w:val="Heading3"/>
      </w:pPr>
      <w:r>
        <w:rPr>
          <w:rFonts w:ascii="Calibri" w:cs="Calibri" w:eastAsia="Calibri" w:hAnsi="Calibri"/>
        </w:rPr>
        <w:t xml:space="preserve">3.2.12 Consent and privacy operations (PRV)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FR-PRV-001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record consent per party and purpose (processing KYC, sharing with lenders, contacting customer) with notice version, channel, timestamp and capturing user</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FR-PRV-002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case without consent for its purposes shall be flagged Consent missing</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FR-PRV-003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support consent withdrawal and a data-subject request log (access, correction, erasure) with due dates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FR-PRV-004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apply a configurable retention schedule, flag records due for deletion and delete through an audited workflow; legal-hold override shall be supported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FR-PRV-005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provide a personal-data breach register and an incident runbook, with a target of initial triage within 24 hours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bl>
    <w:p>
      <w:pPr>
        <w:spacing w:after="120"/>
      </w:pPr>
    </w:p>
    <w:p>
      <w:pPr>
        <w:pStyle w:val="Heading3"/>
      </w:pPr>
      <w:r>
        <w:rPr>
          <w:rFonts w:ascii="Calibri" w:cs="Calibri" w:eastAsia="Calibri" w:hAnsi="Calibri"/>
        </w:rPr>
        <w:t xml:space="preserve">3.2.13 Audit (AUD)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FR-AUD-001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log the events listed in Appendix D with actor, role, action, entity, time (UTC), old and new values (sensitive fields redacted or hashed), IP and device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FR-AUD-002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Audit records shall be append-only for application roles; modification attempts shall fail and be logged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FR-AUD-003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Owner and Auditor shall be able to search and export the audit log by user, entity, action and date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bl>
    <w:p>
      <w:pPr>
        <w:spacing w:after="120"/>
      </w:pPr>
    </w:p>
    <w:p>
      <w:pPr>
        <w:pStyle w:val="Heading3"/>
      </w:pPr>
      <w:r>
        <w:rPr>
          <w:rFonts w:ascii="Calibri" w:cs="Calibri" w:eastAsia="Calibri" w:hAnsi="Calibri"/>
        </w:rPr>
        <w:t xml:space="preserve">3.2.14 Data import and export (IMP)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FR-IMP-001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import parties, cases, sources and lenders from Excel or CSV with a dry-run validation report</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F-16</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FR-IMP-002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Valid rows shall be importable while invalid rows are exported with error messages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F-16</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FR-IMP-003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Imports shall be tenant-scoped, audited and reversible within 24 hours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F-16</w:t>
            </w:r>
          </w:p>
        </w:tc>
      </w:tr>
    </w:tbl>
    <w:p>
      <w:pPr>
        <w:spacing w:after="120"/>
      </w:pPr>
    </w:p>
    <w:p>
      <w:pPr>
        <w:pStyle w:val="Heading3"/>
      </w:pPr>
      <w:r>
        <w:rPr>
          <w:rFonts w:ascii="Calibri" w:cs="Calibri" w:eastAsia="Calibri" w:hAnsi="Calibri"/>
        </w:rPr>
        <w:t xml:space="preserve">3.2.15 Local OCR (OCR) - later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FR-OCR-001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should extract suggested fields from KYC and RC images using locally hosted OCR in a background job</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P2</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F-17</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FR-OCR-002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Extracted values shall be suggestions requiring human confirmation before saving</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P2</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F-17</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FR-OCR-003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should flag name and address mismatches across documents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P2</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F-17</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FR-OCR-004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 document or extracted data shall leave the approved environment</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P2</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F-17</w:t>
            </w:r>
          </w:p>
        </w:tc>
      </w:tr>
    </w:tbl>
    <w:p>
      <w:pPr>
        <w:spacing w:after="120"/>
      </w:pPr>
    </w:p>
    <w:p>
      <w:pPr>
        <w:pStyle w:val="Heading2"/>
      </w:pPr>
      <w:r>
        <w:rPr>
          <w:rFonts w:ascii="Calibri" w:cs="Calibri" w:eastAsia="Calibri" w:hAnsi="Calibri"/>
        </w:rPr>
        <w:t xml:space="preserve">3.3 Performance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NFR-PRF-001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List and search responses shall complete within 1.5 s at the 95th percentile with 20,000 cases per tenant under 50 concurrent users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F-12</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NFR-PRF-002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Dashboard responses shall complete within 3 s at the 95th percentile on the same load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F-12</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NFR-PRF-003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Document upload shall show progress and resume or retry after connection loss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NFR-PRF-004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Statement import of 5,000 lines shall complete within 60 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F-10</w:t>
            </w:r>
          </w:p>
        </w:tc>
      </w:tr>
    </w:tbl>
    <w:p>
      <w:pPr>
        <w:spacing w:after="120"/>
      </w:pPr>
    </w:p>
    <w:p>
      <w:pPr>
        <w:pStyle w:val="Heading2"/>
      </w:pPr>
      <w:r>
        <w:rPr>
          <w:rFonts w:ascii="Calibri" w:cs="Calibri" w:eastAsia="Calibri" w:hAnsi="Calibri"/>
        </w:rPr>
        <w:t xml:space="preserve">3.4 Logical database requirements</w:t>
      </w:r>
    </w:p>
    <w:p>
      <w:pPr>
        <w:pStyle w:val="Heading3"/>
      </w:pPr>
      <w:r>
        <w:rPr>
          <w:rFonts w:ascii="Calibri" w:cs="Calibri" w:eastAsia="Calibri" w:hAnsi="Calibri"/>
        </w:rPr>
        <w:t xml:space="preserve">3.4.1 Conceptual model</w:t>
      </w:r>
    </w:p>
    <w:p>
      <w:pPr>
        <w:spacing w:after="100" w:line="276"/>
      </w:pPr>
      <w:r>
        <w:rPr>
          <w:rFonts w:ascii="Calibri" w:cs="Calibri" w:eastAsia="Calibri" w:hAnsi="Calibri"/>
          <w:sz w:val="21"/>
          <w:szCs w:val="21"/>
        </w:rPr>
        <w:t xml:space="preserve">Organization has Users. Party links to Case through CaseParty (role). Case has one Source, one Owner, one or more Vehicles (normally one), many Documents and many LenderApplications. LenderApplication has PDDItems, one PayoutExpectation (when disbursed), Clawback events. PayoutExpectation links to PayoutRule (snapshot), PayoutSplits and Reconciliation results against PayoutReceipts imported from lender statements. ConsentRecord belongs to Party. AuditLog and StatusHistory reference any entity.</w:t>
      </w:r>
    </w:p>
    <w:p>
      <w:pPr>
        <w:pStyle w:val="Heading3"/>
      </w:pPr>
      <w:r>
        <w:rPr>
          <w:rFonts w:ascii="Calibri" w:cs="Calibri" w:eastAsia="Calibri" w:hAnsi="Calibri"/>
        </w:rPr>
        <w:t xml:space="preserve">3.4.2 Entity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tblHeader/>
        </w:trPr>
        <w:tc>
          <w:tcPr>
            <w:tcW w:type="dxa" w:w="198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Entity</w:t>
            </w:r>
          </w:p>
        </w:tc>
        <w:tc>
          <w:tcPr>
            <w:tcW w:type="dxa" w:w="704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Key attributes</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Organization</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name, GST/PAN (optional), plan, settings, region</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User</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org_id, name, mobile, email, role, team, active, two-factor</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Party</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org_id, name, mobile(s), PAN (encrypted, last four indexed), masked Aadhaar, DOB, address, employment type</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Case</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org_id, case_no, product, requested amount, source_id, owner_id, status, entered_stage_at, version</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CaseParty</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case_id, party_id, role</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Vehicle</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case_id, condition, registration no, make, model, variant, year, chassis, engine, owner serial, prices, valuation (amount, source, date), existing hypothecation</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Lender</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org_id, name, type, products, notes</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LenderApplication</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case_id, lender_id, product, login ref and date, status, query notes, sanction terms, rejection reason, disbursal (date, amount, reference), is_winning, version</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DocumentType</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code, group, validity days, sensitive flag</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ChecklistRule</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conditions (product, employment, vehicle condition, lender), required types, mandatory flag, required-by stage</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Document</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case/party/vehicle link, type, file ref, version, status, uploaded and verified by and at, reject reason</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PDDItem</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lender_application_id, type, due date, owner, status, received date</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Source</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org_id, type, name, contact, parent, agreement terms</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PayoutRule</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lender, product, effective from/to, basis, slabs, conditions, gating, clawback days, TDS flag, GST mode</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PayoutExpectation</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lender_application_id, rule snapshot, expected gross, expected net, status (Held, Due, Received, No rule)</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PayoutSplit</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expectation_id, beneficiary, basis, share, amount, paid status</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PayoutReceipt</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lender, statement ref, date, gross, TDS, net, matched case ref</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Reconciliation</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expectation_id, receipt_id, result, variance, resolution note</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ClawbackEvent</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lender_application_id, reason, date, amount, status</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Task</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case or application, action, owner, due, status</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StatusHistory</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entity, from, to, user, timestamp, note</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ConsentRecord</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party_id, purpose, notice version, channel, timestamp, captured_by, withdrawn_at</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AuditLog</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actor, role, action, entity, before/after (redacted), IP, device, timestamp</w:t>
            </w:r>
          </w:p>
        </w:tc>
      </w:tr>
      <w:tr>
        <w:trPr>
          <w:cantSplit/>
          <w:tblHeader w:val="false"/>
        </w:trP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Notification</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id, user, event, channel, status, created and delivered at</w:t>
            </w:r>
          </w:p>
        </w:tc>
      </w:tr>
    </w:tbl>
    <w:p>
      <w:pPr>
        <w:spacing w:after="120"/>
      </w:pPr>
    </w:p>
    <w:p>
      <w:pPr>
        <w:pStyle w:val="Heading3"/>
      </w:pPr>
      <w:r>
        <w:rPr>
          <w:rFonts w:ascii="Calibri" w:cs="Calibri" w:eastAsia="Calibri" w:hAnsi="Calibri"/>
        </w:rPr>
        <w:t xml:space="preserve">3.4.3 Data requirements</w:t>
      </w:r>
    </w:p>
    <w:p>
      <w:pPr>
        <w:pStyle w:val="ListParagraph"/>
        <w:numPr>
          <w:ilvl w:val="0"/>
          <w:numId w:val="2"/>
        </w:numPr>
        <w:spacing w:after="60"/>
      </w:pPr>
      <w:r>
        <w:rPr>
          <w:rFonts w:ascii="Calibri" w:cs="Calibri" w:eastAsia="Calibri" w:hAnsi="Calibri"/>
          <w:sz w:val="21"/>
          <w:szCs w:val="21"/>
        </w:rPr>
        <w:t xml:space="preserve">Every table except platform configuration shall carry </w:t>
      </w:r>
      <w:r>
        <w:rPr>
          <w:rFonts w:ascii="Consolas" w:cs="Consolas" w:eastAsia="Consolas" w:hAnsi="Consolas"/>
          <w:sz w:val="19"/>
          <w:szCs w:val="19"/>
        </w:rPr>
        <w:t xml:space="preserve">org_id</w:t>
      </w:r>
      <w:r>
        <w:rPr>
          <w:rFonts w:ascii="Calibri" w:cs="Calibri" w:eastAsia="Calibri" w:hAnsi="Calibri"/>
          <w:sz w:val="21"/>
          <w:szCs w:val="21"/>
        </w:rPr>
        <w:t xml:space="preserve"> and be protected by PostgreSQL row-level security (NFR-SEC-002).</w:t>
      </w:r>
    </w:p>
    <w:p>
      <w:pPr>
        <w:pStyle w:val="ListParagraph"/>
        <w:numPr>
          <w:ilvl w:val="0"/>
          <w:numId w:val="2"/>
        </w:numPr>
        <w:spacing w:after="60"/>
      </w:pPr>
      <w:r>
        <w:rPr>
          <w:rFonts w:ascii="Calibri" w:cs="Calibri" w:eastAsia="Calibri" w:hAnsi="Calibri"/>
          <w:sz w:val="21"/>
          <w:szCs w:val="21"/>
        </w:rPr>
        <w:t xml:space="preserve">Foreign keys, unique constraints (for example case_no per organization) and check constraints shall prevent orphaned or inconsistent records.</w:t>
      </w:r>
    </w:p>
    <w:p>
      <w:pPr>
        <w:pStyle w:val="ListParagraph"/>
        <w:numPr>
          <w:ilvl w:val="0"/>
          <w:numId w:val="2"/>
        </w:numPr>
        <w:spacing w:after="60"/>
      </w:pPr>
      <w:r>
        <w:rPr>
          <w:rFonts w:ascii="Calibri" w:cs="Calibri" w:eastAsia="Calibri" w:hAnsi="Calibri"/>
          <w:sz w:val="21"/>
          <w:szCs w:val="21"/>
        </w:rPr>
        <w:t xml:space="preserve">Business records shall use soft delete; hard delete occurs through the retention workflow only.</w:t>
      </w:r>
    </w:p>
    <w:p>
      <w:pPr>
        <w:pStyle w:val="ListParagraph"/>
        <w:numPr>
          <w:ilvl w:val="0"/>
          <w:numId w:val="2"/>
        </w:numPr>
        <w:spacing w:after="60"/>
      </w:pPr>
      <w:r>
        <w:rPr>
          <w:rFonts w:ascii="Calibri" w:cs="Calibri" w:eastAsia="Calibri" w:hAnsi="Calibri"/>
          <w:sz w:val="21"/>
          <w:szCs w:val="21"/>
        </w:rPr>
        <w:t xml:space="preserve">A full </w:t>
      </w:r>
      <w:r>
        <w:rPr>
          <w:rFonts w:ascii="Calibri" w:cs="Calibri" w:eastAsia="Calibri" w:hAnsi="Calibri"/>
          <w:b/>
          <w:bCs/>
          <w:sz w:val="21"/>
          <w:szCs w:val="21"/>
        </w:rPr>
        <w:t xml:space="preserve">data dictionary</w:t>
      </w:r>
      <w:r>
        <w:rPr>
          <w:rFonts w:ascii="Calibri" w:cs="Calibri" w:eastAsia="Calibri" w:hAnsi="Calibri"/>
          <w:sz w:val="21"/>
          <w:szCs w:val="21"/>
        </w:rPr>
        <w:t xml:space="preserve"> (field, type, required, validation, example, editable) shall be produced as Appendix G before M2 exit.</w:t>
      </w:r>
    </w:p>
    <w:p>
      <w:pPr>
        <w:pStyle w:val="Heading2"/>
      </w:pPr>
      <w:r>
        <w:rPr>
          <w:rFonts w:ascii="Calibri" w:cs="Calibri" w:eastAsia="Calibri" w:hAnsi="Calibri"/>
        </w:rPr>
        <w:t xml:space="preserve">3.5 Design constraints</w:t>
      </w:r>
    </w:p>
    <w:p>
      <w:pPr>
        <w:pStyle w:val="ListParagraph"/>
        <w:numPr>
          <w:ilvl w:val="0"/>
          <w:numId w:val="2"/>
        </w:numPr>
        <w:spacing w:after="60"/>
      </w:pPr>
      <w:r>
        <w:rPr>
          <w:rFonts w:ascii="Calibri" w:cs="Calibri" w:eastAsia="Calibri" w:hAnsi="Calibri"/>
          <w:sz w:val="21"/>
          <w:szCs w:val="21"/>
        </w:rPr>
        <w:t xml:space="preserve">DC-1: Modular monolith with clear module boundaries (auth, parties, cases, documents, lenders, workflow, payout, reporting, notifications, privacy, audit).</w:t>
      </w:r>
    </w:p>
    <w:p>
      <w:pPr>
        <w:pStyle w:val="ListParagraph"/>
        <w:numPr>
          <w:ilvl w:val="0"/>
          <w:numId w:val="2"/>
        </w:numPr>
        <w:spacing w:after="60"/>
      </w:pPr>
      <w:r>
        <w:rPr>
          <w:rFonts w:ascii="Calibri" w:cs="Calibri" w:eastAsia="Calibri" w:hAnsi="Calibri"/>
          <w:sz w:val="21"/>
          <w:szCs w:val="21"/>
        </w:rPr>
        <w:t xml:space="preserve">DC-2: Long-running work (imports, OCR, notifications, retention) runs in background workers, not in request threads.</w:t>
      </w:r>
    </w:p>
    <w:p>
      <w:pPr>
        <w:pStyle w:val="ListParagraph"/>
        <w:numPr>
          <w:ilvl w:val="0"/>
          <w:numId w:val="2"/>
        </w:numPr>
        <w:spacing w:after="60"/>
      </w:pPr>
      <w:r>
        <w:rPr>
          <w:rFonts w:ascii="Calibri" w:cs="Calibri" w:eastAsia="Calibri" w:hAnsi="Calibri"/>
          <w:sz w:val="21"/>
          <w:szCs w:val="21"/>
        </w:rPr>
        <w:t xml:space="preserve">DC-3: Schema changes through versioned migrations; API changes backward compatible within a major version.</w:t>
      </w:r>
    </w:p>
    <w:p>
      <w:pPr>
        <w:pStyle w:val="ListParagraph"/>
        <w:numPr>
          <w:ilvl w:val="0"/>
          <w:numId w:val="2"/>
        </w:numPr>
        <w:spacing w:after="60"/>
      </w:pPr>
      <w:r>
        <w:rPr>
          <w:rFonts w:ascii="Calibri" w:cs="Calibri" w:eastAsia="Calibri" w:hAnsi="Calibri"/>
          <w:sz w:val="21"/>
          <w:szCs w:val="21"/>
        </w:rPr>
        <w:t xml:space="preserve">DC-4: Configuration (statuses, SLAs, checklist rules, payout rules) stored as data, not code.</w:t>
      </w:r>
    </w:p>
    <w:p>
      <w:pPr>
        <w:pStyle w:val="Heading2"/>
      </w:pPr>
      <w:r>
        <w:rPr>
          <w:rFonts w:ascii="Calibri" w:cs="Calibri" w:eastAsia="Calibri" w:hAnsi="Calibri"/>
        </w:rPr>
        <w:t xml:space="preserve">3.6 Software system attributes</w:t>
      </w:r>
    </w:p>
    <w:p>
      <w:pPr>
        <w:pStyle w:val="Heading3"/>
      </w:pPr>
      <w:r>
        <w:rPr>
          <w:rFonts w:ascii="Calibri" w:cs="Calibri" w:eastAsia="Calibri" w:hAnsi="Calibri"/>
        </w:rPr>
        <w:t xml:space="preserve">3.6.1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NFR-SEC-001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All traffic shall use TLS 1.2 or later; HSTS shall be enabled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NFR-SEC-002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Tenant isolation shall be enforced in application code and by database row-level security; automated tests shall prove no cross-tenant read or write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NFR-SEC-003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Passwords shall be hashed with Argon2id or bcrypt; secrets shall be held in a managed secret store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NFR-SEC-004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Data at rest in the database and object storage shall be encrypted; PAN and bank details shall use field-level encryption with managed keys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NFR-SEC-005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Object storage shall be private; documents shall be accessible only through signed URLs of at most 5 minutes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NFR-SEC-006</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apply rate limiting, input validation, output encoding and CSRF/XSS protections aligned with OWASP ASVS level 2</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NFR-SEC-007</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Uploaded images shall have EXIF metadata stripped and filenames sanitised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NFR-SEC-008</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Masked fields shall reveal full values only to permitted roles and each reveal shall be audited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NFR-SEC-009</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third-party penetration test shall be completed and critical findings fixed before real customer data is loaded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NFR-SEC-010</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Downloads should carry a visible watermark with user and time</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r>
    </w:tbl>
    <w:p>
      <w:pPr>
        <w:spacing w:after="120"/>
      </w:pPr>
    </w:p>
    <w:p>
      <w:pPr>
        <w:pStyle w:val="Heading3"/>
      </w:pPr>
      <w:r>
        <w:rPr>
          <w:rFonts w:ascii="Calibri" w:cs="Calibri" w:eastAsia="Calibri" w:hAnsi="Calibri"/>
        </w:rPr>
        <w:t xml:space="preserve">3.6.2 Privacy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596"/>
        <w:gridCol w:w="722"/>
        <w:gridCol w:w="722"/>
        <w:gridCol w:w="723"/>
      </w:tblGrid>
      <w:tr>
        <w:trPr>
          <w:cantSplit/>
          <w:tblHeader/>
        </w:trPr>
        <w:tc>
          <w:tcPr>
            <w:tcW w:type="dxa" w:w="1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559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c>
          <w:tcPr>
            <w:tcW w:type="dxa" w:w="7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NFR-PRV-001</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Personal data shall be processed only for recorded purposes with recorded consent</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NFR-PRV-002</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Collected data shall be limited to fields needed for the case; optional fields shall be marked</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NFR-PRV-003</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Hosting shall be in an India region unless the customer approves otherwise in writing</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NFR-PRV-004</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Customer documents and extracted data shall not be sent to public AI or OCR services; any future cloud processing requires written authorisation by the DSA and, where applicable, lender consent</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r>
        <w:trPr>
          <w:cantSplit/>
          <w:tblHeader w:val="false"/>
        </w:trP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NFR-PRV-005</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Sub-processors shall be listed and bound by written data-processing terms</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c>
          <w:tcPr>
            <w:tcW w:type="dxa" w:w="72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r>
    </w:tbl>
    <w:p>
      <w:pPr>
        <w:spacing w:after="120"/>
      </w:pPr>
    </w:p>
    <w:p>
      <w:pPr>
        <w:pStyle w:val="Heading3"/>
      </w:pPr>
      <w:r>
        <w:rPr>
          <w:rFonts w:ascii="Calibri" w:cs="Calibri" w:eastAsia="Calibri" w:hAnsi="Calibri"/>
        </w:rPr>
        <w:t xml:space="preserve">3.6.3 Reliability and availability</w:t>
      </w:r>
    </w:p>
    <w:p>
      <w:pPr>
        <w:pStyle w:val="ListParagraph"/>
        <w:numPr>
          <w:ilvl w:val="0"/>
          <w:numId w:val="2"/>
        </w:numPr>
        <w:spacing w:after="60"/>
      </w:pPr>
      <w:r>
        <w:rPr>
          <w:rFonts w:ascii="Calibri" w:cs="Calibri" w:eastAsia="Calibri" w:hAnsi="Calibri"/>
          <w:sz w:val="21"/>
          <w:szCs w:val="21"/>
        </w:rPr>
        <w:t xml:space="preserve">NFR-REL-001 (P0, T): Automated daily backups of database and storage; restore tested monthly; recovery point objective at most 24 hours, recovery time objective at most 8 hours for the pilot.</w:t>
      </w:r>
    </w:p>
    <w:p>
      <w:pPr>
        <w:pStyle w:val="ListParagraph"/>
        <w:numPr>
          <w:ilvl w:val="0"/>
          <w:numId w:val="2"/>
        </w:numPr>
        <w:spacing w:after="60"/>
      </w:pPr>
      <w:r>
        <w:rPr>
          <w:rFonts w:ascii="Calibri" w:cs="Calibri" w:eastAsia="Calibri" w:hAnsi="Calibri"/>
          <w:sz w:val="21"/>
          <w:szCs w:val="21"/>
        </w:rPr>
        <w:t xml:space="preserve">NFR-REL-002 (P0, T): Transactions shall prevent partial writes; failures shall return clear errors and be alerted to operators.</w:t>
      </w:r>
    </w:p>
    <w:p>
      <w:pPr>
        <w:pStyle w:val="ListParagraph"/>
        <w:numPr>
          <w:ilvl w:val="0"/>
          <w:numId w:val="2"/>
        </w:numPr>
        <w:spacing w:after="60"/>
      </w:pPr>
      <w:r>
        <w:rPr>
          <w:rFonts w:ascii="Calibri" w:cs="Calibri" w:eastAsia="Calibri" w:hAnsi="Calibri"/>
          <w:sz w:val="21"/>
          <w:szCs w:val="21"/>
        </w:rPr>
        <w:t xml:space="preserve">NFR-REL-003 (P1, A): Target availability of 99.5% monthly during business hours for the pilot.</w:t>
      </w:r>
    </w:p>
    <w:p>
      <w:pPr>
        <w:pStyle w:val="ListParagraph"/>
        <w:numPr>
          <w:ilvl w:val="0"/>
          <w:numId w:val="2"/>
        </w:numPr>
        <w:spacing w:after="60"/>
      </w:pPr>
      <w:r>
        <w:rPr>
          <w:rFonts w:ascii="Calibri" w:cs="Calibri" w:eastAsia="Calibri" w:hAnsi="Calibri"/>
          <w:sz w:val="21"/>
          <w:szCs w:val="21"/>
        </w:rPr>
        <w:t xml:space="preserve">NFR-REL-004 (P0, I): Basic monitoring and alerting (errors, latency, queue depth, storage, backup status).</w:t>
      </w:r>
    </w:p>
    <w:p>
      <w:pPr>
        <w:pStyle w:val="Heading3"/>
      </w:pPr>
      <w:r>
        <w:rPr>
          <w:rFonts w:ascii="Calibri" w:cs="Calibri" w:eastAsia="Calibri" w:hAnsi="Calibri"/>
        </w:rPr>
        <w:t xml:space="preserve">3.6.4 Usability</w:t>
      </w:r>
    </w:p>
    <w:p>
      <w:pPr>
        <w:pStyle w:val="ListParagraph"/>
        <w:numPr>
          <w:ilvl w:val="0"/>
          <w:numId w:val="2"/>
        </w:numPr>
        <w:spacing w:after="60"/>
      </w:pPr>
      <w:r>
        <w:rPr>
          <w:rFonts w:ascii="Calibri" w:cs="Calibri" w:eastAsia="Calibri" w:hAnsi="Calibri"/>
          <w:sz w:val="21"/>
          <w:szCs w:val="21"/>
        </w:rPr>
        <w:t xml:space="preserve">NFR-USA-001 (P0, D): A new field executive shall be able to create a case with a document in under 3 minutes after a 10-minute introduction.</w:t>
      </w:r>
    </w:p>
    <w:p>
      <w:pPr>
        <w:pStyle w:val="ListParagraph"/>
        <w:numPr>
          <w:ilvl w:val="0"/>
          <w:numId w:val="2"/>
        </w:numPr>
        <w:spacing w:after="60"/>
      </w:pPr>
      <w:r>
        <w:rPr>
          <w:rFonts w:ascii="Calibri" w:cs="Calibri" w:eastAsia="Calibri" w:hAnsi="Calibri"/>
          <w:sz w:val="21"/>
          <w:szCs w:val="21"/>
        </w:rPr>
        <w:t xml:space="preserve">NFR-USA-002 (P0, D): Error messages shall state the cause and the corrective action.</w:t>
      </w:r>
    </w:p>
    <w:p>
      <w:pPr>
        <w:pStyle w:val="Heading3"/>
      </w:pPr>
      <w:r>
        <w:rPr>
          <w:rFonts w:ascii="Calibri" w:cs="Calibri" w:eastAsia="Calibri" w:hAnsi="Calibri"/>
        </w:rPr>
        <w:t xml:space="preserve">3.6.5 Maintainability and portability</w:t>
      </w:r>
    </w:p>
    <w:p>
      <w:pPr>
        <w:pStyle w:val="ListParagraph"/>
        <w:numPr>
          <w:ilvl w:val="0"/>
          <w:numId w:val="2"/>
        </w:numPr>
        <w:spacing w:after="60"/>
      </w:pPr>
      <w:r>
        <w:rPr>
          <w:rFonts w:ascii="Calibri" w:cs="Calibri" w:eastAsia="Calibri" w:hAnsi="Calibri"/>
          <w:sz w:val="21"/>
          <w:szCs w:val="21"/>
        </w:rPr>
        <w:t xml:space="preserve">NFR-MNT-001 (P0, I): Typed API schemas, migrations, linting and CI on every push.</w:t>
      </w:r>
    </w:p>
    <w:p>
      <w:pPr>
        <w:pStyle w:val="ListParagraph"/>
        <w:numPr>
          <w:ilvl w:val="0"/>
          <w:numId w:val="2"/>
        </w:numPr>
        <w:spacing w:after="60"/>
      </w:pPr>
      <w:r>
        <w:rPr>
          <w:rFonts w:ascii="Calibri" w:cs="Calibri" w:eastAsia="Calibri" w:hAnsi="Calibri"/>
          <w:sz w:val="21"/>
          <w:szCs w:val="21"/>
        </w:rPr>
        <w:t xml:space="preserve">NFR-MNT-002 (P0, T): Automated tests shall cover payout engine, checklist engine, state transitions, RBAC and tenant isolation, with at least 80% line coverage of these modules.</w:t>
      </w:r>
    </w:p>
    <w:p>
      <w:pPr>
        <w:pStyle w:val="ListParagraph"/>
        <w:numPr>
          <w:ilvl w:val="0"/>
          <w:numId w:val="2"/>
        </w:numPr>
        <w:spacing w:after="60"/>
      </w:pPr>
      <w:r>
        <w:rPr>
          <w:rFonts w:ascii="Calibri" w:cs="Calibri" w:eastAsia="Calibri" w:hAnsi="Calibri"/>
          <w:sz w:val="21"/>
          <w:szCs w:val="21"/>
        </w:rPr>
        <w:t xml:space="preserve">NFR-POR-001 (P1, D): The system shall be containerised and deployable in DSA-controlled infrastructure.</w:t>
      </w:r>
    </w:p>
    <w:p>
      <w:pPr>
        <w:pStyle w:val="Heading2"/>
      </w:pPr>
      <w:r>
        <w:rPr>
          <w:rFonts w:ascii="Calibri" w:cs="Calibri" w:eastAsia="Calibri" w:hAnsi="Calibri"/>
        </w:rPr>
        <w:t xml:space="preserve">3.7 Legal and regulatory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4693"/>
        <w:gridCol w:w="1083"/>
        <w:gridCol w:w="1084"/>
      </w:tblGrid>
      <w:tr>
        <w:trPr>
          <w:cantSplit/>
          <w:tblHeader/>
        </w:trPr>
        <w:tc>
          <w:tcPr>
            <w:tcW w:type="dxa" w:w="21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469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Requirement</w:t>
            </w:r>
          </w:p>
        </w:tc>
        <w:tc>
          <w:tcPr>
            <w:tcW w:type="dxa" w:w="108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Pri</w:t>
            </w:r>
          </w:p>
        </w:tc>
        <w:tc>
          <w:tcPr>
            <w:tcW w:type="dxa" w:w="108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Ver</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LEG-001</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Processing shall align with DPDP Act 2023 and Rules 2025 core duties effective about 13 to 14 May 2027: notice, consent, safeguards, breach reporting, retention, rights</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LEG-002</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Release 1 shall not display loan offers or perform lending functions for customers; borrower-facing features require legal review under RBI Digital Lending Directions 2025</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LEG-003</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TDS shall be recorded under section 393(1) of the Income-tax Act 2025 (formerly 194H) at the configured rate and threshold; GST mode shall be configurable per DSA</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LEG-004</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Retention periods shall be set with the DSA's advisers and lender agreements; none is assumed by this SRS</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LEG-005</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Aadhaar numbers shall be stored masked only unless legally authorised otherwise</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P0</w:t>
            </w:r>
          </w:p>
        </w:tc>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w:t>
            </w:r>
          </w:p>
        </w:tc>
      </w:tr>
    </w:tbl>
    <w:p>
      <w:pPr>
        <w:spacing w:after="120"/>
      </w:pPr>
    </w:p>
    <w:p>
      <w:pPr>
        <w:pStyle w:val="Heading1"/>
        <w:pageBreakBefore/>
      </w:pPr>
      <w:r>
        <w:rPr>
          <w:rFonts w:ascii="Calibri" w:cs="Calibri" w:eastAsia="Calibri" w:hAnsi="Calibri"/>
        </w:rPr>
        <w:t xml:space="preserve">4. Verification and Traceability</w:t>
      </w:r>
    </w:p>
    <w:p>
      <w:pPr>
        <w:pStyle w:val="Heading2"/>
      </w:pPr>
      <w:r>
        <w:rPr>
          <w:rFonts w:ascii="Calibri" w:cs="Calibri" w:eastAsia="Calibri" w:hAnsi="Calibri"/>
        </w:rPr>
        <w:t xml:space="preserve">4.1 Verification approach</w:t>
      </w:r>
    </w:p>
    <w:p>
      <w:pPr>
        <w:pStyle w:val="ListParagraph"/>
        <w:numPr>
          <w:ilvl w:val="0"/>
          <w:numId w:val="2"/>
        </w:numPr>
        <w:spacing w:after="60"/>
      </w:pPr>
      <w:r>
        <w:rPr>
          <w:rFonts w:ascii="Calibri" w:cs="Calibri" w:eastAsia="Calibri" w:hAnsi="Calibri"/>
          <w:sz w:val="21"/>
          <w:szCs w:val="21"/>
        </w:rPr>
        <w:t xml:space="preserve">Unit and integration tests for every requirement marked T; automated tenant-isolation and RBAC test suites run in CI.</w:t>
      </w:r>
    </w:p>
    <w:p>
      <w:pPr>
        <w:pStyle w:val="ListParagraph"/>
        <w:numPr>
          <w:ilvl w:val="0"/>
          <w:numId w:val="2"/>
        </w:numPr>
        <w:spacing w:after="60"/>
      </w:pPr>
      <w:r>
        <w:rPr>
          <w:rFonts w:ascii="Calibri" w:cs="Calibri" w:eastAsia="Calibri" w:hAnsi="Calibri"/>
          <w:sz w:val="21"/>
          <w:szCs w:val="21"/>
        </w:rPr>
        <w:t xml:space="preserve">Demonstration against the prototype script (PRD 7.3) for D requirements.</w:t>
      </w:r>
    </w:p>
    <w:p>
      <w:pPr>
        <w:pStyle w:val="ListParagraph"/>
        <w:numPr>
          <w:ilvl w:val="0"/>
          <w:numId w:val="2"/>
        </w:numPr>
        <w:spacing w:after="60"/>
      </w:pPr>
      <w:r>
        <w:rPr>
          <w:rFonts w:ascii="Calibri" w:cs="Calibri" w:eastAsia="Calibri" w:hAnsi="Calibri"/>
          <w:sz w:val="21"/>
          <w:szCs w:val="21"/>
        </w:rPr>
        <w:t xml:space="preserve">Inspection checklists for configuration, security headers and documentation (I).</w:t>
      </w:r>
    </w:p>
    <w:p>
      <w:pPr>
        <w:pStyle w:val="ListParagraph"/>
        <w:numPr>
          <w:ilvl w:val="0"/>
          <w:numId w:val="2"/>
        </w:numPr>
        <w:spacing w:after="60"/>
      </w:pPr>
      <w:r>
        <w:rPr>
          <w:rFonts w:ascii="Calibri" w:cs="Calibri" w:eastAsia="Calibri" w:hAnsi="Calibri"/>
          <w:sz w:val="21"/>
          <w:szCs w:val="21"/>
        </w:rPr>
        <w:t xml:space="preserve">Analysis for compliance and availability (A), with sign-off by legal and CA where noted.</w:t>
      </w:r>
    </w:p>
    <w:p>
      <w:pPr>
        <w:pStyle w:val="Heading2"/>
      </w:pPr>
      <w:r>
        <w:rPr>
          <w:rFonts w:ascii="Calibri" w:cs="Calibri" w:eastAsia="Calibri" w:hAnsi="Calibri"/>
        </w:rPr>
        <w:t xml:space="preserve">4.2 Acceptance criteria (selected, Given/When/Then)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8124"/>
      </w:tblGrid>
      <w:tr>
        <w:trPr>
          <w:cantSplit/>
          <w:tblHeader/>
        </w:trPr>
        <w:tc>
          <w:tcPr>
            <w:tcW w:type="dxa" w:w="90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812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Criterion</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AC-01</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an authenticated processor, when valid party details are submitted, then exactly one party is created with a unique ID tied to the organization and its profile is displayed (FR-PTY-001)</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AC-02</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an existing party with the same mobile number, when another is created, then a duplicate warning lists the existing record (FR-PTY-002)</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AC-03</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 used-car case with a salaried applicant, when product and employment type are set, then the checklist lists matching KYC, income and used-vehicle documents and updates when the lender changes (FR-DOC-001)</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AC-04</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 case missing a mandatory document, when a processor moves it to Applied, then the move is blocked and missing documents are listed; a manager override with reason succeeds and is audited (FR-WFL-006)</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AC-05</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 status change not in the allowed table, then the API returns 409 with allowed states and nothing changes (FR-WFL-001)</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AC-06</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 case with three lender applications, when one is marked Disbursed and winning, then case status becomes Disbursed and a payout expectation is created from the rule in force on the disbursal date (FR-PAY-002)</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AC-07</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 payout rule with PDD gating and open PDD items, then the expectation shows Held and appears on the PDD ageing report (FR-PAY-004)</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AC-08</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 disbursed case with no matching rule, then the expectation shows No rule on the attention list and is not zero (FR-PAY-003)</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AC-09</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an imported statement line that differs from the expectation beyond tolerance, then it is classified Short with the variance amount (FR-PAY-009)</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AC-10</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 field executive, when payout data is requested directly through the API, then the API returns 403 (FR-AUTH-002)</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AC-11</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 stage SLA of 3 days and ageing of 6 days, then the case shows 3 days overdue and appears under Stuck cases (FR-WFL-004)</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AC-12</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two users saving the same case, then the second receives a conflict prompt and no data is lost (FR-CAS-006)</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AC-13</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 document view or download, then an audit entry with user, time and document ID exists (FR-DOC-008)</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AC-14</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 user from organization A, when requesting any record of organization B by ID, then the response is not found and no data is returned (NFR-SEC-002)</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AC-15</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Given a party without recorded consent, then the case is flagged Consent missing (FR-PRV-002)</w:t>
            </w:r>
          </w:p>
        </w:tc>
      </w:tr>
    </w:tbl>
    <w:p>
      <w:pPr>
        <w:spacing w:after="120"/>
      </w:pPr>
    </w:p>
    <w:p>
      <w:pPr>
        <w:pStyle w:val="Heading2"/>
      </w:pPr>
      <w:r>
        <w:rPr>
          <w:rFonts w:ascii="Calibri" w:cs="Calibri" w:eastAsia="Calibri" w:hAnsi="Calibri"/>
        </w:rPr>
        <w:t xml:space="preserve">4.3 Requirements traceability (PRD feature to SRS)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068"/>
        <w:gridCol w:w="4875"/>
      </w:tblGrid>
      <w:tr>
        <w:trPr>
          <w:cantSplit/>
          <w:tblHeader/>
        </w:trPr>
        <w:tc>
          <w:tcPr>
            <w:tcW w:type="dxa" w:w="108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PRD</w:t>
            </w:r>
          </w:p>
        </w:tc>
        <w:tc>
          <w:tcPr>
            <w:tcW w:type="dxa" w:w="30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Feature</w:t>
            </w:r>
          </w:p>
        </w:tc>
        <w:tc>
          <w:tcPr>
            <w:tcW w:type="dxa" w:w="487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SRS requirements</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F-01</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Parties and duplicates</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FR-PTY-001..005, FR-CAS-005</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F-02</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Case management</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FR-CAS-001..006</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F-03</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Vehicle record</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FR-VEH-001..004</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F-04</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Document checklist and hub</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FR-DOC-001..010, FR-VEH-005</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F-05</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Lender applications</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FR-LAP-001..006</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F-06</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Workflow, follow-ups, SLA</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FR-WFL-001..006</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F-07</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PDD and RC tracker</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FR-WFL-007..008</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F-08</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Sources and partners</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FR-SRC-001, 002, 004</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F-09</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Payout rules and expectation</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FR-PAY-001..005</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F-10</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Reconciliation</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FR-PAY-006..010, 012</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F-11</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Splits and clawbacks</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FR-SRC-003, FR-PAY-011</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F-12</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Dashboards and reports</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FR-RPT-001..004, NFR-PRF-001..002</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F-13</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Notifications</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FR-NTF-001..005</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F-14</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Roles, permissions, audit</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FR-AUTH-001..006, FR-AUD-001..003, NFR-SEC-001..010</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F-15</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Consent and privacy</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FR-PRV-001..005, NFR-PRV-001..005, LEG-001..005</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F-16</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Data import and export</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FR-IMP-001..003, FR-RPT-005</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F-17</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Local OCR</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FR-OCR-001..004</w:t>
            </w:r>
          </w:p>
        </w:tc>
      </w:tr>
      <w:tr>
        <w:trPr>
          <w:cantSplit/>
          <w:tblHeader w:val="false"/>
        </w:trP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F-18</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Dealer and sub-DSA portal</w:t>
            </w:r>
          </w:p>
        </w:tc>
        <w:tc>
          <w:tcPr>
            <w:tcW w:type="dxa" w:w="487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Not specified in this release (Phase 2)</w:t>
            </w:r>
          </w:p>
        </w:tc>
      </w:tr>
    </w:tbl>
    <w:p>
      <w:pPr>
        <w:spacing w:after="120"/>
      </w:pPr>
    </w:p>
    <w:p>
      <w:pPr>
        <w:pStyle w:val="Heading1"/>
        <w:pageBreakBefore/>
      </w:pPr>
      <w:r>
        <w:rPr>
          <w:rFonts w:ascii="Calibri" w:cs="Calibri" w:eastAsia="Calibri" w:hAnsi="Calibri"/>
        </w:rPr>
        <w:t xml:space="preserve">Appendix A.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8124"/>
      </w:tblGrid>
      <w:tr>
        <w:trPr>
          <w:cantSplit/>
          <w:tblHeader/>
        </w:trPr>
        <w:tc>
          <w:tcPr>
            <w:tcW w:type="dxa" w:w="90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812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Rule</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BR-01</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Every business record carries org_id; no cross-organization reads or writes</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BR-02</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case has one owner, one primary source and at least one party with role applicant</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BR-03</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case cannot move to Applied while mandatory documents for the chosen lender are missing; a Manager may override with a recorded reason</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BR-04</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rejected lender application requires a rejection reason code</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BR-05</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At most one lender application per case is winning, and only a Disbursed application can be winning</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BR-06</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payout expectation is created only when a lender application is Disbursed, using the rule in force on the disbursal date, stored as a snapshot</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BR-07</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payout receipt can be recorded only against a disbursed case; unmatched statement lines remain in an unmatched queue</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BR-08</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Disbursed amount may not exceed sanctioned amount without a recorded override</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BR-09</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Splits for a payout may not total more than 100% of net payout</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BR-10</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If the payout rule has a gating condition, the expectation stays Held until it is met</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BR-11</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 case can be Closed only when payout is received or written off with reason, and the clawback window has elapsed or the case is flagged as accepted risk</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BR-12</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Documents are never hard-deleted by users; deletion means archive</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BR-13</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Payout rule edits are effective-dated and never alter existing snapshots</w:t>
            </w:r>
          </w:p>
        </w:tc>
      </w:tr>
      <w:tr>
        <w:trPr>
          <w:cantSplit/>
          <w:tblHeader w:val="false"/>
        </w:trPr>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BR-14</w:t>
            </w:r>
          </w:p>
        </w:tc>
        <w:tc>
          <w:tcPr>
            <w:tcW w:type="dxa" w:w="81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Status changes follow the allowed-transition table in Appendix C</w:t>
            </w:r>
          </w:p>
        </w:tc>
      </w:tr>
    </w:tbl>
    <w:p>
      <w:pPr>
        <w:spacing w:after="120"/>
      </w:pPr>
    </w:p>
    <w:p>
      <w:pPr>
        <w:pStyle w:val="Heading1"/>
        <w:pageBreakBefore/>
      </w:pPr>
      <w:r>
        <w:rPr>
          <w:rFonts w:ascii="Calibri" w:cs="Calibri" w:eastAsia="Calibri" w:hAnsi="Calibri"/>
        </w:rPr>
        <w:t xml:space="preserve">Appendix B. Role and Permission Matrix</w:t>
      </w:r>
    </w:p>
    <w:p>
      <w:pPr>
        <w:spacing w:after="100" w:line="276"/>
      </w:pPr>
      <w:r>
        <w:rPr>
          <w:rFonts w:ascii="Calibri" w:cs="Calibri" w:eastAsia="Calibri" w:hAnsi="Calibri"/>
          <w:sz w:val="21"/>
          <w:szCs w:val="21"/>
        </w:rPr>
        <w:t xml:space="preserve">Legend: Y = allowed, O = own cases only, R = read only, - = not allowed. Defaults are configurable per organization.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992"/>
        <w:gridCol w:w="992"/>
        <w:gridCol w:w="992"/>
        <w:gridCol w:w="992"/>
        <w:gridCol w:w="992"/>
        <w:gridCol w:w="998"/>
      </w:tblGrid>
      <w:tr>
        <w:trPr>
          <w:cantSplit/>
          <w:tblHeader/>
        </w:trPr>
        <w:tc>
          <w:tcPr>
            <w:tcW w:type="dxa" w:w="30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Capability</w:t>
            </w:r>
          </w:p>
        </w:tc>
        <w:tc>
          <w:tcPr>
            <w:tcW w:type="dxa" w:w="99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Owner</w:t>
            </w:r>
          </w:p>
        </w:tc>
        <w:tc>
          <w:tcPr>
            <w:tcW w:type="dxa" w:w="99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Manager</w:t>
            </w:r>
          </w:p>
        </w:tc>
        <w:tc>
          <w:tcPr>
            <w:tcW w:type="dxa" w:w="99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Processor</w:t>
            </w:r>
          </w:p>
        </w:tc>
        <w:tc>
          <w:tcPr>
            <w:tcW w:type="dxa" w:w="99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Field exec</w:t>
            </w:r>
          </w:p>
        </w:tc>
        <w:tc>
          <w:tcPr>
            <w:tcW w:type="dxa" w:w="99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Accountant</w:t>
            </w:r>
          </w:p>
        </w:tc>
        <w:tc>
          <w:tcPr>
            <w:tcW w:type="dxa" w:w="99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Auditor</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Create party or case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View cases</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All</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All</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All</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Edit case or lender application</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Change case status</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Limited</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Upload documents</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View or download documents</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 (logged)</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Archive document</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Reveal masked PAN or bank details</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View payout amounts and rules</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Optional</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Edit payout rules or override expectation</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 (reason)</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Import statements, reconcile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Manage sources and splits</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View team performance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Own</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Export data</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Manage users and roles</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View audit log</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99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Y</w:t>
            </w:r>
          </w:p>
        </w:tc>
      </w:tr>
    </w:tbl>
    <w:p>
      <w:pPr>
        <w:spacing w:after="120"/>
      </w:pPr>
    </w:p>
    <w:p>
      <w:pPr>
        <w:pStyle w:val="Heading1"/>
        <w:pageBreakBefore/>
      </w:pPr>
      <w:r>
        <w:rPr>
          <w:rFonts w:ascii="Calibri" w:cs="Calibri" w:eastAsia="Calibri" w:hAnsi="Calibri"/>
        </w:rPr>
        <w:t xml:space="preserve">Appendix C. State Machines</w:t>
      </w:r>
    </w:p>
    <w:p>
      <w:pPr>
        <w:pStyle w:val="Heading2"/>
      </w:pPr>
      <w:r>
        <w:rPr>
          <w:rFonts w:ascii="Calibri" w:cs="Calibri" w:eastAsia="Calibri" w:hAnsi="Calibri"/>
        </w:rPr>
        <w:t xml:space="preserve">C.1 Case status</w:t>
      </w:r>
    </w:p>
    <w:p>
      <w:pPr>
        <w:shd w:fill="F2F2F2" w:color="auto" w:val="clear"/>
        <w:spacing w:after="0"/>
      </w:pPr>
      <w:r>
        <w:rPr>
          <w:rFonts w:ascii="Consolas" w:cs="Consolas" w:eastAsia="Consolas" w:hAnsi="Consolas"/>
          <w:sz w:val="17"/>
          <w:szCs w:val="17"/>
        </w:rPr>
        <w:t xml:space="preserve">Lead -&gt; Screening -&gt; Collecting Docs -&gt; Docs Complete -&gt; Applied</w:t>
      </w:r>
    </w:p>
    <w:p>
      <w:pPr>
        <w:shd w:fill="F2F2F2" w:color="auto" w:val="clear"/>
        <w:spacing w:after="0"/>
      </w:pPr>
      <w:r>
        <w:rPr>
          <w:rFonts w:ascii="Consolas" w:cs="Consolas" w:eastAsia="Consolas" w:hAnsi="Consolas"/>
          <w:sz w:val="17"/>
          <w:szCs w:val="17"/>
        </w:rPr>
        <w:t xml:space="preserve">Applied -&gt; Sanctioned -&gt; Pre-disbursal -&gt; Disbursed -&gt; Post-disbursal</w:t>
      </w:r>
    </w:p>
    <w:p>
      <w:pPr>
        <w:shd w:fill="F2F2F2" w:color="auto" w:val="clear"/>
        <w:spacing w:after="0"/>
      </w:pPr>
      <w:r>
        <w:rPr>
          <w:rFonts w:ascii="Consolas" w:cs="Consolas" w:eastAsia="Consolas" w:hAnsi="Consolas"/>
          <w:sz w:val="17"/>
          <w:szCs w:val="17"/>
        </w:rPr>
        <w:t xml:space="preserve">Post-disbursal -&gt; Payout Pending -&gt; Payout Received -&gt; Closed</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Exits:</w:t>
      </w:r>
    </w:p>
    <w:p>
      <w:pPr>
        <w:shd w:fill="F2F2F2" w:color="auto" w:val="clear"/>
        <w:spacing w:after="0"/>
      </w:pPr>
      <w:r>
        <w:rPr>
          <w:rFonts w:ascii="Consolas" w:cs="Consolas" w:eastAsia="Consolas" w:hAnsi="Consolas"/>
          <w:sz w:val="17"/>
          <w:szCs w:val="17"/>
        </w:rPr>
        <w:t xml:space="preserve">  Lead..Applied            -&gt; Customer Dropped (reason required)</w:t>
      </w:r>
    </w:p>
    <w:p>
      <w:pPr>
        <w:shd w:fill="F2F2F2" w:color="auto" w:val="clear"/>
        <w:spacing w:after="0"/>
      </w:pPr>
      <w:r>
        <w:rPr>
          <w:rFonts w:ascii="Consolas" w:cs="Consolas" w:eastAsia="Consolas" w:hAnsi="Consolas"/>
          <w:sz w:val="17"/>
          <w:szCs w:val="17"/>
        </w:rPr>
        <w:t xml:space="preserve">  Applied                  -&gt; All Rejected -&gt; Rework -&gt; Applied | Closed</w:t>
      </w:r>
    </w:p>
    <w:p>
      <w:pPr>
        <w:shd w:fill="F2F2F2" w:color="auto" w:val="clear"/>
        <w:spacing w:after="0"/>
      </w:pPr>
      <w:r>
        <w:rPr>
          <w:rFonts w:ascii="Consolas" w:cs="Consolas" w:eastAsia="Consolas" w:hAnsi="Consolas"/>
          <w:sz w:val="17"/>
          <w:szCs w:val="17"/>
        </w:rPr>
        <w:t xml:space="preserve">  Sanctioned/Pre-disbursal -&gt; Cancelled</w:t>
      </w:r>
    </w:p>
    <w:p>
      <w:pPr>
        <w:shd w:fill="F2F2F2" w:color="auto" w:val="clear"/>
        <w:spacing w:after="0"/>
      </w:pPr>
      <w:r>
        <w:rPr>
          <w:rFonts w:ascii="Consolas" w:cs="Consolas" w:eastAsia="Consolas" w:hAnsi="Consolas"/>
          <w:sz w:val="17"/>
          <w:szCs w:val="17"/>
        </w:rPr>
        <w:t xml:space="preserve">  Disbursed or later       -&gt; Cancelled after disbursal (opens clawback review)</w:t>
      </w:r>
    </w:p>
    <w:p>
      <w:pPr>
        <w:shd w:fill="F2F2F2" w:color="auto" w:val="clear"/>
        <w:spacing w:after="0"/>
      </w:pPr>
      <w:r>
        <w:rPr>
          <w:rFonts w:ascii="Consolas" w:cs="Consolas" w:eastAsia="Consolas" w:hAnsi="Consolas"/>
          <w:sz w:val="17"/>
          <w:szCs w:val="17"/>
        </w:rPr>
        <w:t xml:space="preserve">Backward: Docs Complete -&gt; Collecting Docs when a document is rejected or expires (reason required)</w:t>
      </w:r>
    </w:p>
    <w:p>
      <w:pPr>
        <w:spacing w:after="100"/>
      </w:pPr>
    </w:p>
    <w:p>
      <w:pPr>
        <w:pStyle w:val="Heading2"/>
      </w:pPr>
      <w:r>
        <w:rPr>
          <w:rFonts w:ascii="Calibri" w:cs="Calibri" w:eastAsia="Calibri" w:hAnsi="Calibri"/>
        </w:rPr>
        <w:t xml:space="preserve">C.2 Lender application status</w:t>
      </w:r>
    </w:p>
    <w:p>
      <w:pPr>
        <w:shd w:fill="F2F2F2" w:color="auto" w:val="clear"/>
        <w:spacing w:after="0"/>
      </w:pPr>
      <w:r>
        <w:rPr>
          <w:rFonts w:ascii="Consolas" w:cs="Consolas" w:eastAsia="Consolas" w:hAnsi="Consolas"/>
          <w:sz w:val="17"/>
          <w:szCs w:val="17"/>
        </w:rPr>
        <w:t xml:space="preserve">Logged In -&gt; Under Verification &lt;-&gt; Query Raised</w:t>
      </w:r>
    </w:p>
    <w:p>
      <w:pPr>
        <w:shd w:fill="F2F2F2" w:color="auto" w:val="clear"/>
        <w:spacing w:after="0"/>
      </w:pPr>
      <w:r>
        <w:rPr>
          <w:rFonts w:ascii="Consolas" w:cs="Consolas" w:eastAsia="Consolas" w:hAnsi="Consolas"/>
          <w:sz w:val="17"/>
          <w:szCs w:val="17"/>
        </w:rPr>
        <w:t xml:space="preserve">Under Verification -&gt; Sanctioned -&gt; Accepted by Customer -&gt; Disbursed</w:t>
      </w:r>
    </w:p>
    <w:p>
      <w:pPr>
        <w:shd w:fill="F2F2F2" w:color="auto" w:val="clear"/>
        <w:spacing w:after="0"/>
      </w:pPr>
      <w:r>
        <w:rPr>
          <w:rFonts w:ascii="Consolas" w:cs="Consolas" w:eastAsia="Consolas" w:hAnsi="Consolas"/>
          <w:sz w:val="17"/>
          <w:szCs w:val="17"/>
        </w:rPr>
        <w:t xml:space="preserve">Exits: Rejected (reason code), Declined by Customer, Cancelled</w:t>
      </w:r>
    </w:p>
    <w:p>
      <w:pPr>
        <w:spacing w:after="100"/>
      </w:pPr>
    </w:p>
    <w:p>
      <w:pPr>
        <w:pStyle w:val="Heading2"/>
      </w:pPr>
      <w:r>
        <w:rPr>
          <w:rFonts w:ascii="Calibri" w:cs="Calibri" w:eastAsia="Calibri" w:hAnsi="Calibri"/>
        </w:rPr>
        <w:t xml:space="preserve">C.3 Document status</w:t>
      </w:r>
    </w:p>
    <w:p>
      <w:pPr>
        <w:shd w:fill="F2F2F2" w:color="auto" w:val="clear"/>
        <w:spacing w:after="0"/>
      </w:pPr>
      <w:r>
        <w:rPr>
          <w:rFonts w:ascii="Consolas" w:cs="Consolas" w:eastAsia="Consolas" w:hAnsi="Consolas"/>
          <w:sz w:val="17"/>
          <w:szCs w:val="17"/>
        </w:rPr>
        <w:t xml:space="preserve">Requested -&gt; Received -&gt; Under Review -&gt; Verified | Rejected</w:t>
      </w:r>
    </w:p>
    <w:p>
      <w:pPr>
        <w:shd w:fill="F2F2F2" w:color="auto" w:val="clear"/>
        <w:spacing w:after="0"/>
      </w:pPr>
      <w:r>
        <w:rPr>
          <w:rFonts w:ascii="Consolas" w:cs="Consolas" w:eastAsia="Consolas" w:hAnsi="Consolas"/>
          <w:sz w:val="17"/>
          <w:szCs w:val="17"/>
        </w:rPr>
        <w:t xml:space="preserve">Rejected -&gt; Requested (new version on replace)</w:t>
      </w:r>
    </w:p>
    <w:p>
      <w:pPr>
        <w:shd w:fill="F2F2F2" w:color="auto" w:val="clear"/>
        <w:spacing w:after="0"/>
      </w:pPr>
      <w:r>
        <w:rPr>
          <w:rFonts w:ascii="Consolas" w:cs="Consolas" w:eastAsia="Consolas" w:hAnsi="Consolas"/>
          <w:sz w:val="17"/>
          <w:szCs w:val="17"/>
        </w:rPr>
        <w:t xml:space="preserve">Any -&gt; Expired (automatic by validity)  |  Any -&gt; Archived</w:t>
      </w:r>
    </w:p>
    <w:p>
      <w:pPr>
        <w:spacing w:after="100"/>
      </w:pPr>
    </w:p>
    <w:p>
      <w:pPr>
        <w:pStyle w:val="Heading2"/>
      </w:pPr>
      <w:r>
        <w:rPr>
          <w:rFonts w:ascii="Calibri" w:cs="Calibri" w:eastAsia="Calibri" w:hAnsi="Calibri"/>
        </w:rPr>
        <w:t xml:space="preserve">C.4 Payout expectation</w:t>
      </w:r>
    </w:p>
    <w:p>
      <w:pPr>
        <w:shd w:fill="F2F2F2" w:color="auto" w:val="clear"/>
        <w:spacing w:after="0"/>
      </w:pPr>
      <w:r>
        <w:rPr>
          <w:rFonts w:ascii="Consolas" w:cs="Consolas" w:eastAsia="Consolas" w:hAnsi="Consolas"/>
          <w:sz w:val="17"/>
          <w:szCs w:val="17"/>
        </w:rPr>
        <w:t xml:space="preserve">(Disbursed) -&gt; No rule | Held -&gt; Due -&gt; Received -&gt; Reconciled</w:t>
      </w:r>
    </w:p>
    <w:p>
      <w:pPr>
        <w:shd w:fill="F2F2F2" w:color="auto" w:val="clear"/>
        <w:spacing w:after="0"/>
      </w:pPr>
      <w:r>
        <w:rPr>
          <w:rFonts w:ascii="Consolas" w:cs="Consolas" w:eastAsia="Consolas" w:hAnsi="Consolas"/>
          <w:sz w:val="17"/>
          <w:szCs w:val="17"/>
        </w:rPr>
        <w:t xml:space="preserve">Received/Reconciled -&gt; Clawed back (within clawback window)</w:t>
      </w:r>
    </w:p>
    <w:p>
      <w:pPr>
        <w:spacing w:after="100"/>
      </w:pPr>
    </w:p>
    <w:p>
      <w:pPr>
        <w:spacing w:after="100" w:line="276"/>
      </w:pPr>
      <w:r>
        <w:rPr>
          <w:rFonts w:ascii="Calibri" w:cs="Calibri" w:eastAsia="Calibri" w:hAnsi="Calibri"/>
          <w:sz w:val="21"/>
          <w:szCs w:val="21"/>
        </w:rPr>
        <w:t xml:space="preserve">Statuses and SLAs are configurable per organization (FR-WFL-002); the transitions above are the default configuration.</w:t>
      </w:r>
    </w:p>
    <w:p>
      <w:pPr>
        <w:pStyle w:val="Heading1"/>
        <w:pageBreakBefore/>
      </w:pPr>
      <w:r>
        <w:rPr>
          <w:rFonts w:ascii="Calibri" w:cs="Calibri" w:eastAsia="Calibri" w:hAnsi="Calibri"/>
        </w:rPr>
        <w:t xml:space="preserve">Appendix D. Audit Specification</w:t>
      </w:r>
    </w:p>
    <w:p>
      <w:pPr>
        <w:spacing w:after="100" w:line="276"/>
      </w:pPr>
      <w:r>
        <w:rPr>
          <w:rFonts w:ascii="Calibri" w:cs="Calibri" w:eastAsia="Calibri" w:hAnsi="Calibri"/>
          <w:sz w:val="21"/>
          <w:szCs w:val="21"/>
        </w:rPr>
        <w:t xml:space="preserve">Each audit record stores: who (user and role), what (action, entity type and ID), when (UTC), old and new values (sensitive fields redacted or hashed), where (IP, device), and why (reason where required).</w:t>
      </w:r>
    </w:p>
    <w:p>
      <w:pPr>
        <w:spacing w:after="100" w:line="276"/>
      </w:pPr>
      <w:r>
        <w:rPr>
          <w:rFonts w:ascii="Calibri" w:cs="Calibri" w:eastAsia="Calibri" w:hAnsi="Calibri"/>
          <w:sz w:val="21"/>
          <w:szCs w:val="21"/>
        </w:rPr>
        <w:t xml:space="preserve">Always audited:</w:t>
      </w:r>
    </w:p>
    <w:p>
      <w:pPr>
        <w:pStyle w:val="ListParagraph"/>
        <w:numPr>
          <w:ilvl w:val="0"/>
          <w:numId w:val="2"/>
        </w:numPr>
        <w:spacing w:after="60"/>
      </w:pPr>
      <w:r>
        <w:rPr>
          <w:rFonts w:ascii="Calibri" w:cs="Calibri" w:eastAsia="Calibri" w:hAnsi="Calibri"/>
          <w:sz w:val="21"/>
          <w:szCs w:val="21"/>
        </w:rPr>
        <w:t xml:space="preserve">Logins, failed logins, lockouts and two-factor events</w:t>
      </w:r>
    </w:p>
    <w:p>
      <w:pPr>
        <w:pStyle w:val="ListParagraph"/>
        <w:numPr>
          <w:ilvl w:val="0"/>
          <w:numId w:val="2"/>
        </w:numPr>
        <w:spacing w:after="60"/>
      </w:pPr>
      <w:r>
        <w:rPr>
          <w:rFonts w:ascii="Calibri" w:cs="Calibri" w:eastAsia="Calibri" w:hAnsi="Calibri"/>
          <w:sz w:val="21"/>
          <w:szCs w:val="21"/>
        </w:rPr>
        <w:t xml:space="preserve">Status changes and overrides (documents mandatory check, disbursal amount, payout expectation)</w:t>
      </w:r>
    </w:p>
    <w:p>
      <w:pPr>
        <w:pStyle w:val="ListParagraph"/>
        <w:numPr>
          <w:ilvl w:val="0"/>
          <w:numId w:val="2"/>
        </w:numPr>
        <w:spacing w:after="60"/>
      </w:pPr>
      <w:r>
        <w:rPr>
          <w:rFonts w:ascii="Calibri" w:cs="Calibri" w:eastAsia="Calibri" w:hAnsi="Calibri"/>
          <w:sz w:val="21"/>
          <w:szCs w:val="21"/>
        </w:rPr>
        <w:t xml:space="preserve">Document upload, view, download, replace, archive and restore</w:t>
      </w:r>
    </w:p>
    <w:p>
      <w:pPr>
        <w:pStyle w:val="ListParagraph"/>
        <w:numPr>
          <w:ilvl w:val="0"/>
          <w:numId w:val="2"/>
        </w:numPr>
        <w:spacing w:after="60"/>
      </w:pPr>
      <w:r>
        <w:rPr>
          <w:rFonts w:ascii="Calibri" w:cs="Calibri" w:eastAsia="Calibri" w:hAnsi="Calibri"/>
          <w:sz w:val="21"/>
          <w:szCs w:val="21"/>
        </w:rPr>
        <w:t xml:space="preserve">Party, case, vehicle and source edits</w:t>
      </w:r>
    </w:p>
    <w:p>
      <w:pPr>
        <w:pStyle w:val="ListParagraph"/>
        <w:numPr>
          <w:ilvl w:val="0"/>
          <w:numId w:val="2"/>
        </w:numPr>
        <w:spacing w:after="60"/>
      </w:pPr>
      <w:r>
        <w:rPr>
          <w:rFonts w:ascii="Calibri" w:cs="Calibri" w:eastAsia="Calibri" w:hAnsi="Calibri"/>
          <w:sz w:val="21"/>
          <w:szCs w:val="21"/>
        </w:rPr>
        <w:t xml:space="preserve">Payout rule changes, expectations, receipts, reconciliation resolutions, clawbacks and splits</w:t>
      </w:r>
    </w:p>
    <w:p>
      <w:pPr>
        <w:pStyle w:val="ListParagraph"/>
        <w:numPr>
          <w:ilvl w:val="0"/>
          <w:numId w:val="2"/>
        </w:numPr>
        <w:spacing w:after="60"/>
      </w:pPr>
      <w:r>
        <w:rPr>
          <w:rFonts w:ascii="Calibri" w:cs="Calibri" w:eastAsia="Calibri" w:hAnsi="Calibri"/>
          <w:sz w:val="21"/>
          <w:szCs w:val="21"/>
        </w:rPr>
        <w:t xml:space="preserve">Masked-field reveals</w:t>
      </w:r>
    </w:p>
    <w:p>
      <w:pPr>
        <w:pStyle w:val="ListParagraph"/>
        <w:numPr>
          <w:ilvl w:val="0"/>
          <w:numId w:val="2"/>
        </w:numPr>
        <w:spacing w:after="60"/>
      </w:pPr>
      <w:r>
        <w:rPr>
          <w:rFonts w:ascii="Calibri" w:cs="Calibri" w:eastAsia="Calibri" w:hAnsi="Calibri"/>
          <w:sz w:val="21"/>
          <w:szCs w:val="21"/>
        </w:rPr>
        <w:t xml:space="preserve">Exports and imports</w:t>
      </w:r>
    </w:p>
    <w:p>
      <w:pPr>
        <w:pStyle w:val="ListParagraph"/>
        <w:numPr>
          <w:ilvl w:val="0"/>
          <w:numId w:val="2"/>
        </w:numPr>
        <w:spacing w:after="60"/>
      </w:pPr>
      <w:r>
        <w:rPr>
          <w:rFonts w:ascii="Calibri" w:cs="Calibri" w:eastAsia="Calibri" w:hAnsi="Calibri"/>
          <w:sz w:val="21"/>
          <w:szCs w:val="21"/>
        </w:rPr>
        <w:t xml:space="preserve">User, role and permission changes</w:t>
      </w:r>
    </w:p>
    <w:p>
      <w:pPr>
        <w:pStyle w:val="ListParagraph"/>
        <w:numPr>
          <w:ilvl w:val="0"/>
          <w:numId w:val="2"/>
        </w:numPr>
        <w:spacing w:after="60"/>
      </w:pPr>
      <w:r>
        <w:rPr>
          <w:rFonts w:ascii="Calibri" w:cs="Calibri" w:eastAsia="Calibri" w:hAnsi="Calibri"/>
          <w:sz w:val="21"/>
          <w:szCs w:val="21"/>
        </w:rPr>
        <w:t xml:space="preserve">Consent capture and withdrawal, data-subject requests, deletions</w:t>
      </w:r>
    </w:p>
    <w:p>
      <w:pPr>
        <w:spacing w:after="100" w:line="276"/>
      </w:pPr>
      <w:r>
        <w:rPr>
          <w:rFonts w:ascii="Calibri" w:cs="Calibri" w:eastAsia="Calibri" w:hAnsi="Calibri"/>
          <w:sz w:val="21"/>
          <w:szCs w:val="21"/>
        </w:rPr>
        <w:t xml:space="preserve">Audit tables are append-only for application roles and retained for a period agreed with advisers (LEG-004).</w:t>
      </w:r>
    </w:p>
    <w:p>
      <w:pPr>
        <w:pStyle w:val="Heading1"/>
        <w:pageBreakBefore/>
      </w:pPr>
      <w:r>
        <w:rPr>
          <w:rFonts w:ascii="Calibri" w:cs="Calibri" w:eastAsia="Calibri" w:hAnsi="Calibri"/>
        </w:rPr>
        <w:t xml:space="preserve">Appendix E. Error Handling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Situation</w:t>
            </w:r>
          </w:p>
        </w:tc>
        <w:tc>
          <w:tcPr>
            <w:tcW w:type="dxa" w:w="61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Required behaviour</w:t>
            </w:r>
          </w:p>
        </w:tc>
      </w:tr>
      <w:tr>
        <w:trPr>
          <w:cantSplit/>
          <w:tblHeader w:val="false"/>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Upload fails or connection drops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Resumable upload with progress; partial files discarded; user told which files failed</w:t>
            </w:r>
          </w:p>
        </w:tc>
      </w:tr>
      <w:tr>
        <w:trPr>
          <w:cantSplit/>
          <w:tblHeader w:val="false"/>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File too large, wrong type or malware found</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Rejected with a clear message; event logged; nothing stored</w:t>
            </w:r>
          </w:p>
        </w:tc>
      </w:tr>
      <w:tr>
        <w:trPr>
          <w:cantSplit/>
          <w:tblHeader w:val="false"/>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Duplicate party or vehicle number</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Warning with link to the existing record; user may proceed with a reason</w:t>
            </w:r>
          </w:p>
        </w:tc>
      </w:tr>
      <w:tr>
        <w:trPr>
          <w:cantSplit/>
          <w:tblHeader w:val="false"/>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Two users edit the same case</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Optimistic locking; second save shows refresh or merge prompt and never silently overwrites</w:t>
            </w:r>
          </w:p>
        </w:tc>
      </w:tr>
      <w:tr>
        <w:trPr>
          <w:cantSplit/>
          <w:tblHeader w:val="false"/>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Session expires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Unsaved form data preserved locally; user re-authenticates and resumes</w:t>
            </w:r>
          </w:p>
        </w:tc>
      </w:tr>
      <w:tr>
        <w:trPr>
          <w:cantSplit/>
          <w:tblHeader w:val="false"/>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Database or storage unavailable</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Friendly error with retry; transactions prevent partial writes; operator alert</w:t>
            </w:r>
          </w:p>
        </w:tc>
      </w:tr>
      <w:tr>
        <w:trPr>
          <w:cantSplit/>
          <w:tblHeader w:val="false"/>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Invalid status transition</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HTTP 409 with reason and allowed next states</w:t>
            </w:r>
          </w:p>
        </w:tc>
      </w:tr>
      <w:tr>
        <w:trPr>
          <w:cantSplit/>
          <w:tblHeader w:val="false"/>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Statement import with bad rows</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Dry-run report; valid rows importable; invalid rows exported with errors</w:t>
            </w:r>
          </w:p>
        </w:tc>
      </w:tr>
      <w:tr>
        <w:trPr>
          <w:cantSplit/>
          <w:tblHeader w:val="false"/>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Payout rule missing for a disbursed case</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Expectation flagged No rule and listed on the attention list</w:t>
            </w:r>
          </w:p>
        </w:tc>
      </w:tr>
      <w:tr>
        <w:trPr>
          <w:cantSplit/>
          <w:tblHeader w:val="false"/>
        </w:trP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Unauthorised access attempt</w:t>
            </w:r>
          </w:p>
        </w:tc>
        <w:tc>
          <w:tcPr>
            <w:tcW w:type="dxa" w:w="61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HTTP 403, no data returned, event logged; repeated attempts raise an alert</w:t>
            </w:r>
          </w:p>
        </w:tc>
      </w:tr>
    </w:tbl>
    <w:p>
      <w:pPr>
        <w:spacing w:after="120"/>
      </w:pPr>
    </w:p>
    <w:p>
      <w:pPr>
        <w:pStyle w:val="Heading1"/>
        <w:pageBreakBefore/>
      </w:pPr>
      <w:r>
        <w:rPr>
          <w:rFonts w:ascii="Calibri" w:cs="Calibri" w:eastAsia="Calibri" w:hAnsi="Calibri"/>
        </w:rPr>
        <w:t xml:space="preserve">Appendix F. Open Items (TBD)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3"/>
        <w:gridCol w:w="1805"/>
        <w:gridCol w:w="1806"/>
      </w:tblGrid>
      <w:tr>
        <w:trPr>
          <w:cantSplit/>
          <w:tblHeader/>
        </w:trPr>
        <w:tc>
          <w:tcPr>
            <w:tcW w:type="dxa" w:w="7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ID</w:t>
            </w:r>
          </w:p>
        </w:tc>
        <w:tc>
          <w:tcPr>
            <w:tcW w:type="dxa" w:w="469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Item</w:t>
            </w:r>
          </w:p>
        </w:tc>
        <w:tc>
          <w:tcPr>
            <w:tcW w:type="dxa" w:w="180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Owner</w:t>
            </w:r>
          </w:p>
        </w:tc>
        <w:tc>
          <w:tcPr>
            <w:tcW w:type="dxa" w:w="180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Needed by</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TBD-1</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Final case and lender statuses, rejection reason codes, SLAs per stage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Pilot DSA</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M0</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TBD-2</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Payout rule structures and statement formats from real samples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Pilot DSA</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M0</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TBD-3</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OTC and PDD terminology and gating conditions in use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Pilot DSA</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M0</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TBD-4</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Retention periods and consent wording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Legal and CA</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M2</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TBD-5</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GST and TDS treatment for the pilot DSA</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CA</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M2</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TBD-6</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Hosting model (managed India region or DSA-controlled)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Product owner</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M2</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TBD-7</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Whether a back-office-only tool avoids LSP obligations under the pilot lenders' contracts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Legal</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M1</w:t>
            </w:r>
          </w:p>
        </w:tc>
      </w:tr>
      <w:tr>
        <w:trPr>
          <w:cantSplit/>
          <w:tblHeader w:val="false"/>
        </w:trP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TBD-8</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Document-type catalogue and per-lender checklist rules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Pilot DSA</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M1</w:t>
            </w:r>
          </w:p>
        </w:tc>
      </w:tr>
    </w:tbl>
    <w:p>
      <w:pPr>
        <w:spacing w:after="120"/>
      </w:pPr>
    </w:p>
    <w:p>
      <w:pPr>
        <w:pStyle w:val="Heading1"/>
        <w:pageBreakBefore/>
      </w:pPr>
      <w:r>
        <w:rPr>
          <w:rFonts w:ascii="Calibri" w:cs="Calibri" w:eastAsia="Calibri" w:hAnsi="Calibri"/>
        </w:rPr>
        <w:t xml:space="preserve">Appendix G. Data Dictionary (to be produced)</w:t>
      </w:r>
    </w:p>
    <w:p>
      <w:pPr>
        <w:spacing w:after="100" w:line="276"/>
      </w:pPr>
      <w:r>
        <w:rPr>
          <w:rFonts w:ascii="Calibri" w:cs="Calibri" w:eastAsia="Calibri" w:hAnsi="Calibri"/>
          <w:sz w:val="21"/>
          <w:szCs w:val="21"/>
        </w:rPr>
        <w:t xml:space="preserve">The data dictionary lists, for every field of every entity in Section 3.4.2: name, type, required, validation, example, source, editable and sensitivity class. It will be delivered as a companion spreadsheet before milestone M2 exit and is part of the baseline for development and test.</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7F7F7F"/>
        <w:sz w:val="16"/>
        <w:szCs w:val="16"/>
      </w:rPr>
      <w:t xml:space="preserve">DSA OS SRS  |  SRS-DSAOS-001  |  v1.0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DSA OS Program</dc:creator>
  <cp:lastModifiedBy>Un-named</cp:lastModifiedBy>
  <cp:revision>1</cp:revision>
  <dcterms:created xsi:type="dcterms:W3CDTF">2026-10-03T23:05:58.116Z</dcterms:created>
  <dcterms:modified xsi:type="dcterms:W3CDTF">2026-10-03T23:05:58.117Z</dcterms:modified>
</cp:coreProperties>
</file>

<file path=docProps/custom.xml><?xml version="1.0" encoding="utf-8"?>
<Properties xmlns="http://schemas.openxmlformats.org/officeDocument/2006/custom-properties" xmlns:vt="http://schemas.openxmlformats.org/officeDocument/2006/docPropsVTypes"/>
</file>