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CONTROLLED WORKLOAD DATASET</w:t>
      </w:r>
    </w:p>
    <w:p>
      <w:pPr>
        <w:jc w:val="center"/>
      </w:pPr>
      <w:r>
        <w:rPr>
          <w:i/>
          <w:sz w:val="22"/>
        </w:rPr>
        <w:t>Four-process workload used for the direct FCFS comparison</w:t>
      </w:r>
    </w:p>
    <w:p>
      <w:pPr>
        <w:pStyle w:val="Heading1"/>
      </w:pPr>
      <w:r>
        <w:t>1. Dataset Purpose</w:t>
      </w:r>
    </w:p>
    <w:p>
      <w:r>
        <w:t>This controlled workload is supplied to both conventional FCFS and carbon-aware FCFS. Keeping the workload identical isolates the effect of the carbon-aware scheduling policy.</w:t>
      </w:r>
    </w:p>
    <w:p>
      <w:pPr>
        <w:pStyle w:val="Heading1"/>
      </w:pPr>
      <w:r>
        <w:t>2.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PID</w:t>
            </w:r>
          </w:p>
        </w:tc>
        <w:tc>
          <w:tcPr>
            <w:tcW w:type="dxa" w:w="2484"/>
          </w:tcPr>
          <w:p>
            <w:r>
              <w:t>Arrival Time (s)</w:t>
            </w:r>
          </w:p>
        </w:tc>
        <w:tc>
          <w:tcPr>
            <w:tcW w:type="dxa" w:w="2484"/>
          </w:tcPr>
          <w:p>
            <w:r>
              <w:t>Burst Time (s)</w:t>
            </w:r>
          </w:p>
        </w:tc>
        <w:tc>
          <w:tcPr>
            <w:tcW w:type="dxa" w:w="2484"/>
          </w:tcPr>
          <w:p>
            <w:r>
              <w:t>Deadline (s)</w:t>
            </w:r>
          </w:p>
        </w:tc>
      </w:tr>
      <w:tr>
        <w:tc>
          <w:tcPr>
            <w:tcW w:type="dxa" w:w="2484"/>
          </w:tcPr>
          <w:p>
            <w:r>
              <w:t>0</w:t>
            </w:r>
          </w:p>
        </w:tc>
        <w:tc>
          <w:tcPr>
            <w:tcW w:type="dxa" w:w="2484"/>
          </w:tcPr>
          <w:p>
            <w:r>
              <w:t>0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10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12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15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20</w:t>
            </w:r>
          </w:p>
        </w:tc>
      </w:tr>
    </w:tbl>
    <w:p>
      <w:pPr>
        <w:pStyle w:val="Heading1"/>
      </w:pPr>
      <w:r>
        <w:t>3. Raw Input for Current `fcfs.c`</w:t>
      </w:r>
    </w:p>
    <w:p>
      <w:r>
        <w:rPr>
          <w:rFonts w:ascii="Consolas" w:hAnsi="Consolas"/>
          <w:sz w:val="20"/>
        </w:rPr>
        <w:t>4</w:t>
        <w:br/>
        <w:t>0 0 3 10</w:t>
        <w:br/>
        <w:t>1 1 2 12</w:t>
        <w:br/>
        <w:t>2 2 4 15</w:t>
        <w:br/>
        <w:t>3 3 2 20</w:t>
      </w:r>
    </w:p>
    <w:p>
      <w:pPr>
        <w:pStyle w:val="Heading1"/>
      </w:pPr>
      <w:r>
        <w:t>4. Field Definitions</w:t>
      </w:r>
    </w:p>
    <w:p>
      <w:r>
        <w:t>PID — process identifier</w:t>
        <w:br/>
        <w:t>Arrival Time — time at which the process becomes available</w:t>
        <w:br/>
        <w:t>Burst Time — CPU service time required</w:t>
        <w:br/>
        <w:t>Deadline — latest permitted completion time</w:t>
      </w:r>
    </w:p>
    <w:p>
      <w:pPr>
        <w:pStyle w:val="Heading1"/>
      </w:pPr>
      <w:r>
        <w:t>5. Experimental Role</w:t>
      </w:r>
    </w:p>
    <w:p>
      <w:r>
        <w:t>This is the small controlled workload used to demonstrate and compare scheduling behavior, timing metrics, energy and carbon emissions. It represents simulated CPU work rather than physical CPU measurements.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ENERGY-OPTIMAL TASK SCHEDULING USING CARBON-AWARE COMPUTING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