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6 code review: walkthrough and files to show</w:t>
      </w:r>
    </w:p>
    <w:p>
      <w:r>
        <w:t>Say it in this order. Times are rough.</w:t>
      </w:r>
    </w:p>
    <w:p>
      <w:pPr>
        <w:pStyle w:val="Heading1"/>
      </w:pPr>
      <w:r>
        <w:t>1. Code structure (about 2 min)</w:t>
      </w:r>
    </w:p>
    <w:p>
      <w:pPr>
        <w:pStyle w:val="ListBullet"/>
      </w:pPr>
      <w:r>
        <w:rPr>
          <w:rFonts w:ascii="Consolas" w:hAnsi="Consolas"/>
          <w:color w:val="1F3A5F"/>
          <w:sz w:val="20"/>
        </w:rPr>
        <w:t>backend/src/main/java/com/setu/</w:t>
      </w:r>
      <w:r>
        <w:t xml:space="preserve">: one Spring Boot codebase (a modular monolith, Spring Modulith). One package per module: identity, directory, institution, catalog, enrollment, attendance, learning, assessment, record, finance, career, risk, aiexplain, notification, analytics. </w:t>
      </w:r>
      <w:r>
        <w:rPr>
          <w:rFonts w:ascii="Consolas" w:hAnsi="Consolas"/>
          <w:color w:val="1F3A5F"/>
          <w:sz w:val="20"/>
        </w:rPr>
        <w:t>shared/</w:t>
      </w:r>
      <w:r>
        <w:t xml:space="preserve"> holds common pieces, </w:t>
      </w:r>
      <w:r>
        <w:rPr>
          <w:rFonts w:ascii="Consolas" w:hAnsi="Consolas"/>
          <w:color w:val="1F3A5F"/>
          <w:sz w:val="20"/>
        </w:rPr>
        <w:t>gateway/</w:t>
      </w:r>
      <w:r>
        <w:t xml:space="preserve"> is the edge. An architecture test fails the build if one module reads another module's repository.</w:t>
      </w:r>
    </w:p>
    <w:p>
      <w:pPr>
        <w:pStyle w:val="ListBullet"/>
      </w:pPr>
      <w:r>
        <w:rPr>
          <w:rFonts w:ascii="Consolas" w:hAnsi="Consolas"/>
          <w:color w:val="1F3A5F"/>
          <w:sz w:val="20"/>
        </w:rPr>
        <w:t>infra/db/migrations</w:t>
      </w:r>
      <w:r>
        <w:t xml:space="preserve">: Flyway SQL, one schema per module. New: </w:t>
      </w:r>
      <w:r>
        <w:rPr>
          <w:rFonts w:ascii="Consolas" w:hAnsi="Consolas"/>
          <w:color w:val="1F3A5F"/>
          <w:sz w:val="20"/>
        </w:rPr>
        <w:t>infra/db/services/&lt;service&gt;</w:t>
      </w:r>
      <w:r>
        <w:t xml:space="preserve"> (a service's own migrations) and </w:t>
      </w:r>
      <w:r>
        <w:rPr>
          <w:rFonts w:ascii="Consolas" w:hAnsi="Consolas"/>
          <w:color w:val="1F3A5F"/>
          <w:sz w:val="20"/>
        </w:rPr>
        <w:t>infra/db/platform</w:t>
      </w:r>
      <w:r>
        <w:t xml:space="preserve"> (tables every database carries). </w:t>
      </w:r>
      <w:r>
        <w:rPr>
          <w:rFonts w:ascii="Consolas" w:hAnsi="Consolas"/>
          <w:color w:val="1F3A5F"/>
          <w:sz w:val="20"/>
        </w:rPr>
        <w:t>infra/db/roles</w:t>
      </w:r>
      <w:r>
        <w:t xml:space="preserve"> holds the per-service database logins.</w:t>
      </w:r>
    </w:p>
    <w:p>
      <w:pPr>
        <w:pStyle w:val="ListBullet"/>
      </w:pPr>
      <w:r>
        <w:rPr>
          <w:rFonts w:ascii="Consolas" w:hAnsi="Consolas"/>
          <w:color w:val="1F3A5F"/>
          <w:sz w:val="20"/>
        </w:rPr>
        <w:t>infra/docker</w:t>
      </w:r>
      <w:r>
        <w:t>: compose files for the 9 containers (gateway, core, identity, academic, learning, assessment, attendance, notification, AI/realtime), with Postgres, Redis, Kafka and a second Postgres for Notification.</w:t>
      </w:r>
    </w:p>
    <w:p>
      <w:pPr>
        <w:pStyle w:val="ListBullet"/>
      </w:pPr>
      <w:r>
        <w:rPr>
          <w:rFonts w:ascii="Consolas" w:hAnsi="Consolas"/>
          <w:color w:val="1F3A5F"/>
          <w:sz w:val="20"/>
        </w:rPr>
        <w:t>frontend/</w:t>
      </w:r>
      <w:r>
        <w:t>: the "ledger" UI.</w:t>
      </w:r>
    </w:p>
    <w:p>
      <w:pPr>
        <w:pStyle w:val="ListBullet"/>
      </w:pPr>
      <w:r>
        <w:rPr>
          <w:rFonts w:ascii="Consolas" w:hAnsi="Consolas"/>
          <w:color w:val="1F3A5F"/>
          <w:sz w:val="20"/>
        </w:rPr>
        <w:t>docs/</w:t>
      </w:r>
      <w:r>
        <w:t xml:space="preserve">: canonical spec, </w:t>
      </w:r>
      <w:r>
        <w:rPr>
          <w:rFonts w:ascii="Consolas" w:hAnsi="Consolas"/>
          <w:color w:val="1F3A5F"/>
          <w:sz w:val="20"/>
        </w:rPr>
        <w:t>contracts/</w:t>
      </w:r>
      <w:r>
        <w:t xml:space="preserve">, </w:t>
      </w:r>
      <w:r>
        <w:rPr>
          <w:rFonts w:ascii="Consolas" w:hAnsi="Consolas"/>
          <w:color w:val="1F3A5F"/>
          <w:sz w:val="20"/>
        </w:rPr>
        <w:t>validation-report.md</w:t>
      </w:r>
      <w:r>
        <w:t xml:space="preserve">, </w:t>
      </w:r>
      <w:r>
        <w:rPr>
          <w:rFonts w:ascii="Consolas" w:hAnsi="Consolas"/>
          <w:color w:val="1F3A5F"/>
          <w:sz w:val="20"/>
        </w:rPr>
        <w:t>sprint6-code-review-guide.md</w:t>
      </w:r>
      <w:r>
        <w:t>.</w:t>
      </w:r>
    </w:p>
    <w:p>
      <w:r>
        <w:t xml:space="preserve">Files: </w:t>
      </w:r>
      <w:r>
        <w:rPr>
          <w:rFonts w:ascii="Consolas" w:hAnsi="Consolas"/>
          <w:color w:val="1F3A5F"/>
          <w:sz w:val="20"/>
        </w:rPr>
        <w:t>docs/contracts/containers.md</w:t>
      </w:r>
      <w:r>
        <w:t xml:space="preserve">, </w:t>
      </w:r>
      <w:r>
        <w:rPr>
          <w:rFonts w:ascii="Consolas" w:hAnsi="Consolas"/>
          <w:color w:val="1F3A5F"/>
          <w:sz w:val="20"/>
        </w:rPr>
        <w:t>infra/docker/docker-compose.services.yml</w:t>
      </w:r>
      <w:r>
        <w:t xml:space="preserve">, </w:t>
      </w:r>
      <w:r>
        <w:rPr>
          <w:rFonts w:ascii="Consolas" w:hAnsi="Consolas"/>
          <w:color w:val="1F3A5F"/>
          <w:sz w:val="20"/>
        </w:rPr>
        <w:t>docs/contracts/</w:t>
      </w:r>
      <w:r>
        <w:t xml:space="preserve"> (one document per service plus </w:t>
      </w:r>
      <w:r>
        <w:rPr>
          <w:rFonts w:ascii="Consolas" w:hAnsi="Consolas"/>
          <w:color w:val="1F3A5F"/>
          <w:sz w:val="20"/>
        </w:rPr>
        <w:t>kafka-contracts.md</w:t>
      </w:r>
      <w:r>
        <w:t>).</w:t>
      </w:r>
    </w:p>
    <w:p>
      <w:pPr>
        <w:pStyle w:val="Heading1"/>
      </w:pPr>
      <w:r>
        <w:t>2. The microservices part (about 4 min)</w:t>
      </w:r>
    </w:p>
    <w:p>
      <w:pPr>
        <w:pStyle w:val="ListBullet"/>
      </w:pPr>
      <w:r>
        <w:t>One image, many roles: the same backend image runs as a service when a profile switches on only that service's modules.</w:t>
      </w:r>
    </w:p>
    <w:p>
      <w:pPr>
        <w:pStyle w:val="ListBullet"/>
      </w:pPr>
      <w:r>
        <w:t xml:space="preserve">Gateway: verifies the JWT, rate-limits, adds correlation IDs, routes by path. Services are found through Redis keys </w:t>
      </w:r>
      <w:r>
        <w:rPr>
          <w:rFonts w:ascii="Consolas" w:hAnsi="Consolas"/>
          <w:color w:val="1F3A5F"/>
          <w:sz w:val="20"/>
        </w:rPr>
        <w:t>setu:services:*</w:t>
      </w:r>
      <w:r>
        <w:t xml:space="preserve"> (health-aware).</w:t>
      </w:r>
    </w:p>
    <w:p>
      <w:pPr>
        <w:pStyle w:val="ListBullet"/>
      </w:pPr>
      <w:r>
        <w:t>Identity issues JWTs and publishes its keys; every other service only verifies tokens.</w:t>
      </w:r>
    </w:p>
    <w:p>
      <w:pPr>
        <w:pStyle w:val="ListBullet"/>
      </w:pPr>
      <w:r>
        <w:t>Data ownership: every table has one owner (enforced by a test). Each service logs in as its own database role, able to touch only its own schemas. Notification has its own PostgreSQL server and migrates its own database.</w:t>
      </w:r>
    </w:p>
    <w:p>
      <w:pPr>
        <w:pStyle w:val="ListBullet"/>
      </w:pPr>
      <w:r>
        <w:t>No cross-service joins: services keep read models (</w:t>
      </w:r>
      <w:r>
        <w:rPr>
          <w:rFonts w:ascii="Consolas" w:hAnsi="Consolas"/>
          <w:color w:val="1F3A5F"/>
          <w:sz w:val="20"/>
        </w:rPr>
        <w:t>rm_*</w:t>
      </w:r>
      <w:r>
        <w:t xml:space="preserve"> tables) fed by events; the projectors converge, so replays are safe.</w:t>
      </w:r>
    </w:p>
    <w:p>
      <w:r>
        <w:t>Files to show: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docs/contracts/extracted-services.md</w:t>
            </w:r>
          </w:p>
        </w:tc>
        <w:tc>
          <w:tcPr>
            <w:tcW w:type="dxa" w:w="4320"/>
          </w:tcPr>
          <w:p>
            <w:r>
              <w:t>which modules became services, which stayed in the core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backend/src/main/java/com/setu/shared/discovery/ServiceRegistry.java</w:t>
            </w:r>
          </w:p>
        </w:tc>
        <w:tc>
          <w:tcPr>
            <w:tcW w:type="dxa" w:w="4320"/>
          </w:tcPr>
          <w:p>
            <w:r>
              <w:t>service discovery through Redis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docs/contracts/gateway.md</w:t>
            </w:r>
          </w:p>
        </w:tc>
        <w:tc>
          <w:tcPr>
            <w:tcW w:type="dxa" w:w="4320"/>
          </w:tcPr>
          <w:p>
            <w:r>
              <w:t>JWT check, rate limit, routing, correlation IDs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docs/contracts/data-ownership.md</w:t>
            </w:r>
          </w:p>
        </w:tc>
        <w:tc>
          <w:tcPr>
            <w:tcW w:type="dxa" w:w="4320"/>
          </w:tcPr>
          <w:p>
            <w:r>
              <w:t>one owner per table; sections 1a (roles), 4a (Notification's own server), 4b (own migrations)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backend/src/test/java/com/setu/audit/TableOwnershipTests.java</w:t>
            </w:r>
          </w:p>
        </w:tc>
        <w:tc>
          <w:tcPr>
            <w:tcW w:type="dxa" w:w="4320"/>
          </w:tcPr>
          <w:p>
            <w:r>
              <w:t>the test that enforces ownership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infra/db/roles/service-roles.sql</w:t>
            </w:r>
          </w:p>
        </w:tc>
        <w:tc>
          <w:tcPr>
            <w:tcW w:type="dxa" w:w="4320"/>
          </w:tcPr>
          <w:p>
            <w:r>
              <w:t>each service logs in as its own role</w:t>
            </w:r>
          </w:p>
        </w:tc>
      </w:tr>
    </w:tbl>
    <w:p/>
    <w:p>
      <w:pPr>
        <w:pStyle w:val="Heading1"/>
      </w:pPr>
      <w:r>
        <w:t>3. Per-service migrations (built today)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infra/db/services/notification/V104__notification_unread_index.sql</w:t>
            </w:r>
          </w:p>
        </w:tc>
        <w:tc>
          <w:tcPr>
            <w:tcW w:type="dxa" w:w="4320"/>
          </w:tcPr>
          <w:p>
            <w:r>
              <w:t>first service-owned migration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infra/db/platform/README.md</w:t>
            </w:r>
          </w:p>
        </w:tc>
        <w:tc>
          <w:tcPr>
            <w:tcW w:type="dxa" w:w="4320"/>
          </w:tcPr>
          <w:p>
            <w:r>
              <w:t>rules for the shared platform tables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infra/db/split/provision-service-db.sh</w:t>
            </w:r>
          </w:p>
        </w:tc>
        <w:tc>
          <w:tcPr>
            <w:tcW w:type="dxa" w:w="4320"/>
          </w:tcPr>
          <w:p>
            <w:r>
              <w:t>copies the schema and writes a baseline row into the new database's Flyway history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backend/src/test/java/com/setu/audit/ServiceMigrationsTests.java</w:t>
            </w:r>
          </w:p>
        </w:tc>
        <w:tc>
          <w:tcPr>
            <w:tcW w:type="dxa" w:w="4320"/>
          </w:tcPr>
          <w:p>
            <w:r>
              <w:t>the rules, enforced without a database</w:t>
            </w:r>
          </w:p>
        </w:tc>
      </w:tr>
    </w:tbl>
    <w:p/>
    <w:p>
      <w:r>
        <w:t xml:space="preserve">Live proof: in </w:t>
      </w:r>
      <w:r>
        <w:rPr>
          <w:rFonts w:ascii="Consolas" w:hAnsi="Consolas"/>
          <w:color w:val="1F3A5F"/>
          <w:sz w:val="20"/>
        </w:rPr>
        <w:t>setu-postgres-notification-1</w:t>
      </w:r>
      <w:r>
        <w:t xml:space="preserve">, </w:t>
      </w:r>
      <w:r>
        <w:rPr>
          <w:rFonts w:ascii="Consolas" w:hAnsi="Consolas"/>
          <w:color w:val="1F3A5F"/>
          <w:sz w:val="20"/>
        </w:rPr>
        <w:t>public.flyway_schema_history</w:t>
      </w:r>
      <w:r>
        <w:t xml:space="preserve"> shows BASELINE 103 and then V104; the shared database shows V104 too; the service's login cannot read the history table.</w:t>
      </w:r>
    </w:p>
    <w:p>
      <w:pPr>
        <w:pStyle w:val="Heading1"/>
      </w:pPr>
      <w:r>
        <w:t>4. Main lifecycle: grade, event, risk, notification (about 3 min)</w:t>
      </w:r>
    </w:p>
    <w:p>
      <w:pPr>
        <w:pStyle w:val="ListNumber"/>
      </w:pPr>
      <w:r>
        <w:t>Faculty publishes a final grade (Assessment service).</w:t>
      </w:r>
    </w:p>
    <w:p>
      <w:pPr>
        <w:pStyle w:val="ListNumber"/>
      </w:pPr>
      <w:r>
        <w:t>In the same transaction it writes the grade and an outbox row (</w:t>
      </w:r>
      <w:r>
        <w:rPr>
          <w:rFonts w:ascii="Consolas" w:hAnsi="Consolas"/>
          <w:color w:val="1F3A5F"/>
          <w:sz w:val="20"/>
        </w:rPr>
        <w:t>governance.outbox_events</w:t>
      </w:r>
      <w:r>
        <w:t>): the transactional outbox, no dual write.</w:t>
      </w:r>
    </w:p>
    <w:p>
      <w:pPr>
        <w:pStyle w:val="ListNumber"/>
      </w:pPr>
      <w:r>
        <w:rPr>
          <w:rFonts w:ascii="Consolas" w:hAnsi="Consolas"/>
          <w:color w:val="1F3A5F"/>
          <w:sz w:val="20"/>
        </w:rPr>
        <w:t>OutboxPublisher</w:t>
      </w:r>
      <w:r>
        <w:t xml:space="preserve"> sends it to Kafka topic </w:t>
      </w:r>
      <w:r>
        <w:rPr>
          <w:rFonts w:ascii="Consolas" w:hAnsi="Consolas"/>
          <w:color w:val="1F3A5F"/>
          <w:sz w:val="20"/>
        </w:rPr>
        <w:t>setu.grades</w:t>
      </w:r>
      <w:r>
        <w:t xml:space="preserve"> (at-least-once).</w:t>
      </w:r>
    </w:p>
    <w:p>
      <w:pPr>
        <w:pStyle w:val="ListNumber"/>
      </w:pPr>
      <w:r>
        <w:t>Consumers record the event ID in a processed-events table, so a redelivery does nothing. After 3 failed deliveries the event goes to the dead-letter topic.</w:t>
      </w:r>
    </w:p>
    <w:p>
      <w:pPr>
        <w:pStyle w:val="ListNumber"/>
      </w:pPr>
      <w:r>
        <w:t>Academic completes the enrollment; Risk recalculates; Notification writes to its own database.</w:t>
      </w:r>
    </w:p>
    <w:p>
      <w:pPr>
        <w:pStyle w:val="ListNumber"/>
      </w:pPr>
      <w:r>
        <w:t>The student sees it over WebSocket or on the next request.</w:t>
      </w:r>
    </w:p>
    <w:p>
      <w:r>
        <w:t>Say: "No service calls another to make this happen; they react to events, so one being down delays its part but does not break the others."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backend/src/main/java/com/setu/shared/governance/OutboxPublisher.java</w:t>
            </w:r>
          </w:p>
        </w:tc>
        <w:tc>
          <w:tcPr>
            <w:tcW w:type="dxa" w:w="4320"/>
          </w:tcPr>
          <w:p>
            <w:r>
              <w:t>outbox publisher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docs/contracts/kafka-contracts.md</w:t>
            </w:r>
          </w:p>
        </w:tc>
        <w:tc>
          <w:tcPr>
            <w:tcW w:type="dxa" w:w="4320"/>
          </w:tcPr>
          <w:p>
            <w:r>
              <w:t>versioned schemas, idempotent consumers, dead-letter topic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backend/src/main/java/com/setu/risk/application/RiskEventProcessor.java</w:t>
            </w:r>
          </w:p>
        </w:tc>
        <w:tc>
          <w:tcPr>
            <w:tcW w:type="dxa" w:w="4320"/>
          </w:tcPr>
          <w:p>
            <w:r>
              <w:t xml:space="preserve">consumes </w:t>
            </w:r>
            <w:r>
              <w:rPr>
                <w:rFonts w:ascii="Consolas" w:hAnsi="Consolas"/>
                <w:color w:val="1F3A5F"/>
                <w:sz w:val="20"/>
              </w:rPr>
              <w:t>GradePublished</w:t>
            </w:r>
            <w:r>
              <w:t xml:space="preserve"> and </w:t>
            </w:r>
            <w:r>
              <w:rPr>
                <w:rFonts w:ascii="Consolas" w:hAnsi="Consolas"/>
                <w:color w:val="1F3A5F"/>
                <w:sz w:val="20"/>
              </w:rPr>
              <w:t>AttendanceSessionClosed</w:t>
            </w:r>
            <w:r>
              <w:t>; the processed-event insert is the duplicate guard</w:t>
            </w:r>
          </w:p>
        </w:tc>
      </w:tr>
    </w:tbl>
    <w:p/>
    <w:p>
      <w:pPr>
        <w:pStyle w:val="Heading1"/>
      </w:pPr>
      <w:r>
        <w:t>5. The AI advisor (about 3 min)</w:t>
      </w:r>
    </w:p>
    <w:p>
      <w:pPr>
        <w:pStyle w:val="ListBullet"/>
      </w:pPr>
      <w:r>
        <w:rPr>
          <w:rFonts w:ascii="Consolas" w:hAnsi="Consolas"/>
          <w:color w:val="1F3A5F"/>
          <w:sz w:val="20"/>
        </w:rPr>
        <w:t>ai-explain</w:t>
      </w:r>
      <w:r>
        <w:t xml:space="preserve"> has no datasource. It calls 9 application-owned tools through </w:t>
      </w:r>
      <w:r>
        <w:rPr>
          <w:rFonts w:ascii="Consolas" w:hAnsi="Consolas"/>
          <w:color w:val="1F3A5F"/>
          <w:sz w:val="20"/>
        </w:rPr>
        <w:t>AiFacts</w:t>
      </w:r>
      <w:r>
        <w:t xml:space="preserve">. In split mode </w:t>
      </w:r>
      <w:r>
        <w:rPr>
          <w:rFonts w:ascii="Consolas" w:hAnsi="Consolas"/>
          <w:color w:val="1F3A5F"/>
          <w:sz w:val="20"/>
        </w:rPr>
        <w:t>RemoteAiFacts</w:t>
      </w:r>
      <w:r>
        <w:t xml:space="preserve"> calls services with the user's own token, so the AI never sees more than that user.</w:t>
      </w:r>
    </w:p>
    <w:p>
      <w:pPr>
        <w:pStyle w:val="ListBullet"/>
      </w:pPr>
      <w:r>
        <w:t>Gemini is primary with a deterministic fallback, so the answer degrades honestly.</w:t>
      </w:r>
    </w:p>
    <w:p>
      <w:pPr>
        <w:pStyle w:val="ListBullet"/>
      </w:pPr>
      <w:r>
        <w:t>Structured output is validated before anything is shown or stored.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backend/src/main/java/com/setu/shared/aifacts/AiFacts.java</w:t>
            </w:r>
          </w:p>
        </w:tc>
        <w:tc>
          <w:tcPr>
            <w:tcW w:type="dxa" w:w="4320"/>
          </w:tcPr>
          <w:p>
            <w:r>
              <w:t>the tool interface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backend/src/main/java/com/setu/aiexplain/infrastructure/facts/RemoteAiFacts.java</w:t>
            </w:r>
          </w:p>
        </w:tc>
        <w:tc>
          <w:tcPr>
            <w:tcW w:type="dxa" w:w="4320"/>
          </w:tcPr>
          <w:p>
            <w:r>
              <w:t>calls with the user's token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3A5F"/>
                <w:sz w:val="20"/>
              </w:rPr>
              <w:t>docs/contracts/ai-service.md</w:t>
            </w:r>
          </w:p>
        </w:tc>
        <w:tc>
          <w:tcPr>
            <w:tcW w:type="dxa" w:w="4320"/>
          </w:tcPr>
          <w:p>
            <w:r>
              <w:t>tools, fallback chain, validation</w:t>
            </w:r>
          </w:p>
        </w:tc>
      </w:tr>
    </w:tbl>
    <w:p/>
    <w:p>
      <w:pPr>
        <w:pStyle w:val="Heading1"/>
      </w:pPr>
      <w:r>
        <w:t>6. RAG: chunks, embeddings, retrieval (about 3 min)</w:t>
      </w:r>
    </w:p>
    <w:p>
      <w:pPr>
        <w:pStyle w:val="ListBullet"/>
      </w:pPr>
      <w:r>
        <w:t xml:space="preserve">Chunking: </w:t>
      </w:r>
      <w:r>
        <w:rPr>
          <w:rFonts w:ascii="Consolas" w:hAnsi="Consolas"/>
          <w:color w:val="1F3A5F"/>
          <w:sz w:val="20"/>
        </w:rPr>
        <w:t>PolicyChunker</w:t>
      </w:r>
      <w:r>
        <w:t xml:space="preserve"> splits college documents into chunks of about 600 characters.</w:t>
      </w:r>
    </w:p>
    <w:p>
      <w:pPr>
        <w:pStyle w:val="ListBullet"/>
      </w:pPr>
      <w:r>
        <w:t xml:space="preserve">Embedding: </w:t>
      </w:r>
      <w:r>
        <w:rPr>
          <w:rFonts w:ascii="Consolas" w:hAnsi="Consolas"/>
          <w:color w:val="1F3A5F"/>
          <w:sz w:val="20"/>
        </w:rPr>
        <w:t>TextEmbedder</w:t>
      </w:r>
      <w:r>
        <w:t xml:space="preserve"> makes 768-dimension vectors with Gemini, with a hashing fallback when the key or network is missing.</w:t>
      </w:r>
    </w:p>
    <w:p>
      <w:pPr>
        <w:pStyle w:val="ListBullet"/>
      </w:pPr>
      <w:r>
        <w:t>Storage: pgvector with an HNSW index, plus a tsvector column for keywords.</w:t>
      </w:r>
    </w:p>
    <w:p>
      <w:pPr>
        <w:pStyle w:val="ListBullet"/>
      </w:pPr>
      <w:r>
        <w:t>Retrieval: vector and keyword results are merged with reciprocal-rank fusion. Tenant and document-ACL filtering happens in the SQL, before retrieval. Answers carry source references; retrieved text is treated as untrusted (there is a prompt-injection test).</w:t>
      </w:r>
    </w:p>
    <w:p>
      <w:r>
        <w:t xml:space="preserve">Files: </w:t>
      </w:r>
      <w:r>
        <w:rPr>
          <w:rFonts w:ascii="Consolas" w:hAnsi="Consolas"/>
          <w:color w:val="1F3A5F"/>
          <w:sz w:val="20"/>
        </w:rPr>
        <w:t>backend/src/main/java/com/setu/institution/domain/PolicyChunker.java</w:t>
      </w:r>
      <w:r>
        <w:t xml:space="preserve">, </w:t>
      </w:r>
      <w:r>
        <w:rPr>
          <w:rFonts w:ascii="Consolas" w:hAnsi="Consolas"/>
          <w:color w:val="1F3A5F"/>
          <w:sz w:val="20"/>
        </w:rPr>
        <w:t>backend/src/main/java/com/setu/shared/ai/TextEmbedder.java</w:t>
      </w:r>
      <w:r>
        <w:t xml:space="preserve">. For the retrieval query, use the RAG section of </w:t>
      </w:r>
      <w:r>
        <w:rPr>
          <w:rFonts w:ascii="Consolas" w:hAnsi="Consolas"/>
          <w:color w:val="1F3A5F"/>
          <w:sz w:val="20"/>
        </w:rPr>
        <w:t>docs/sprint6-code-review-guide.md</w:t>
      </w:r>
      <w:r>
        <w:t>.</w:t>
      </w:r>
    </w:p>
    <w:p>
      <w:pPr>
        <w:pStyle w:val="Heading1"/>
      </w:pPr>
      <w:r>
        <w:t>7. Kafka and Redis in one line each</w:t>
      </w:r>
    </w:p>
    <w:p>
      <w:pPr>
        <w:pStyle w:val="ListBullet"/>
      </w:pPr>
      <w:r>
        <w:t>Kafka carries domain events with versioned schemas, correlation and causation IDs, idempotent consumers and a dead-letter topic.</w:t>
      </w:r>
    </w:p>
    <w:p>
      <w:pPr>
        <w:pStyle w:val="ListBullet"/>
      </w:pPr>
      <w:r>
        <w:t>Redis holds service discovery, token revocations, rate limits (which fail open) and AI job records. It is never the source of truth.</w:t>
      </w:r>
    </w:p>
    <w:p>
      <w:pPr>
        <w:pStyle w:val="Heading1"/>
      </w:pPr>
      <w:r>
        <w:t>8. Close with today's work and the honest limits</w:t>
      </w:r>
    </w:p>
    <w:p>
      <w:r>
        <w:t>Done: per-service database roles, Notification on its own server, per-service migrations (one version number across all folders, baseline row for the copy).</w:t>
      </w:r>
    </w:p>
    <w:p>
      <w:r>
        <w:t>Limits to state before they ask:</w:t>
      </w:r>
    </w:p>
    <w:p>
      <w:pPr>
        <w:pStyle w:val="ListBullet"/>
      </w:pPr>
      <w:r>
        <w:t>Only Notification, Attendance and Assessment have their own databases and migrations (the last two needed their in-process readers in the core moved behind ports that ask the service).</w:t>
      </w:r>
    </w:p>
    <w:p>
      <w:pPr>
        <w:pStyle w:val="ListBullet"/>
      </w:pPr>
      <w:r>
        <w:t>Finance, career, record and risk are still inside the core.</w:t>
      </w:r>
    </w:p>
    <w:p>
      <w:pPr>
        <w:pStyle w:val="ListBullet"/>
      </w:pPr>
      <w:r>
        <w:t>Flyway runs with the database owner's login.</w:t>
      </w:r>
    </w:p>
    <w:p>
      <w:pPr>
        <w:pStyle w:val="ListBullet"/>
      </w:pPr>
      <w:r>
        <w:t>The smoke flow's risk step can show "no new score" when the student's inputs are unchanged (an identical recalculation is not written as a new row).</w:t>
      </w:r>
    </w:p>
    <w:p>
      <w:pPr>
        <w:pStyle w:val="Heading1"/>
      </w:pPr>
      <w:r>
        <w:t>Live demo order</w:t>
      </w:r>
    </w:p>
    <w:p>
      <w:pPr>
        <w:pStyle w:val="ListNumber"/>
      </w:pPr>
      <w:r>
        <w:rPr>
          <w:rFonts w:ascii="Consolas" w:hAnsi="Consolas"/>
          <w:color w:val="1F3A5F"/>
          <w:sz w:val="20"/>
        </w:rPr>
        <w:t>docker ps</w:t>
      </w:r>
      <w:r>
        <w:t>: containers healthy.</w:t>
      </w:r>
    </w:p>
    <w:p>
      <w:pPr>
        <w:pStyle w:val="ListNumber"/>
      </w:pPr>
      <w:r>
        <w:rPr>
          <w:rFonts w:ascii="Consolas" w:hAnsi="Consolas"/>
          <w:color w:val="1F3A5F"/>
          <w:sz w:val="20"/>
        </w:rPr>
        <w:t>node infra/scripts/smoke-flow.js</w:t>
      </w:r>
      <w:r>
        <w:t>.</w:t>
      </w:r>
    </w:p>
    <w:p>
      <w:pPr>
        <w:pStyle w:val="ListNumber"/>
      </w:pPr>
      <w:r>
        <w:t xml:space="preserve">Query </w:t>
      </w:r>
      <w:r>
        <w:rPr>
          <w:rFonts w:ascii="Consolas" w:hAnsi="Consolas"/>
          <w:color w:val="1F3A5F"/>
          <w:sz w:val="20"/>
        </w:rPr>
        <w:t>public.flyway_schema_history</w:t>
      </w:r>
      <w:r>
        <w:t xml:space="preserve"> in </w:t>
      </w:r>
      <w:r>
        <w:rPr>
          <w:rFonts w:ascii="Consolas" w:hAnsi="Consolas"/>
          <w:color w:val="1F3A5F"/>
          <w:sz w:val="20"/>
        </w:rPr>
        <w:t>setu-postgres-notification-1</w:t>
      </w:r>
      <w:r>
        <w:t>: baseline 103 and V104.</w:t>
      </w:r>
    </w:p>
    <w:p>
      <w:r>
        <w:t xml:space="preserve">Your speaking notes, if you open one file: </w:t>
      </w:r>
      <w:r>
        <w:rPr>
          <w:rFonts w:ascii="Consolas" w:hAnsi="Consolas"/>
          <w:color w:val="1F3A5F"/>
          <w:sz w:val="20"/>
        </w:rPr>
        <w:t>docs/sprint6-code-review-guide.md</w:t>
      </w:r>
      <w:r>
        <w:t xml:space="preserve">. Proof for each claim: </w:t>
      </w:r>
      <w:r>
        <w:rPr>
          <w:rFonts w:ascii="Consolas" w:hAnsi="Consolas"/>
          <w:color w:val="1F3A5F"/>
          <w:sz w:val="20"/>
        </w:rPr>
        <w:t>docs/validation-report.md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