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26C93E" w14:textId="77777777" w:rsidR="00AD42A4" w:rsidRDefault="00000000">
      <w:pPr>
        <w:widowControl w:val="0"/>
        <w:spacing w:before="255" w:after="0" w:line="360" w:lineRule="auto"/>
        <w:ind w:left="142" w:right="481"/>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Vishaka and Others vs State of Rajasthan (1997)</w:t>
      </w:r>
    </w:p>
    <w:p w14:paraId="3F034756" w14:textId="77777777" w:rsidR="00AD42A4" w:rsidRDefault="00AD42A4">
      <w:pPr>
        <w:widowControl w:val="0"/>
        <w:spacing w:before="2" w:after="0" w:line="240" w:lineRule="auto"/>
        <w:rPr>
          <w:rFonts w:ascii="Times New Roman" w:eastAsia="Times New Roman" w:hAnsi="Times New Roman" w:cs="Times New Roman"/>
          <w:b/>
          <w:sz w:val="42"/>
          <w:szCs w:val="42"/>
        </w:rPr>
      </w:pPr>
    </w:p>
    <w:p w14:paraId="7BD472B9" w14:textId="77777777" w:rsidR="00AD42A4" w:rsidRDefault="00000000">
      <w:pPr>
        <w:keepNext/>
        <w:spacing w:after="0" w:line="240" w:lineRule="auto"/>
        <w:ind w:right="47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21PDH209T – SOCIAL ENGINEERING</w:t>
      </w:r>
    </w:p>
    <w:p w14:paraId="20422429" w14:textId="77777777" w:rsidR="00AD42A4" w:rsidRDefault="00AD42A4">
      <w:pPr>
        <w:widowControl w:val="0"/>
        <w:spacing w:after="0" w:line="240" w:lineRule="auto"/>
        <w:rPr>
          <w:rFonts w:ascii="Times New Roman" w:eastAsia="Times New Roman" w:hAnsi="Times New Roman" w:cs="Times New Roman"/>
          <w:b/>
          <w:sz w:val="30"/>
          <w:szCs w:val="30"/>
        </w:rPr>
      </w:pPr>
    </w:p>
    <w:p w14:paraId="2472039A" w14:textId="77777777" w:rsidR="00AD42A4" w:rsidRDefault="00000000">
      <w:pPr>
        <w:spacing w:before="226" w:line="362" w:lineRule="auto"/>
        <w:ind w:left="3208" w:right="3102" w:hanging="1"/>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Submitted by </w:t>
      </w:r>
    </w:p>
    <w:p w14:paraId="4500E218" w14:textId="77777777" w:rsidR="00AD42A4" w:rsidRPr="002E748D" w:rsidRDefault="00000000" w:rsidP="002E748D">
      <w:pPr>
        <w:jc w:val="center"/>
        <w:rPr>
          <w:rFonts w:ascii="Times New Roman" w:hAnsi="Times New Roman" w:cs="Times New Roman"/>
          <w:b/>
          <w:bCs/>
          <w:sz w:val="28"/>
          <w:szCs w:val="28"/>
        </w:rPr>
      </w:pPr>
      <w:r w:rsidRPr="002E748D">
        <w:rPr>
          <w:rFonts w:ascii="Times New Roman" w:hAnsi="Times New Roman" w:cs="Times New Roman"/>
          <w:b/>
          <w:bCs/>
          <w:sz w:val="28"/>
          <w:szCs w:val="28"/>
        </w:rPr>
        <w:t>BATCHU SRI RAMA SAI PAVAN KOWSHIK (RA2311029010003)</w:t>
      </w:r>
    </w:p>
    <w:p w14:paraId="4DEE8092" w14:textId="6E6530C1" w:rsidR="00AD42A4" w:rsidRPr="002E748D" w:rsidRDefault="00000000" w:rsidP="002E748D">
      <w:pPr>
        <w:jc w:val="center"/>
        <w:rPr>
          <w:rFonts w:ascii="Times New Roman" w:hAnsi="Times New Roman" w:cs="Times New Roman"/>
          <w:b/>
          <w:bCs/>
          <w:sz w:val="28"/>
          <w:szCs w:val="28"/>
        </w:rPr>
      </w:pPr>
      <w:r w:rsidRPr="002E748D">
        <w:rPr>
          <w:rFonts w:ascii="Times New Roman" w:hAnsi="Times New Roman" w:cs="Times New Roman"/>
          <w:b/>
          <w:bCs/>
          <w:sz w:val="28"/>
          <w:szCs w:val="28"/>
        </w:rPr>
        <w:t>NISHA SHARMA (RA2311029010008)</w:t>
      </w:r>
    </w:p>
    <w:p w14:paraId="51C73050" w14:textId="3B0C3E0C" w:rsidR="00AD42A4" w:rsidRPr="002E748D" w:rsidRDefault="00000000" w:rsidP="002E748D">
      <w:pPr>
        <w:jc w:val="center"/>
        <w:rPr>
          <w:rFonts w:ascii="Times New Roman" w:hAnsi="Times New Roman" w:cs="Times New Roman"/>
          <w:b/>
          <w:bCs/>
          <w:sz w:val="28"/>
          <w:szCs w:val="28"/>
        </w:rPr>
      </w:pPr>
      <w:r w:rsidRPr="002E748D">
        <w:rPr>
          <w:rFonts w:ascii="Times New Roman" w:hAnsi="Times New Roman" w:cs="Times New Roman"/>
          <w:b/>
          <w:bCs/>
          <w:sz w:val="28"/>
          <w:szCs w:val="28"/>
        </w:rPr>
        <w:t>SHASMITHA R (RA2311029010028)</w:t>
      </w:r>
    </w:p>
    <w:p w14:paraId="61954DA5" w14:textId="77777777" w:rsidR="00AD42A4" w:rsidRPr="002E748D" w:rsidRDefault="00000000" w:rsidP="002E748D">
      <w:pPr>
        <w:jc w:val="center"/>
        <w:rPr>
          <w:rFonts w:ascii="Times New Roman" w:hAnsi="Times New Roman" w:cs="Times New Roman"/>
          <w:b/>
          <w:bCs/>
          <w:sz w:val="28"/>
          <w:szCs w:val="28"/>
        </w:rPr>
      </w:pPr>
      <w:r w:rsidRPr="002E748D">
        <w:rPr>
          <w:rFonts w:ascii="Times New Roman" w:hAnsi="Times New Roman" w:cs="Times New Roman"/>
          <w:b/>
          <w:bCs/>
          <w:sz w:val="28"/>
          <w:szCs w:val="28"/>
        </w:rPr>
        <w:t>CHANDRA HARIKA (RA2311029010036)</w:t>
      </w:r>
    </w:p>
    <w:p w14:paraId="37D091F4" w14:textId="77777777" w:rsidR="00AD42A4" w:rsidRDefault="00AD42A4">
      <w:pPr>
        <w:widowControl w:val="0"/>
        <w:spacing w:before="10" w:after="0" w:line="240" w:lineRule="auto"/>
        <w:rPr>
          <w:rFonts w:ascii="Times New Roman" w:eastAsia="Times New Roman" w:hAnsi="Times New Roman" w:cs="Times New Roman"/>
          <w:b/>
          <w:sz w:val="19"/>
          <w:szCs w:val="19"/>
        </w:rPr>
      </w:pPr>
    </w:p>
    <w:p w14:paraId="577BFD67" w14:textId="77777777" w:rsidR="00AD42A4" w:rsidRDefault="00000000">
      <w:pPr>
        <w:spacing w:before="226" w:line="362" w:lineRule="auto"/>
        <w:ind w:left="2488" w:right="3102" w:hanging="1"/>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under the guidance of</w:t>
      </w:r>
    </w:p>
    <w:p w14:paraId="4AB5485C" w14:textId="77777777" w:rsidR="00AD42A4" w:rsidRDefault="00000000">
      <w:pPr>
        <w:spacing w:before="226" w:line="362" w:lineRule="auto"/>
        <w:ind w:right="97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Dr. V. Shanmuganathan</w:t>
      </w:r>
      <w:r>
        <w:rPr>
          <w:noProof/>
        </w:rPr>
        <w:drawing>
          <wp:anchor distT="0" distB="0" distL="0" distR="0" simplePos="0" relativeHeight="251658240" behindDoc="0" locked="0" layoutInCell="1" hidden="0" allowOverlap="1" wp14:anchorId="5E4027DF" wp14:editId="5E468D39">
            <wp:simplePos x="0" y="0"/>
            <wp:positionH relativeFrom="column">
              <wp:posOffset>1579244</wp:posOffset>
            </wp:positionH>
            <wp:positionV relativeFrom="paragraph">
              <wp:posOffset>560070</wp:posOffset>
            </wp:positionV>
            <wp:extent cx="2948305" cy="1017270"/>
            <wp:effectExtent l="0" t="0" r="0" b="0"/>
            <wp:wrapTopAndBottom distT="0" distB="0"/>
            <wp:docPr id="1" name="image1.jpg" descr="SRMIST-01.jpg"/>
            <wp:cNvGraphicFramePr/>
            <a:graphic xmlns:a="http://schemas.openxmlformats.org/drawingml/2006/main">
              <a:graphicData uri="http://schemas.openxmlformats.org/drawingml/2006/picture">
                <pic:pic xmlns:pic="http://schemas.openxmlformats.org/drawingml/2006/picture">
                  <pic:nvPicPr>
                    <pic:cNvPr id="0" name="image1.jpg" descr="SRMIST-01.jpg"/>
                    <pic:cNvPicPr preferRelativeResize="0"/>
                  </pic:nvPicPr>
                  <pic:blipFill>
                    <a:blip r:embed="rId7"/>
                    <a:srcRect/>
                    <a:stretch>
                      <a:fillRect/>
                    </a:stretch>
                  </pic:blipFill>
                  <pic:spPr>
                    <a:xfrm>
                      <a:off x="0" y="0"/>
                      <a:ext cx="2948305" cy="1017270"/>
                    </a:xfrm>
                    <a:prstGeom prst="rect">
                      <a:avLst/>
                    </a:prstGeom>
                    <a:ln/>
                  </pic:spPr>
                </pic:pic>
              </a:graphicData>
            </a:graphic>
          </wp:anchor>
        </w:drawing>
      </w:r>
    </w:p>
    <w:p w14:paraId="27A5D980" w14:textId="77777777" w:rsidR="00AD42A4" w:rsidRDefault="00AD42A4">
      <w:pPr>
        <w:spacing w:before="231" w:after="0" w:line="360" w:lineRule="auto"/>
        <w:ind w:right="118"/>
        <w:jc w:val="center"/>
        <w:rPr>
          <w:rFonts w:ascii="Times New Roman" w:eastAsia="Times New Roman" w:hAnsi="Times New Roman" w:cs="Times New Roman"/>
          <w:b/>
          <w:sz w:val="32"/>
          <w:szCs w:val="32"/>
        </w:rPr>
      </w:pPr>
    </w:p>
    <w:p w14:paraId="2095C271" w14:textId="77777777" w:rsidR="00AD42A4" w:rsidRDefault="00000000">
      <w:pPr>
        <w:spacing w:before="231" w:after="0" w:line="360" w:lineRule="auto"/>
        <w:ind w:right="11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NETWORKING AND COMMUNICATIONS</w:t>
      </w:r>
    </w:p>
    <w:p w14:paraId="2C5132B5" w14:textId="77777777" w:rsidR="00AD42A4" w:rsidRDefault="00000000">
      <w:pPr>
        <w:spacing w:before="231" w:after="0" w:line="360" w:lineRule="auto"/>
        <w:ind w:right="11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FACULTY OF ENGINEERING AND TECHNOLOGY</w:t>
      </w:r>
    </w:p>
    <w:p w14:paraId="4213126F" w14:textId="77777777" w:rsidR="00AD42A4" w:rsidRDefault="00000000">
      <w:pPr>
        <w:spacing w:before="231" w:after="0" w:line="360" w:lineRule="auto"/>
        <w:ind w:right="11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SRM INSTITUTE OF SCIENCE AND TECHNOLOGY</w:t>
      </w:r>
    </w:p>
    <w:p w14:paraId="70B70D81" w14:textId="77777777" w:rsidR="00AD42A4" w:rsidRDefault="00000000">
      <w:pPr>
        <w:spacing w:after="0" w:line="360" w:lineRule="auto"/>
        <w:ind w:right="48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KATTANKULATHUR – 603 203</w:t>
      </w:r>
    </w:p>
    <w:p w14:paraId="398DFE42" w14:textId="77777777" w:rsidR="00AD42A4" w:rsidRDefault="00000000">
      <w:pPr>
        <w:spacing w:after="0" w:line="360" w:lineRule="auto"/>
        <w:ind w:right="48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MAY 2025</w:t>
      </w:r>
    </w:p>
    <w:p w14:paraId="175FEF23" w14:textId="77777777" w:rsidR="00AD42A4" w:rsidRDefault="00AD42A4">
      <w:pPr>
        <w:spacing w:after="0" w:line="360" w:lineRule="auto"/>
        <w:ind w:right="481"/>
        <w:jc w:val="center"/>
        <w:rPr>
          <w:rFonts w:ascii="Times New Roman" w:eastAsia="Times New Roman" w:hAnsi="Times New Roman" w:cs="Times New Roman"/>
          <w:b/>
          <w:sz w:val="32"/>
          <w:szCs w:val="32"/>
        </w:rPr>
      </w:pPr>
    </w:p>
    <w:p w14:paraId="73A07995" w14:textId="77777777" w:rsidR="002E748D" w:rsidRDefault="002E748D" w:rsidP="002E748D">
      <w:pPr>
        <w:spacing w:after="0" w:line="360" w:lineRule="auto"/>
        <w:ind w:right="481"/>
        <w:rPr>
          <w:rFonts w:ascii="Times New Roman" w:eastAsia="Times New Roman" w:hAnsi="Times New Roman" w:cs="Times New Roman"/>
          <w:b/>
          <w:sz w:val="32"/>
          <w:szCs w:val="32"/>
        </w:rPr>
      </w:pPr>
    </w:p>
    <w:p w14:paraId="1D0DAF27" w14:textId="77777777" w:rsidR="00AD42A4" w:rsidRDefault="00000000">
      <w:pPr>
        <w:widowControl w:val="0"/>
        <w:spacing w:before="85" w:after="0" w:line="240" w:lineRule="auto"/>
        <w:ind w:right="-29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      SRM INSTITUTE OF SCIENCE AND TECHNOLOGY     </w:t>
      </w:r>
    </w:p>
    <w:p w14:paraId="31051EB8" w14:textId="77777777" w:rsidR="00AD42A4" w:rsidRDefault="00000000">
      <w:pPr>
        <w:widowControl w:val="0"/>
        <w:spacing w:before="85" w:after="0" w:line="240" w:lineRule="auto"/>
        <w:ind w:right="92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KATTANKULATHUR – 603 203</w:t>
      </w:r>
    </w:p>
    <w:p w14:paraId="2C78517C" w14:textId="77777777" w:rsidR="00AD42A4" w:rsidRDefault="00000000">
      <w:pPr>
        <w:widowControl w:val="0"/>
        <w:spacing w:before="132" w:after="0" w:line="240" w:lineRule="auto"/>
        <w:ind w:left="960" w:right="923"/>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BONAFIDE CERTIFICATE</w:t>
      </w:r>
    </w:p>
    <w:p w14:paraId="1EDAD751" w14:textId="77777777" w:rsidR="00AD42A4"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br/>
      </w:r>
      <w:r>
        <w:rPr>
          <w:rFonts w:ascii="Times New Roman" w:eastAsia="Times New Roman" w:hAnsi="Times New Roman" w:cs="Times New Roman"/>
          <w:sz w:val="24"/>
          <w:szCs w:val="24"/>
        </w:rPr>
        <w:t xml:space="preserve">               This is to certify that the Case Study Report titled “</w:t>
      </w:r>
      <w:r>
        <w:rPr>
          <w:rFonts w:ascii="Times New Roman" w:eastAsia="Times New Roman" w:hAnsi="Times New Roman" w:cs="Times New Roman"/>
          <w:b/>
          <w:sz w:val="24"/>
          <w:szCs w:val="24"/>
        </w:rPr>
        <w:t>Vishaka and Others vs State of Rajasthan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(1997)</w:t>
      </w:r>
      <w:r>
        <w:rPr>
          <w:rFonts w:ascii="Times New Roman" w:eastAsia="Times New Roman" w:hAnsi="Times New Roman" w:cs="Times New Roman"/>
          <w:sz w:val="24"/>
          <w:szCs w:val="24"/>
        </w:rPr>
        <w:t xml:space="preserve">” is a bonafide record of work carried out by the following student(s) as part of the course </w:t>
      </w:r>
      <w:r>
        <w:rPr>
          <w:rFonts w:ascii="Times New Roman" w:eastAsia="Times New Roman" w:hAnsi="Times New Roman" w:cs="Times New Roman"/>
          <w:b/>
          <w:sz w:val="24"/>
          <w:szCs w:val="24"/>
        </w:rPr>
        <w:t>21PDH209T - Social Engineering</w:t>
      </w:r>
      <w:r>
        <w:rPr>
          <w:rFonts w:ascii="Times New Roman" w:eastAsia="Times New Roman" w:hAnsi="Times New Roman" w:cs="Times New Roman"/>
          <w:sz w:val="24"/>
          <w:szCs w:val="24"/>
        </w:rPr>
        <w:t xml:space="preserve">, during the Academic Year </w:t>
      </w:r>
      <w:r>
        <w:rPr>
          <w:rFonts w:ascii="Times New Roman" w:eastAsia="Times New Roman" w:hAnsi="Times New Roman" w:cs="Times New Roman"/>
          <w:b/>
          <w:sz w:val="24"/>
          <w:szCs w:val="24"/>
        </w:rPr>
        <w:t>2024 – 2025 Even Semester</w:t>
      </w:r>
      <w:r>
        <w:rPr>
          <w:rFonts w:ascii="Times New Roman" w:eastAsia="Times New Roman" w:hAnsi="Times New Roman" w:cs="Times New Roman"/>
          <w:sz w:val="24"/>
          <w:szCs w:val="24"/>
        </w:rPr>
        <w:t>.</w:t>
      </w:r>
    </w:p>
    <w:p w14:paraId="4C830D06" w14:textId="77777777" w:rsidR="00AD42A4"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report has been submitted in partial fulfillment of the requirements for the successful completion of the course and has not been submitted elsewhere for any academic or non-academic purpose.</w:t>
      </w:r>
    </w:p>
    <w:p w14:paraId="5A978DC6" w14:textId="77777777" w:rsidR="00AD42A4"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work is found to be satisfactory and is hereby accepted.</w:t>
      </w:r>
    </w:p>
    <w:p w14:paraId="0326C2AB" w14:textId="77777777" w:rsidR="00AD42A4"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tbl>
      <w:tblPr>
        <w:tblStyle w:val="a"/>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5"/>
        <w:gridCol w:w="6165"/>
      </w:tblGrid>
      <w:tr w:rsidR="00AD42A4" w14:paraId="4ED83EFD" w14:textId="77777777">
        <w:tc>
          <w:tcPr>
            <w:tcW w:w="3075" w:type="dxa"/>
          </w:tcPr>
          <w:p w14:paraId="0106D684" w14:textId="77777777" w:rsidR="00AD42A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Number</w:t>
            </w:r>
          </w:p>
        </w:tc>
        <w:tc>
          <w:tcPr>
            <w:tcW w:w="6165" w:type="dxa"/>
          </w:tcPr>
          <w:p w14:paraId="7E6048DD" w14:textId="77777777" w:rsidR="00AD42A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Student</w:t>
            </w:r>
          </w:p>
        </w:tc>
      </w:tr>
      <w:tr w:rsidR="00AD42A4" w14:paraId="1DB8ADA1" w14:textId="77777777">
        <w:tc>
          <w:tcPr>
            <w:tcW w:w="3075" w:type="dxa"/>
          </w:tcPr>
          <w:p w14:paraId="58F54E8B" w14:textId="77777777" w:rsidR="00AD42A4"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RA2311029010003</w:t>
            </w:r>
          </w:p>
        </w:tc>
        <w:tc>
          <w:tcPr>
            <w:tcW w:w="6165" w:type="dxa"/>
          </w:tcPr>
          <w:p w14:paraId="55D31425" w14:textId="77777777" w:rsidR="00AD42A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BATCHU SRI RAMA SAI PAVAN KOWSHIK</w:t>
            </w:r>
          </w:p>
        </w:tc>
      </w:tr>
      <w:tr w:rsidR="00AD42A4" w14:paraId="54AAF5C4" w14:textId="77777777">
        <w:tc>
          <w:tcPr>
            <w:tcW w:w="3075" w:type="dxa"/>
          </w:tcPr>
          <w:p w14:paraId="50E9B954" w14:textId="77777777" w:rsidR="00AD42A4"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RA2311029010008</w:t>
            </w:r>
          </w:p>
        </w:tc>
        <w:tc>
          <w:tcPr>
            <w:tcW w:w="6165" w:type="dxa"/>
          </w:tcPr>
          <w:p w14:paraId="31779C11" w14:textId="77777777" w:rsidR="00AD42A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NISHA SHARMA</w:t>
            </w:r>
          </w:p>
        </w:tc>
      </w:tr>
      <w:tr w:rsidR="00AD42A4" w14:paraId="5181993C" w14:textId="77777777">
        <w:tc>
          <w:tcPr>
            <w:tcW w:w="3075" w:type="dxa"/>
          </w:tcPr>
          <w:p w14:paraId="3DA345E2" w14:textId="77777777" w:rsidR="00AD42A4"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RA2311029010028</w:t>
            </w:r>
          </w:p>
        </w:tc>
        <w:tc>
          <w:tcPr>
            <w:tcW w:w="6165" w:type="dxa"/>
          </w:tcPr>
          <w:p w14:paraId="3BBCB53C" w14:textId="77777777" w:rsidR="00AD42A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SHASMITHA R</w:t>
            </w:r>
          </w:p>
        </w:tc>
      </w:tr>
      <w:tr w:rsidR="00AD42A4" w14:paraId="39B0107B" w14:textId="77777777">
        <w:tc>
          <w:tcPr>
            <w:tcW w:w="3075" w:type="dxa"/>
          </w:tcPr>
          <w:p w14:paraId="73E075D9" w14:textId="77777777" w:rsidR="00AD42A4"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RA2311029010036</w:t>
            </w:r>
          </w:p>
        </w:tc>
        <w:tc>
          <w:tcPr>
            <w:tcW w:w="6165" w:type="dxa"/>
          </w:tcPr>
          <w:p w14:paraId="05160AFC" w14:textId="77777777" w:rsidR="00AD42A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CHANDRA HARIKA</w:t>
            </w:r>
          </w:p>
        </w:tc>
      </w:tr>
    </w:tbl>
    <w:p w14:paraId="32751B99" w14:textId="77777777" w:rsidR="00AD42A4" w:rsidRDefault="00AD42A4">
      <w:pPr>
        <w:spacing w:after="200" w:line="360" w:lineRule="auto"/>
        <w:rPr>
          <w:rFonts w:ascii="Times New Roman" w:eastAsia="Times New Roman" w:hAnsi="Times New Roman" w:cs="Times New Roman"/>
          <w:sz w:val="2"/>
          <w:szCs w:val="2"/>
        </w:rPr>
      </w:pPr>
    </w:p>
    <w:p w14:paraId="51B0790C" w14:textId="77777777" w:rsidR="00AD42A4"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of Submission: 28-04-2025</w:t>
      </w:r>
    </w:p>
    <w:p w14:paraId="7A20B199" w14:textId="77777777" w:rsidR="00AD42A4" w:rsidRDefault="00AD42A4">
      <w:pPr>
        <w:spacing w:after="200" w:line="360" w:lineRule="auto"/>
        <w:rPr>
          <w:rFonts w:ascii="Times New Roman" w:eastAsia="Times New Roman" w:hAnsi="Times New Roman" w:cs="Times New Roman"/>
          <w:sz w:val="24"/>
          <w:szCs w:val="24"/>
        </w:rPr>
      </w:pPr>
    </w:p>
    <w:tbl>
      <w:tblPr>
        <w:tblStyle w:val="a0"/>
        <w:tblW w:w="10060" w:type="dxa"/>
        <w:tblInd w:w="-289" w:type="dxa"/>
        <w:tblBorders>
          <w:top w:val="nil"/>
          <w:left w:val="nil"/>
          <w:bottom w:val="nil"/>
          <w:right w:val="nil"/>
          <w:insideH w:val="nil"/>
          <w:insideV w:val="nil"/>
        </w:tblBorders>
        <w:tblLayout w:type="fixed"/>
        <w:tblLook w:val="0400" w:firstRow="0" w:lastRow="0" w:firstColumn="0" w:lastColumn="0" w:noHBand="0" w:noVBand="1"/>
      </w:tblPr>
      <w:tblGrid>
        <w:gridCol w:w="5098"/>
        <w:gridCol w:w="4962"/>
      </w:tblGrid>
      <w:tr w:rsidR="00AD42A4" w14:paraId="5B3DA818" w14:textId="77777777">
        <w:trPr>
          <w:trHeight w:val="333"/>
        </w:trPr>
        <w:tc>
          <w:tcPr>
            <w:tcW w:w="5098" w:type="dxa"/>
          </w:tcPr>
          <w:p w14:paraId="534A3E88" w14:textId="77777777" w:rsidR="00AD42A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Signature</w:t>
            </w:r>
          </w:p>
        </w:tc>
        <w:tc>
          <w:tcPr>
            <w:tcW w:w="4962" w:type="dxa"/>
          </w:tcPr>
          <w:p w14:paraId="624DBC4C" w14:textId="77777777" w:rsidR="00AD42A4" w:rsidRDefault="00000000">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HoD</w:t>
            </w:r>
            <w:proofErr w:type="spellEnd"/>
            <w:r>
              <w:rPr>
                <w:rFonts w:ascii="Times New Roman" w:eastAsia="Times New Roman" w:hAnsi="Times New Roman" w:cs="Times New Roman"/>
                <w:b/>
                <w:sz w:val="24"/>
                <w:szCs w:val="24"/>
              </w:rPr>
              <w:t xml:space="preserve"> / NWC</w:t>
            </w:r>
          </w:p>
        </w:tc>
      </w:tr>
      <w:tr w:rsidR="00AD42A4" w14:paraId="2477E5C8" w14:textId="77777777">
        <w:tc>
          <w:tcPr>
            <w:tcW w:w="5098" w:type="dxa"/>
          </w:tcPr>
          <w:p w14:paraId="67667D8E" w14:textId="77777777" w:rsidR="00AD42A4" w:rsidRDefault="00AD42A4">
            <w:pPr>
              <w:jc w:val="center"/>
              <w:rPr>
                <w:rFonts w:ascii="Times New Roman" w:eastAsia="Times New Roman" w:hAnsi="Times New Roman" w:cs="Times New Roman"/>
                <w:sz w:val="24"/>
                <w:szCs w:val="24"/>
              </w:rPr>
            </w:pPr>
          </w:p>
        </w:tc>
        <w:tc>
          <w:tcPr>
            <w:tcW w:w="4962" w:type="dxa"/>
          </w:tcPr>
          <w:p w14:paraId="61EB8C72" w14:textId="77777777" w:rsidR="00AD42A4" w:rsidRDefault="00AD42A4">
            <w:pPr>
              <w:jc w:val="center"/>
              <w:rPr>
                <w:rFonts w:ascii="Times New Roman" w:eastAsia="Times New Roman" w:hAnsi="Times New Roman" w:cs="Times New Roman"/>
                <w:sz w:val="24"/>
                <w:szCs w:val="24"/>
              </w:rPr>
            </w:pPr>
          </w:p>
        </w:tc>
      </w:tr>
      <w:tr w:rsidR="00AD42A4" w14:paraId="4568E3A6" w14:textId="77777777">
        <w:tc>
          <w:tcPr>
            <w:tcW w:w="5098" w:type="dxa"/>
          </w:tcPr>
          <w:p w14:paraId="26B6E081" w14:textId="77777777" w:rsidR="00AD42A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V. Shanmuganathan</w:t>
            </w:r>
          </w:p>
        </w:tc>
        <w:tc>
          <w:tcPr>
            <w:tcW w:w="4962" w:type="dxa"/>
          </w:tcPr>
          <w:p w14:paraId="50CF8D34" w14:textId="77777777" w:rsidR="00AD42A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M. Lakshmi</w:t>
            </w:r>
          </w:p>
        </w:tc>
      </w:tr>
      <w:tr w:rsidR="00AD42A4" w14:paraId="28216846" w14:textId="77777777">
        <w:tc>
          <w:tcPr>
            <w:tcW w:w="5098" w:type="dxa"/>
          </w:tcPr>
          <w:p w14:paraId="63F23663" w14:textId="77777777" w:rsidR="00AD42A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tc>
        <w:tc>
          <w:tcPr>
            <w:tcW w:w="4962" w:type="dxa"/>
          </w:tcPr>
          <w:p w14:paraId="5E1D610F" w14:textId="77777777" w:rsidR="00AD42A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&amp; Head</w:t>
            </w:r>
          </w:p>
        </w:tc>
      </w:tr>
      <w:tr w:rsidR="00AD42A4" w14:paraId="58C6EBB5" w14:textId="77777777">
        <w:tc>
          <w:tcPr>
            <w:tcW w:w="5098" w:type="dxa"/>
          </w:tcPr>
          <w:p w14:paraId="24AA0785" w14:textId="77777777" w:rsidR="00AD42A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Networking and Communications</w:t>
            </w:r>
          </w:p>
        </w:tc>
        <w:tc>
          <w:tcPr>
            <w:tcW w:w="4962" w:type="dxa"/>
          </w:tcPr>
          <w:p w14:paraId="29EF34BC" w14:textId="77777777" w:rsidR="00AD42A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Networking and Communications</w:t>
            </w:r>
          </w:p>
        </w:tc>
      </w:tr>
      <w:tr w:rsidR="00AD42A4" w14:paraId="5D16BA8A" w14:textId="77777777">
        <w:tc>
          <w:tcPr>
            <w:tcW w:w="5098" w:type="dxa"/>
          </w:tcPr>
          <w:p w14:paraId="624D6FAB" w14:textId="77777777" w:rsidR="00AD42A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w:t>
            </w:r>
          </w:p>
        </w:tc>
        <w:tc>
          <w:tcPr>
            <w:tcW w:w="4962" w:type="dxa"/>
          </w:tcPr>
          <w:p w14:paraId="4FC1E90F" w14:textId="77777777" w:rsidR="00AD42A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w:t>
            </w:r>
          </w:p>
        </w:tc>
      </w:tr>
    </w:tbl>
    <w:p w14:paraId="4BFF3505" w14:textId="77777777" w:rsidR="00AD42A4" w:rsidRDefault="00AD42A4">
      <w:pPr>
        <w:spacing w:after="200" w:line="360" w:lineRule="auto"/>
        <w:rPr>
          <w:rFonts w:ascii="Times New Roman" w:eastAsia="Times New Roman" w:hAnsi="Times New Roman" w:cs="Times New Roman"/>
          <w:sz w:val="28"/>
          <w:szCs w:val="28"/>
        </w:rPr>
      </w:pPr>
    </w:p>
    <w:p w14:paraId="18A1E872" w14:textId="77777777" w:rsidR="00AD42A4" w:rsidRDefault="00AD42A4">
      <w:pPr>
        <w:spacing w:after="0" w:line="360" w:lineRule="auto"/>
        <w:ind w:right="481"/>
        <w:rPr>
          <w:rFonts w:ascii="Times New Roman" w:eastAsia="Times New Roman" w:hAnsi="Times New Roman" w:cs="Times New Roman"/>
          <w:b/>
          <w:sz w:val="32"/>
          <w:szCs w:val="32"/>
        </w:rPr>
      </w:pPr>
    </w:p>
    <w:p w14:paraId="20761B7F" w14:textId="77777777" w:rsidR="002E748D" w:rsidRDefault="002E748D">
      <w:pPr>
        <w:spacing w:after="0" w:line="360" w:lineRule="auto"/>
        <w:ind w:right="481"/>
        <w:rPr>
          <w:rFonts w:ascii="Times New Roman" w:eastAsia="Times New Roman" w:hAnsi="Times New Roman" w:cs="Times New Roman"/>
          <w:b/>
          <w:sz w:val="32"/>
          <w:szCs w:val="32"/>
        </w:rPr>
      </w:pPr>
    </w:p>
    <w:p w14:paraId="165F18E9" w14:textId="7ED55DAE" w:rsidR="00AD42A4" w:rsidRDefault="00000000">
      <w:pPr>
        <w:spacing w:after="0" w:line="360" w:lineRule="auto"/>
        <w:ind w:right="481"/>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TABLE OF </w:t>
      </w:r>
      <w:r w:rsidR="002E748D">
        <w:rPr>
          <w:rFonts w:ascii="Times New Roman" w:eastAsia="Times New Roman" w:hAnsi="Times New Roman" w:cs="Times New Roman"/>
          <w:b/>
          <w:sz w:val="32"/>
          <w:szCs w:val="32"/>
        </w:rPr>
        <w:t>CONTENTS:</w:t>
      </w:r>
      <w:r>
        <w:rPr>
          <w:rFonts w:ascii="Times New Roman" w:eastAsia="Times New Roman" w:hAnsi="Times New Roman" w:cs="Times New Roman"/>
          <w:b/>
          <w:sz w:val="32"/>
          <w:szCs w:val="32"/>
        </w:rPr>
        <w:t xml:space="preserve"> </w:t>
      </w:r>
    </w:p>
    <w:p w14:paraId="403643F3" w14:textId="77777777" w:rsidR="002E748D" w:rsidRDefault="002E748D">
      <w:pPr>
        <w:spacing w:after="0" w:line="360" w:lineRule="auto"/>
        <w:ind w:right="481"/>
        <w:rPr>
          <w:rFonts w:ascii="Times New Roman" w:eastAsia="Times New Roman" w:hAnsi="Times New Roman" w:cs="Times New Roman"/>
          <w:b/>
          <w:sz w:val="32"/>
          <w:szCs w:val="32"/>
        </w:rPr>
      </w:pPr>
    </w:p>
    <w:tbl>
      <w:tblPr>
        <w:tblStyle w:val="a1"/>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5805"/>
        <w:gridCol w:w="1515"/>
      </w:tblGrid>
      <w:tr w:rsidR="00AD42A4" w14:paraId="5776D952" w14:textId="77777777">
        <w:tc>
          <w:tcPr>
            <w:tcW w:w="1290" w:type="dxa"/>
            <w:shd w:val="clear" w:color="auto" w:fill="auto"/>
            <w:tcMar>
              <w:top w:w="100" w:type="dxa"/>
              <w:left w:w="100" w:type="dxa"/>
              <w:bottom w:w="100" w:type="dxa"/>
              <w:right w:w="100" w:type="dxa"/>
            </w:tcMar>
          </w:tcPr>
          <w:p w14:paraId="594B5EA9" w14:textId="77777777" w:rsidR="00AD42A4"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5805" w:type="dxa"/>
            <w:shd w:val="clear" w:color="auto" w:fill="auto"/>
            <w:tcMar>
              <w:top w:w="100" w:type="dxa"/>
              <w:left w:w="100" w:type="dxa"/>
              <w:bottom w:w="100" w:type="dxa"/>
              <w:right w:w="100" w:type="dxa"/>
            </w:tcMar>
          </w:tcPr>
          <w:p w14:paraId="3B7B6631" w14:textId="77777777" w:rsidR="00AD42A4"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w:t>
            </w:r>
          </w:p>
        </w:tc>
        <w:tc>
          <w:tcPr>
            <w:tcW w:w="1515" w:type="dxa"/>
            <w:shd w:val="clear" w:color="auto" w:fill="auto"/>
            <w:tcMar>
              <w:top w:w="100" w:type="dxa"/>
              <w:left w:w="100" w:type="dxa"/>
              <w:bottom w:w="100" w:type="dxa"/>
              <w:right w:w="100" w:type="dxa"/>
            </w:tcMar>
          </w:tcPr>
          <w:p w14:paraId="080C35C1" w14:textId="77777777" w:rsidR="00AD42A4"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7E008E" w14:paraId="49D04951" w14:textId="77777777">
        <w:tc>
          <w:tcPr>
            <w:tcW w:w="1290" w:type="dxa"/>
            <w:shd w:val="clear" w:color="auto" w:fill="auto"/>
            <w:tcMar>
              <w:top w:w="100" w:type="dxa"/>
              <w:left w:w="100" w:type="dxa"/>
              <w:bottom w:w="100" w:type="dxa"/>
              <w:right w:w="100" w:type="dxa"/>
            </w:tcMar>
          </w:tcPr>
          <w:p w14:paraId="7AD4122D" w14:textId="1236EFF6"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5805" w:type="dxa"/>
            <w:shd w:val="clear" w:color="auto" w:fill="auto"/>
            <w:tcMar>
              <w:top w:w="100" w:type="dxa"/>
              <w:left w:w="100" w:type="dxa"/>
              <w:bottom w:w="100" w:type="dxa"/>
              <w:right w:w="100" w:type="dxa"/>
            </w:tcMar>
          </w:tcPr>
          <w:p w14:paraId="34CA34C5" w14:textId="717A1A72"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1515" w:type="dxa"/>
            <w:shd w:val="clear" w:color="auto" w:fill="auto"/>
            <w:tcMar>
              <w:top w:w="100" w:type="dxa"/>
              <w:left w:w="100" w:type="dxa"/>
              <w:bottom w:w="100" w:type="dxa"/>
              <w:right w:w="100" w:type="dxa"/>
            </w:tcMar>
          </w:tcPr>
          <w:p w14:paraId="4C573D1C" w14:textId="285B03ED" w:rsidR="007E008E" w:rsidRDefault="006A07F8">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7E008E" w14:paraId="171EC34C" w14:textId="77777777">
        <w:tc>
          <w:tcPr>
            <w:tcW w:w="1290" w:type="dxa"/>
            <w:shd w:val="clear" w:color="auto" w:fill="auto"/>
            <w:tcMar>
              <w:top w:w="100" w:type="dxa"/>
              <w:left w:w="100" w:type="dxa"/>
              <w:bottom w:w="100" w:type="dxa"/>
              <w:right w:w="100" w:type="dxa"/>
            </w:tcMar>
          </w:tcPr>
          <w:p w14:paraId="2BFBFBA6" w14:textId="60A0706E"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5805" w:type="dxa"/>
            <w:shd w:val="clear" w:color="auto" w:fill="auto"/>
            <w:tcMar>
              <w:top w:w="100" w:type="dxa"/>
              <w:left w:w="100" w:type="dxa"/>
              <w:bottom w:w="100" w:type="dxa"/>
              <w:right w:w="100" w:type="dxa"/>
            </w:tcMar>
          </w:tcPr>
          <w:p w14:paraId="7CF1E2C5" w14:textId="5F73FF5D"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515" w:type="dxa"/>
            <w:shd w:val="clear" w:color="auto" w:fill="auto"/>
            <w:tcMar>
              <w:top w:w="100" w:type="dxa"/>
              <w:left w:w="100" w:type="dxa"/>
              <w:bottom w:w="100" w:type="dxa"/>
              <w:right w:w="100" w:type="dxa"/>
            </w:tcMar>
          </w:tcPr>
          <w:p w14:paraId="6695AD1B" w14:textId="46B26A72" w:rsidR="007E008E" w:rsidRDefault="006A07F8">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7E008E" w14:paraId="24DCA35F" w14:textId="77777777">
        <w:tc>
          <w:tcPr>
            <w:tcW w:w="1290" w:type="dxa"/>
            <w:shd w:val="clear" w:color="auto" w:fill="auto"/>
            <w:tcMar>
              <w:top w:w="100" w:type="dxa"/>
              <w:left w:w="100" w:type="dxa"/>
              <w:bottom w:w="100" w:type="dxa"/>
              <w:right w:w="100" w:type="dxa"/>
            </w:tcMar>
          </w:tcPr>
          <w:p w14:paraId="16C5D00F" w14:textId="0606116B"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5805" w:type="dxa"/>
            <w:shd w:val="clear" w:color="auto" w:fill="auto"/>
            <w:tcMar>
              <w:top w:w="100" w:type="dxa"/>
              <w:left w:w="100" w:type="dxa"/>
              <w:bottom w:w="100" w:type="dxa"/>
              <w:right w:w="100" w:type="dxa"/>
            </w:tcMar>
          </w:tcPr>
          <w:p w14:paraId="3DCB8FAA" w14:textId="26A0FE7C"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tc>
        <w:tc>
          <w:tcPr>
            <w:tcW w:w="1515" w:type="dxa"/>
            <w:shd w:val="clear" w:color="auto" w:fill="auto"/>
            <w:tcMar>
              <w:top w:w="100" w:type="dxa"/>
              <w:left w:w="100" w:type="dxa"/>
              <w:bottom w:w="100" w:type="dxa"/>
              <w:right w:w="100" w:type="dxa"/>
            </w:tcMar>
          </w:tcPr>
          <w:p w14:paraId="455339C9" w14:textId="45AA7EF7" w:rsidR="007E008E" w:rsidRDefault="006A07F8">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7E008E" w14:paraId="7E6BD88D" w14:textId="77777777">
        <w:tc>
          <w:tcPr>
            <w:tcW w:w="1290" w:type="dxa"/>
            <w:shd w:val="clear" w:color="auto" w:fill="auto"/>
            <w:tcMar>
              <w:top w:w="100" w:type="dxa"/>
              <w:left w:w="100" w:type="dxa"/>
              <w:bottom w:w="100" w:type="dxa"/>
              <w:right w:w="100" w:type="dxa"/>
            </w:tcMar>
          </w:tcPr>
          <w:p w14:paraId="4DC1071D" w14:textId="31D6E71A"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5805" w:type="dxa"/>
            <w:shd w:val="clear" w:color="auto" w:fill="auto"/>
            <w:tcMar>
              <w:top w:w="100" w:type="dxa"/>
              <w:left w:w="100" w:type="dxa"/>
              <w:bottom w:w="100" w:type="dxa"/>
              <w:right w:w="100" w:type="dxa"/>
            </w:tcMar>
          </w:tcPr>
          <w:p w14:paraId="013ACA31" w14:textId="2E3D8EC6"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CASE DESCRIPTION</w:t>
            </w:r>
          </w:p>
        </w:tc>
        <w:tc>
          <w:tcPr>
            <w:tcW w:w="1515" w:type="dxa"/>
            <w:shd w:val="clear" w:color="auto" w:fill="auto"/>
            <w:tcMar>
              <w:top w:w="100" w:type="dxa"/>
              <w:left w:w="100" w:type="dxa"/>
              <w:bottom w:w="100" w:type="dxa"/>
              <w:right w:w="100" w:type="dxa"/>
            </w:tcMar>
          </w:tcPr>
          <w:p w14:paraId="476B676F" w14:textId="771927E6" w:rsidR="007E008E" w:rsidRDefault="006A07F8">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7E008E" w14:paraId="102D03DC" w14:textId="77777777">
        <w:tc>
          <w:tcPr>
            <w:tcW w:w="1290" w:type="dxa"/>
            <w:shd w:val="clear" w:color="auto" w:fill="auto"/>
            <w:tcMar>
              <w:top w:w="100" w:type="dxa"/>
              <w:left w:w="100" w:type="dxa"/>
              <w:bottom w:w="100" w:type="dxa"/>
              <w:right w:w="100" w:type="dxa"/>
            </w:tcMar>
          </w:tcPr>
          <w:p w14:paraId="12305543" w14:textId="1C6C90E3"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5805" w:type="dxa"/>
            <w:shd w:val="clear" w:color="auto" w:fill="auto"/>
            <w:tcMar>
              <w:top w:w="100" w:type="dxa"/>
              <w:left w:w="100" w:type="dxa"/>
              <w:bottom w:w="100" w:type="dxa"/>
              <w:right w:w="100" w:type="dxa"/>
            </w:tcMar>
          </w:tcPr>
          <w:p w14:paraId="6343954C" w14:textId="3E12C46D"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 ASSESSMENT</w:t>
            </w:r>
          </w:p>
        </w:tc>
        <w:tc>
          <w:tcPr>
            <w:tcW w:w="1515" w:type="dxa"/>
            <w:shd w:val="clear" w:color="auto" w:fill="auto"/>
            <w:tcMar>
              <w:top w:w="100" w:type="dxa"/>
              <w:left w:w="100" w:type="dxa"/>
              <w:bottom w:w="100" w:type="dxa"/>
              <w:right w:w="100" w:type="dxa"/>
            </w:tcMar>
          </w:tcPr>
          <w:p w14:paraId="32C37A06" w14:textId="31A5E05E" w:rsidR="007E008E" w:rsidRDefault="006A07F8">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tc>
      </w:tr>
      <w:tr w:rsidR="007E008E" w14:paraId="20FAE092" w14:textId="77777777">
        <w:tc>
          <w:tcPr>
            <w:tcW w:w="1290" w:type="dxa"/>
            <w:shd w:val="clear" w:color="auto" w:fill="auto"/>
            <w:tcMar>
              <w:top w:w="100" w:type="dxa"/>
              <w:left w:w="100" w:type="dxa"/>
              <w:bottom w:w="100" w:type="dxa"/>
              <w:right w:w="100" w:type="dxa"/>
            </w:tcMar>
          </w:tcPr>
          <w:p w14:paraId="147D950E" w14:textId="0BFF1009"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5805" w:type="dxa"/>
            <w:shd w:val="clear" w:color="auto" w:fill="auto"/>
            <w:tcMar>
              <w:top w:w="100" w:type="dxa"/>
              <w:left w:w="100" w:type="dxa"/>
              <w:bottom w:w="100" w:type="dxa"/>
              <w:right w:w="100" w:type="dxa"/>
            </w:tcMar>
          </w:tcPr>
          <w:p w14:paraId="30CBFA27" w14:textId="2D038A25"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KEY LEARNING </w:t>
            </w:r>
          </w:p>
        </w:tc>
        <w:tc>
          <w:tcPr>
            <w:tcW w:w="1515" w:type="dxa"/>
            <w:shd w:val="clear" w:color="auto" w:fill="auto"/>
            <w:tcMar>
              <w:top w:w="100" w:type="dxa"/>
              <w:left w:w="100" w:type="dxa"/>
              <w:bottom w:w="100" w:type="dxa"/>
              <w:right w:w="100" w:type="dxa"/>
            </w:tcMar>
          </w:tcPr>
          <w:p w14:paraId="1C486943" w14:textId="025DADC1" w:rsidR="007E008E" w:rsidRDefault="006A07F8">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tc>
      </w:tr>
      <w:tr w:rsidR="007E008E" w14:paraId="1569BAB5" w14:textId="77777777">
        <w:tc>
          <w:tcPr>
            <w:tcW w:w="1290" w:type="dxa"/>
            <w:shd w:val="clear" w:color="auto" w:fill="auto"/>
            <w:tcMar>
              <w:top w:w="100" w:type="dxa"/>
              <w:left w:w="100" w:type="dxa"/>
              <w:bottom w:w="100" w:type="dxa"/>
              <w:right w:w="100" w:type="dxa"/>
            </w:tcMar>
          </w:tcPr>
          <w:p w14:paraId="42B875EC" w14:textId="5316EC41"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5805" w:type="dxa"/>
            <w:shd w:val="clear" w:color="auto" w:fill="auto"/>
            <w:tcMar>
              <w:top w:w="100" w:type="dxa"/>
              <w:left w:w="100" w:type="dxa"/>
              <w:bottom w:w="100" w:type="dxa"/>
              <w:right w:w="100" w:type="dxa"/>
            </w:tcMar>
          </w:tcPr>
          <w:p w14:paraId="3990A46B" w14:textId="538AB923"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SUGGESTION</w:t>
            </w:r>
          </w:p>
        </w:tc>
        <w:tc>
          <w:tcPr>
            <w:tcW w:w="1515" w:type="dxa"/>
            <w:shd w:val="clear" w:color="auto" w:fill="auto"/>
            <w:tcMar>
              <w:top w:w="100" w:type="dxa"/>
              <w:left w:w="100" w:type="dxa"/>
              <w:bottom w:w="100" w:type="dxa"/>
              <w:right w:w="100" w:type="dxa"/>
            </w:tcMar>
          </w:tcPr>
          <w:p w14:paraId="7D0073DC" w14:textId="3D6CF2AD" w:rsidR="007E008E" w:rsidRDefault="006A07F8">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p>
        </w:tc>
      </w:tr>
      <w:tr w:rsidR="007E008E" w14:paraId="5E38BDD2" w14:textId="77777777">
        <w:tc>
          <w:tcPr>
            <w:tcW w:w="1290" w:type="dxa"/>
            <w:shd w:val="clear" w:color="auto" w:fill="auto"/>
            <w:tcMar>
              <w:top w:w="100" w:type="dxa"/>
              <w:left w:w="100" w:type="dxa"/>
              <w:bottom w:w="100" w:type="dxa"/>
              <w:right w:w="100" w:type="dxa"/>
            </w:tcMar>
          </w:tcPr>
          <w:p w14:paraId="0B8147C5" w14:textId="3172624A"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5805" w:type="dxa"/>
            <w:shd w:val="clear" w:color="auto" w:fill="auto"/>
            <w:tcMar>
              <w:top w:w="100" w:type="dxa"/>
              <w:left w:w="100" w:type="dxa"/>
              <w:bottom w:w="100" w:type="dxa"/>
              <w:right w:w="100" w:type="dxa"/>
            </w:tcMar>
          </w:tcPr>
          <w:p w14:paraId="79AB0490" w14:textId="2E6AA802"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515" w:type="dxa"/>
            <w:shd w:val="clear" w:color="auto" w:fill="auto"/>
            <w:tcMar>
              <w:top w:w="100" w:type="dxa"/>
              <w:left w:w="100" w:type="dxa"/>
              <w:bottom w:w="100" w:type="dxa"/>
              <w:right w:w="100" w:type="dxa"/>
            </w:tcMar>
          </w:tcPr>
          <w:p w14:paraId="30DB0AC4" w14:textId="72E04A12" w:rsidR="007E008E" w:rsidRDefault="006A07F8">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
        </w:tc>
      </w:tr>
      <w:tr w:rsidR="007E008E" w14:paraId="1A7881D1" w14:textId="77777777">
        <w:tc>
          <w:tcPr>
            <w:tcW w:w="1290" w:type="dxa"/>
            <w:shd w:val="clear" w:color="auto" w:fill="auto"/>
            <w:tcMar>
              <w:top w:w="100" w:type="dxa"/>
              <w:left w:w="100" w:type="dxa"/>
              <w:bottom w:w="100" w:type="dxa"/>
              <w:right w:w="100" w:type="dxa"/>
            </w:tcMar>
          </w:tcPr>
          <w:p w14:paraId="16C7C826" w14:textId="0C318136" w:rsidR="007E008E" w:rsidRDefault="007E008E" w:rsidP="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5805" w:type="dxa"/>
            <w:shd w:val="clear" w:color="auto" w:fill="auto"/>
            <w:tcMar>
              <w:top w:w="100" w:type="dxa"/>
              <w:left w:w="100" w:type="dxa"/>
              <w:bottom w:w="100" w:type="dxa"/>
              <w:right w:w="100" w:type="dxa"/>
            </w:tcMar>
          </w:tcPr>
          <w:p w14:paraId="0956106E" w14:textId="5372BDD2" w:rsidR="007E008E" w:rsidRDefault="007E008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1515" w:type="dxa"/>
            <w:shd w:val="clear" w:color="auto" w:fill="auto"/>
            <w:tcMar>
              <w:top w:w="100" w:type="dxa"/>
              <w:left w:w="100" w:type="dxa"/>
              <w:bottom w:w="100" w:type="dxa"/>
              <w:right w:w="100" w:type="dxa"/>
            </w:tcMar>
          </w:tcPr>
          <w:p w14:paraId="45C10F65" w14:textId="3FC93404" w:rsidR="007E008E" w:rsidRDefault="006A07F8">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w:t>
            </w:r>
          </w:p>
        </w:tc>
      </w:tr>
    </w:tbl>
    <w:p w14:paraId="2DECC0F3" w14:textId="77777777" w:rsidR="00AD42A4" w:rsidRDefault="00AD42A4">
      <w:pPr>
        <w:spacing w:after="0" w:line="360" w:lineRule="auto"/>
        <w:ind w:right="481"/>
        <w:rPr>
          <w:rFonts w:ascii="Times New Roman" w:eastAsia="Times New Roman" w:hAnsi="Times New Roman" w:cs="Times New Roman"/>
          <w:b/>
          <w:sz w:val="32"/>
          <w:szCs w:val="32"/>
        </w:rPr>
      </w:pPr>
    </w:p>
    <w:p w14:paraId="6EB2FDD2" w14:textId="77777777" w:rsidR="00AD42A4" w:rsidRDefault="00AD42A4">
      <w:pPr>
        <w:spacing w:after="0" w:line="360" w:lineRule="auto"/>
        <w:ind w:right="481"/>
        <w:rPr>
          <w:rFonts w:ascii="Times New Roman" w:eastAsia="Times New Roman" w:hAnsi="Times New Roman" w:cs="Times New Roman"/>
          <w:b/>
          <w:sz w:val="32"/>
          <w:szCs w:val="32"/>
        </w:rPr>
      </w:pPr>
    </w:p>
    <w:p w14:paraId="63C04F6F" w14:textId="77777777" w:rsidR="00AD42A4" w:rsidRDefault="00AD42A4">
      <w:pPr>
        <w:spacing w:after="0" w:line="360" w:lineRule="auto"/>
        <w:ind w:right="481"/>
        <w:rPr>
          <w:rFonts w:ascii="Times New Roman" w:eastAsia="Times New Roman" w:hAnsi="Times New Roman" w:cs="Times New Roman"/>
          <w:b/>
          <w:sz w:val="32"/>
          <w:szCs w:val="32"/>
        </w:rPr>
      </w:pPr>
    </w:p>
    <w:p w14:paraId="63B42FC3" w14:textId="77777777" w:rsidR="00AD42A4" w:rsidRDefault="00AD42A4">
      <w:pPr>
        <w:spacing w:after="0" w:line="360" w:lineRule="auto"/>
        <w:ind w:right="481"/>
        <w:rPr>
          <w:rFonts w:ascii="Times New Roman" w:eastAsia="Times New Roman" w:hAnsi="Times New Roman" w:cs="Times New Roman"/>
          <w:b/>
          <w:sz w:val="32"/>
          <w:szCs w:val="32"/>
        </w:rPr>
      </w:pPr>
    </w:p>
    <w:p w14:paraId="12992EE6" w14:textId="77777777" w:rsidR="00AD42A4" w:rsidRDefault="00AD42A4">
      <w:pPr>
        <w:spacing w:after="0" w:line="360" w:lineRule="auto"/>
        <w:ind w:right="481"/>
        <w:rPr>
          <w:rFonts w:ascii="Times New Roman" w:eastAsia="Times New Roman" w:hAnsi="Times New Roman" w:cs="Times New Roman"/>
          <w:b/>
          <w:sz w:val="32"/>
          <w:szCs w:val="32"/>
        </w:rPr>
      </w:pPr>
    </w:p>
    <w:p w14:paraId="19A8E5FA" w14:textId="77777777" w:rsidR="00AD42A4" w:rsidRDefault="00AD42A4">
      <w:pPr>
        <w:spacing w:after="0" w:line="360" w:lineRule="auto"/>
        <w:ind w:right="481"/>
        <w:rPr>
          <w:rFonts w:ascii="Times New Roman" w:eastAsia="Times New Roman" w:hAnsi="Times New Roman" w:cs="Times New Roman"/>
          <w:b/>
          <w:sz w:val="32"/>
          <w:szCs w:val="32"/>
        </w:rPr>
      </w:pPr>
    </w:p>
    <w:p w14:paraId="7F8B790A" w14:textId="77777777" w:rsidR="00AD42A4" w:rsidRDefault="00AD42A4">
      <w:pPr>
        <w:spacing w:after="0" w:line="360" w:lineRule="auto"/>
        <w:ind w:right="481"/>
        <w:rPr>
          <w:rFonts w:ascii="Times New Roman" w:eastAsia="Times New Roman" w:hAnsi="Times New Roman" w:cs="Times New Roman"/>
          <w:b/>
          <w:sz w:val="32"/>
          <w:szCs w:val="32"/>
        </w:rPr>
      </w:pPr>
    </w:p>
    <w:p w14:paraId="24AF70F1" w14:textId="77777777" w:rsidR="00AD42A4" w:rsidRDefault="00AD42A4">
      <w:pPr>
        <w:spacing w:after="0" w:line="360" w:lineRule="auto"/>
        <w:ind w:right="481"/>
        <w:rPr>
          <w:rFonts w:ascii="Times New Roman" w:eastAsia="Times New Roman" w:hAnsi="Times New Roman" w:cs="Times New Roman"/>
          <w:b/>
          <w:sz w:val="32"/>
          <w:szCs w:val="32"/>
        </w:rPr>
      </w:pPr>
    </w:p>
    <w:p w14:paraId="798C8E36" w14:textId="77777777" w:rsidR="00AD42A4" w:rsidRDefault="00AD42A4">
      <w:pPr>
        <w:spacing w:after="0" w:line="360" w:lineRule="auto"/>
        <w:ind w:right="481"/>
        <w:rPr>
          <w:rFonts w:ascii="Times New Roman" w:eastAsia="Times New Roman" w:hAnsi="Times New Roman" w:cs="Times New Roman"/>
          <w:b/>
          <w:sz w:val="32"/>
          <w:szCs w:val="32"/>
        </w:rPr>
      </w:pPr>
    </w:p>
    <w:p w14:paraId="2038A475" w14:textId="77777777" w:rsidR="00AD42A4" w:rsidRDefault="00AD42A4">
      <w:pPr>
        <w:spacing w:after="0" w:line="360" w:lineRule="auto"/>
        <w:ind w:right="481"/>
        <w:rPr>
          <w:rFonts w:ascii="Times New Roman" w:eastAsia="Times New Roman" w:hAnsi="Times New Roman" w:cs="Times New Roman"/>
          <w:b/>
          <w:sz w:val="32"/>
          <w:szCs w:val="32"/>
        </w:rPr>
      </w:pPr>
    </w:p>
    <w:p w14:paraId="3809D347" w14:textId="77777777" w:rsidR="00AD42A4" w:rsidRDefault="00AD42A4">
      <w:pPr>
        <w:spacing w:after="0" w:line="360" w:lineRule="auto"/>
        <w:ind w:right="481"/>
        <w:rPr>
          <w:rFonts w:ascii="Times New Roman" w:eastAsia="Times New Roman" w:hAnsi="Times New Roman" w:cs="Times New Roman"/>
          <w:b/>
          <w:sz w:val="32"/>
          <w:szCs w:val="32"/>
        </w:rPr>
      </w:pPr>
    </w:p>
    <w:p w14:paraId="6BFB1C2A" w14:textId="77777777" w:rsidR="00AD42A4" w:rsidRDefault="00AD42A4">
      <w:pPr>
        <w:spacing w:after="0" w:line="360" w:lineRule="auto"/>
        <w:ind w:right="481"/>
        <w:rPr>
          <w:rFonts w:ascii="Times New Roman" w:eastAsia="Times New Roman" w:hAnsi="Times New Roman" w:cs="Times New Roman"/>
          <w:b/>
          <w:sz w:val="32"/>
          <w:szCs w:val="32"/>
        </w:rPr>
      </w:pPr>
    </w:p>
    <w:p w14:paraId="1B745B24" w14:textId="77777777" w:rsidR="00AD42A4" w:rsidRDefault="00AD42A4">
      <w:pPr>
        <w:spacing w:after="0" w:line="360" w:lineRule="auto"/>
        <w:ind w:right="481"/>
        <w:rPr>
          <w:rFonts w:ascii="Times New Roman" w:eastAsia="Times New Roman" w:hAnsi="Times New Roman" w:cs="Times New Roman"/>
          <w:b/>
          <w:sz w:val="32"/>
          <w:szCs w:val="32"/>
        </w:rPr>
      </w:pPr>
    </w:p>
    <w:p w14:paraId="59D92C7F" w14:textId="77777777" w:rsidR="00AD42A4" w:rsidRDefault="00AD42A4">
      <w:pPr>
        <w:spacing w:after="0" w:line="360" w:lineRule="auto"/>
        <w:ind w:right="481"/>
        <w:rPr>
          <w:rFonts w:ascii="Times New Roman" w:eastAsia="Times New Roman" w:hAnsi="Times New Roman" w:cs="Times New Roman"/>
          <w:b/>
          <w:sz w:val="32"/>
          <w:szCs w:val="32"/>
        </w:rPr>
      </w:pPr>
    </w:p>
    <w:p w14:paraId="7B8CFBB8" w14:textId="1F88B57C" w:rsidR="00AD42A4" w:rsidRDefault="007E008E" w:rsidP="007E008E">
      <w:pPr>
        <w:spacing w:after="0" w:line="360" w:lineRule="auto"/>
        <w:ind w:right="48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2324E886" w14:textId="77777777" w:rsidR="007E008E" w:rsidRPr="007E008E" w:rsidRDefault="007E008E" w:rsidP="007E008E">
      <w:pPr>
        <w:spacing w:after="0" w:line="360" w:lineRule="auto"/>
        <w:ind w:right="481" w:firstLine="720"/>
        <w:rPr>
          <w:rFonts w:ascii="Times New Roman" w:eastAsia="Times New Roman" w:hAnsi="Times New Roman" w:cs="Times New Roman"/>
          <w:bCs/>
          <w:sz w:val="24"/>
          <w:szCs w:val="24"/>
          <w:lang w:val="en-IN"/>
        </w:rPr>
      </w:pPr>
      <w:r w:rsidRPr="007E008E">
        <w:rPr>
          <w:rFonts w:ascii="Times New Roman" w:eastAsia="Times New Roman" w:hAnsi="Times New Roman" w:cs="Times New Roman"/>
          <w:bCs/>
          <w:sz w:val="24"/>
          <w:szCs w:val="24"/>
          <w:lang w:val="en-IN"/>
        </w:rPr>
        <w:t>The Vishaka and Others vs. State of Rajasthan (1997) case emerged from a horrific incident involving the gang rape of Bhanwari Devi, a social worker, in Rajasthan. Devi had been working with the Women’s Development Program, trying to prevent child marriages in rural areas. When she attempted to stop a marriage involving a one-year-old girl, she was brutally gang-raped by members of the Gurjar community. Despite the severity of the crime, the local authorities failed to take appropriate action, and the judicial system was slow in providing justice. This incident exposed the dire need for legal frameworks to protect women from sexual harassment in the workplace, a concern that was largely unaddressed in Indian law at the time. In response, a group of women’s rights organizations filed a Public Interest Litigation (PIL) seeking justice for Bhanwari Devi and for the formulation of guidelines to address workplace sexual harassment across the country.</w:t>
      </w:r>
    </w:p>
    <w:p w14:paraId="59F93073" w14:textId="77777777" w:rsidR="007E008E" w:rsidRPr="007E008E" w:rsidRDefault="007E008E" w:rsidP="007E008E">
      <w:pPr>
        <w:spacing w:after="0" w:line="360" w:lineRule="auto"/>
        <w:ind w:right="481" w:firstLine="720"/>
        <w:rPr>
          <w:rFonts w:ascii="Times New Roman" w:eastAsia="Times New Roman" w:hAnsi="Times New Roman" w:cs="Times New Roman"/>
          <w:bCs/>
          <w:sz w:val="24"/>
          <w:szCs w:val="24"/>
          <w:lang w:val="en-IN"/>
        </w:rPr>
      </w:pPr>
      <w:r w:rsidRPr="007E008E">
        <w:rPr>
          <w:rFonts w:ascii="Times New Roman" w:eastAsia="Times New Roman" w:hAnsi="Times New Roman" w:cs="Times New Roman"/>
          <w:bCs/>
          <w:sz w:val="24"/>
          <w:szCs w:val="24"/>
          <w:lang w:val="en-IN"/>
        </w:rPr>
        <w:t xml:space="preserve">The Supreme Court of India, acknowledging the legislative vacuum, took proactive steps to safeguard women’s rights at the workplace by issuing the Vishaka Guidelines. These guidelines defined sexual harassment in a broad and comprehensive manner, encompassing unwelcome sexual advances, requests for sexual </w:t>
      </w:r>
      <w:proofErr w:type="spellStart"/>
      <w:r w:rsidRPr="007E008E">
        <w:rPr>
          <w:rFonts w:ascii="Times New Roman" w:eastAsia="Times New Roman" w:hAnsi="Times New Roman" w:cs="Times New Roman"/>
          <w:bCs/>
          <w:sz w:val="24"/>
          <w:szCs w:val="24"/>
          <w:lang w:val="en-IN"/>
        </w:rPr>
        <w:t>favors</w:t>
      </w:r>
      <w:proofErr w:type="spellEnd"/>
      <w:r w:rsidRPr="007E008E">
        <w:rPr>
          <w:rFonts w:ascii="Times New Roman" w:eastAsia="Times New Roman" w:hAnsi="Times New Roman" w:cs="Times New Roman"/>
          <w:bCs/>
          <w:sz w:val="24"/>
          <w:szCs w:val="24"/>
          <w:lang w:val="en-IN"/>
        </w:rPr>
        <w:t>, and any other sexually inappropriate conduct. The Court highlighted that the absence of a specific law on the matter violated fundamental rights under Articles 14, 15, 19, and 21 of the Constitution of India, including the right to equality, freedom of expression, and the right to live with dignity. The Court further invoked international conventions, particularly the Convention on the Elimination of All Forms of Discrimination Against Women (CEDAW), to fill the gap in domestic legislation, showcasing India’s commitment to global standards of gender equality.</w:t>
      </w:r>
    </w:p>
    <w:p w14:paraId="55971F82" w14:textId="4D9EFA03" w:rsidR="00AD42A4" w:rsidRPr="007E008E" w:rsidRDefault="007E008E" w:rsidP="007E008E">
      <w:pPr>
        <w:spacing w:after="0" w:line="360" w:lineRule="auto"/>
        <w:ind w:right="481" w:firstLine="720"/>
        <w:rPr>
          <w:rFonts w:ascii="Times New Roman" w:eastAsia="Times New Roman" w:hAnsi="Times New Roman" w:cs="Times New Roman"/>
          <w:bCs/>
          <w:sz w:val="24"/>
          <w:szCs w:val="24"/>
          <w:lang w:val="en-IN"/>
        </w:rPr>
      </w:pPr>
      <w:r w:rsidRPr="007E008E">
        <w:rPr>
          <w:rFonts w:ascii="Times New Roman" w:eastAsia="Times New Roman" w:hAnsi="Times New Roman" w:cs="Times New Roman"/>
          <w:bCs/>
          <w:sz w:val="24"/>
          <w:szCs w:val="24"/>
          <w:lang w:val="en-IN"/>
        </w:rPr>
        <w:t>The Vishaka Guidelines were groundbreaking, as they required employers in both the public and private sectors to take preventive and corrective measures against sexual harassment. These included setting up internal complaints committees, conducting awareness programs, and ensuring that complaints were treated with the utmost seriousness. By making these guidelines binding until formal legislation was passed, the Court effectively introduced a framework to protect women at the workplace in the absence of specific laws. The Sexual Harassment of Women at Workplace (Prevention, Prohibition, and Redressal) Act, 2013, which was eventually enacted, codified these guidelines, ensuring that their implementation continued across various sectors. The Vishaka case remains a significant moment in Indian legal history, setting a precedent for judicial activism and highlighting the importance of safeguarding women's rights in a rapidly evolving socio-legal landscape</w:t>
      </w:r>
      <w:r>
        <w:rPr>
          <w:rFonts w:ascii="Times New Roman" w:eastAsia="Times New Roman" w:hAnsi="Times New Roman" w:cs="Times New Roman"/>
          <w:bCs/>
          <w:sz w:val="24"/>
          <w:szCs w:val="24"/>
          <w:lang w:val="en-IN"/>
        </w:rPr>
        <w:t>.</w:t>
      </w:r>
    </w:p>
    <w:p w14:paraId="31FC6C8B" w14:textId="77777777" w:rsidR="00AD42A4" w:rsidRDefault="00000000" w:rsidP="007E008E">
      <w:pPr>
        <w:spacing w:after="0" w:line="360" w:lineRule="auto"/>
        <w:ind w:right="481"/>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Introduction to Gender Equality</w:t>
      </w:r>
    </w:p>
    <w:p w14:paraId="3BDCED68" w14:textId="77777777" w:rsidR="00AD42A4" w:rsidRDefault="00AD42A4">
      <w:pPr>
        <w:spacing w:after="0" w:line="360" w:lineRule="auto"/>
        <w:ind w:right="481"/>
        <w:jc w:val="center"/>
        <w:rPr>
          <w:rFonts w:ascii="Times New Roman" w:eastAsia="Times New Roman" w:hAnsi="Times New Roman" w:cs="Times New Roman"/>
          <w:b/>
          <w:sz w:val="34"/>
          <w:szCs w:val="34"/>
        </w:rPr>
      </w:pPr>
    </w:p>
    <w:p w14:paraId="258C919D" w14:textId="77777777" w:rsidR="00AD42A4" w:rsidRDefault="00000000">
      <w:pPr>
        <w:spacing w:after="0" w:line="360" w:lineRule="auto"/>
        <w:ind w:right="481"/>
        <w:rPr>
          <w:rFonts w:ascii="Times New Roman" w:eastAsia="Times New Roman" w:hAnsi="Times New Roman" w:cs="Times New Roman"/>
          <w:b/>
          <w:sz w:val="32"/>
          <w:szCs w:val="32"/>
        </w:rPr>
      </w:pPr>
      <w:r>
        <w:rPr>
          <w:rFonts w:ascii="Times New Roman" w:eastAsia="Times New Roman" w:hAnsi="Times New Roman" w:cs="Times New Roman"/>
          <w:b/>
          <w:sz w:val="32"/>
          <w:szCs w:val="32"/>
        </w:rPr>
        <w:t>What is Gender Equality?</w:t>
      </w:r>
    </w:p>
    <w:p w14:paraId="6ADC56E1" w14:textId="3760D1D6" w:rsidR="00F03C93" w:rsidRPr="007E008E" w:rsidRDefault="007E008E" w:rsidP="00F03C93">
      <w:pPr>
        <w:spacing w:after="0" w:line="360" w:lineRule="auto"/>
        <w:ind w:right="481" w:firstLine="720"/>
        <w:rPr>
          <w:rFonts w:ascii="Times New Roman" w:eastAsia="Times New Roman" w:hAnsi="Times New Roman" w:cs="Times New Roman"/>
          <w:bCs/>
          <w:sz w:val="24"/>
          <w:szCs w:val="24"/>
        </w:rPr>
      </w:pPr>
      <w:r w:rsidRPr="007E008E">
        <w:rPr>
          <w:rFonts w:ascii="Times New Roman" w:eastAsia="Times New Roman" w:hAnsi="Times New Roman" w:cs="Times New Roman"/>
          <w:bCs/>
          <w:sz w:val="24"/>
          <w:szCs w:val="24"/>
        </w:rPr>
        <w:t>Gender equality is the state where individuals, regardless of their gender, have equal rights, opportunities, and responsibilities. It is based on the premise that all people should be treated equally, without discrimination based on gender. Achieving gender equality involves not only ensuring equal access to resources and opportunities but also addressing the societal structures and norms that perpetuate gender-based disparities.</w:t>
      </w:r>
    </w:p>
    <w:p w14:paraId="4120EF62" w14:textId="77777777" w:rsidR="007E008E" w:rsidRDefault="00000000" w:rsidP="007E008E">
      <w:pPr>
        <w:spacing w:after="0" w:line="360" w:lineRule="auto"/>
        <w:ind w:right="481"/>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 Importance of Gender Equality</w:t>
      </w:r>
    </w:p>
    <w:p w14:paraId="1F6EDD1A" w14:textId="548D05B6" w:rsidR="00AD42A4" w:rsidRPr="007E008E" w:rsidRDefault="00000000" w:rsidP="007E008E">
      <w:pPr>
        <w:spacing w:after="0" w:line="360" w:lineRule="auto"/>
        <w:ind w:right="481" w:firstLine="360"/>
        <w:rPr>
          <w:rFonts w:ascii="Times New Roman" w:eastAsia="Times New Roman" w:hAnsi="Times New Roman" w:cs="Times New Roman"/>
          <w:b/>
          <w:sz w:val="32"/>
          <w:szCs w:val="32"/>
        </w:rPr>
      </w:pPr>
      <w:r>
        <w:rPr>
          <w:rFonts w:ascii="Times New Roman" w:eastAsia="Times New Roman" w:hAnsi="Times New Roman" w:cs="Times New Roman"/>
          <w:sz w:val="24"/>
          <w:szCs w:val="24"/>
        </w:rPr>
        <w:t>Gender equality is fundamental to creating a fair and just society. It is not only a basic human right but also a cornerstone for the well-being and development of communities and nations. When gender equality is achieved, it leads to:</w:t>
      </w:r>
    </w:p>
    <w:p w14:paraId="7B24FC4B" w14:textId="1B0CD7BB" w:rsidR="00AD42A4" w:rsidRDefault="00000000">
      <w:pPr>
        <w:numPr>
          <w:ilvl w:val="0"/>
          <w:numId w:val="12"/>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Economic Growth:</w:t>
      </w:r>
      <w:r>
        <w:rPr>
          <w:rFonts w:ascii="Times New Roman" w:eastAsia="Times New Roman" w:hAnsi="Times New Roman" w:cs="Times New Roman"/>
          <w:sz w:val="24"/>
          <w:szCs w:val="24"/>
        </w:rPr>
        <w:t xml:space="preserve"> Empowering women and men equally </w:t>
      </w:r>
      <w:r w:rsidR="002E748D">
        <w:rPr>
          <w:rFonts w:ascii="Times New Roman" w:eastAsia="Times New Roman" w:hAnsi="Times New Roman" w:cs="Times New Roman"/>
          <w:sz w:val="24"/>
          <w:szCs w:val="24"/>
        </w:rPr>
        <w:t>allow</w:t>
      </w:r>
      <w:r>
        <w:rPr>
          <w:rFonts w:ascii="Times New Roman" w:eastAsia="Times New Roman" w:hAnsi="Times New Roman" w:cs="Times New Roman"/>
          <w:sz w:val="24"/>
          <w:szCs w:val="24"/>
        </w:rPr>
        <w:t xml:space="preserve"> for fuller participation in the workforce, increasing productivity and innovation.</w:t>
      </w:r>
    </w:p>
    <w:p w14:paraId="54EFBEE2" w14:textId="56BCD229" w:rsidR="00AD42A4" w:rsidRDefault="00000000">
      <w:pPr>
        <w:numPr>
          <w:ilvl w:val="0"/>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Social Stability:</w:t>
      </w:r>
      <w:r>
        <w:rPr>
          <w:rFonts w:ascii="Times New Roman" w:eastAsia="Times New Roman" w:hAnsi="Times New Roman" w:cs="Times New Roman"/>
          <w:sz w:val="24"/>
          <w:szCs w:val="24"/>
        </w:rPr>
        <w:t xml:space="preserve"> Societies that promote equality are generally more cohesive, peaceful, and democratic.</w:t>
      </w:r>
    </w:p>
    <w:p w14:paraId="0C7AC4D6" w14:textId="10E5BC1D" w:rsidR="00AD42A4" w:rsidRDefault="00000000">
      <w:pPr>
        <w:numPr>
          <w:ilvl w:val="0"/>
          <w:numId w:val="1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Improved Health and Education:</w:t>
      </w:r>
      <w:r>
        <w:rPr>
          <w:rFonts w:ascii="Times New Roman" w:eastAsia="Times New Roman" w:hAnsi="Times New Roman" w:cs="Times New Roman"/>
          <w:sz w:val="24"/>
          <w:szCs w:val="24"/>
        </w:rPr>
        <w:t xml:space="preserve"> Gender equality often leads to better health outcomes, better access to education for both sexes, and healthier family dynamics.</w:t>
      </w:r>
    </w:p>
    <w:p w14:paraId="24868AAF" w14:textId="58831245" w:rsidR="00F03C93" w:rsidRPr="007E008E" w:rsidRDefault="00000000" w:rsidP="007E008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Gender equality is not just a fundamental human right, but also a critical global issue that impacts all areas of society. Achieving gender equality is essential for advancing other </w:t>
      </w:r>
      <w:r>
        <w:rPr>
          <w:rFonts w:ascii="Times New Roman" w:eastAsia="Times New Roman" w:hAnsi="Times New Roman" w:cs="Times New Roman"/>
          <w:b/>
          <w:sz w:val="24"/>
          <w:szCs w:val="24"/>
        </w:rPr>
        <w:t>Sustainable Development Goals (SDGs)</w:t>
      </w:r>
      <w:r>
        <w:rPr>
          <w:rFonts w:ascii="Times New Roman" w:eastAsia="Times New Roman" w:hAnsi="Times New Roman" w:cs="Times New Roman"/>
          <w:sz w:val="24"/>
          <w:szCs w:val="24"/>
        </w:rPr>
        <w:t xml:space="preserve"> set by the United Nations, as it directly influences economic growth, social stability, and the empowerment of individuals. Without gender equality, the full potential of communities and nations cannot be realized, and the progress toward other goals, such as reducing poverty, improving health outcomes, and fostering inclusive education, would be significantly hindered.</w:t>
      </w:r>
    </w:p>
    <w:p w14:paraId="02070BF7" w14:textId="77777777" w:rsidR="00AD42A4" w:rsidRDefault="00000000">
      <w:pPr>
        <w:spacing w:after="0" w:line="360" w:lineRule="auto"/>
        <w:ind w:right="481"/>
        <w:rPr>
          <w:rFonts w:ascii="Times New Roman" w:eastAsia="Times New Roman" w:hAnsi="Times New Roman" w:cs="Times New Roman"/>
          <w:sz w:val="24"/>
          <w:szCs w:val="24"/>
        </w:rPr>
      </w:pPr>
      <w:r>
        <w:rPr>
          <w:rFonts w:ascii="Times New Roman" w:eastAsia="Times New Roman" w:hAnsi="Times New Roman" w:cs="Times New Roman"/>
          <w:b/>
          <w:sz w:val="32"/>
          <w:szCs w:val="32"/>
        </w:rPr>
        <w:t>Historical Context of Gender Inequality</w:t>
      </w:r>
    </w:p>
    <w:p w14:paraId="5E08D483" w14:textId="48EBDA35" w:rsidR="00AD42A4" w:rsidRDefault="00000000" w:rsidP="007E008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Gender inequality has deep historical roots. Societal norms have long dictated that women’s roles were primarily domestic, while men were seen as the breadwinners and decision-makers. Over time, this led to the marginalization of women in public and professional spheres. Despite significant </w:t>
      </w:r>
      <w:r>
        <w:rPr>
          <w:rFonts w:ascii="Times New Roman" w:eastAsia="Times New Roman" w:hAnsi="Times New Roman" w:cs="Times New Roman"/>
          <w:sz w:val="24"/>
          <w:szCs w:val="24"/>
        </w:rPr>
        <w:lastRenderedPageBreak/>
        <w:t xml:space="preserve">progress, gender disparities persist, especially in the </w:t>
      </w:r>
      <w:r>
        <w:rPr>
          <w:rFonts w:ascii="Times New Roman" w:eastAsia="Times New Roman" w:hAnsi="Times New Roman" w:cs="Times New Roman"/>
          <w:b/>
          <w:sz w:val="24"/>
          <w:szCs w:val="24"/>
        </w:rPr>
        <w:t>workplace</w:t>
      </w:r>
      <w:r>
        <w:rPr>
          <w:rFonts w:ascii="Times New Roman" w:eastAsia="Times New Roman" w:hAnsi="Times New Roman" w:cs="Times New Roman"/>
          <w:sz w:val="24"/>
          <w:szCs w:val="24"/>
        </w:rPr>
        <w:t>, where issues like unequal pay, limited leadership opportunities, and sexual harassment continue to affect women.</w:t>
      </w:r>
    </w:p>
    <w:p w14:paraId="13CD89FF" w14:textId="77777777" w:rsidR="00AD42A4" w:rsidRDefault="00000000">
      <w:pPr>
        <w:pStyle w:val="Heading4"/>
        <w:keepNext w:val="0"/>
        <w:keepLines w:val="0"/>
        <w:spacing w:before="240" w:line="360" w:lineRule="auto"/>
        <w:ind w:right="481"/>
        <w:jc w:val="both"/>
        <w:rPr>
          <w:rFonts w:ascii="Times New Roman" w:eastAsia="Times New Roman" w:hAnsi="Times New Roman" w:cs="Times New Roman"/>
          <w:b/>
          <w:i w:val="0"/>
          <w:color w:val="000000"/>
          <w:sz w:val="24"/>
          <w:szCs w:val="24"/>
        </w:rPr>
      </w:pPr>
      <w:bookmarkStart w:id="0" w:name="_t8pxmt7qpzap" w:colFirst="0" w:colLast="0"/>
      <w:bookmarkEnd w:id="0"/>
      <w:r>
        <w:rPr>
          <w:rFonts w:ascii="Times New Roman" w:eastAsia="Times New Roman" w:hAnsi="Times New Roman" w:cs="Times New Roman"/>
          <w:b/>
          <w:i w:val="0"/>
          <w:color w:val="000000"/>
          <w:sz w:val="24"/>
          <w:szCs w:val="24"/>
        </w:rPr>
        <w:t>Key Issues in Gender Inequality:</w:t>
      </w:r>
    </w:p>
    <w:p w14:paraId="4F33BE66" w14:textId="66EA1A6E" w:rsidR="00AD42A4" w:rsidRDefault="00000000">
      <w:pPr>
        <w:numPr>
          <w:ilvl w:val="0"/>
          <w:numId w:val="14"/>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Unequal Pay and Economic Empowerment:</w:t>
      </w:r>
      <w:r>
        <w:rPr>
          <w:rFonts w:ascii="Times New Roman" w:eastAsia="Times New Roman" w:hAnsi="Times New Roman" w:cs="Times New Roman"/>
          <w:sz w:val="24"/>
          <w:szCs w:val="24"/>
        </w:rPr>
        <w:t xml:space="preserve"> Women, on average, earn less than men for similar work. This is a direct consequence of historic biases and unequal access to resources and opportunities.</w:t>
      </w:r>
    </w:p>
    <w:p w14:paraId="0F1C22D4" w14:textId="3E04E9E5" w:rsidR="00AD42A4" w:rsidRDefault="00000000">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Workplace Discrimination and Glass Ceilings:</w:t>
      </w:r>
      <w:r>
        <w:rPr>
          <w:rFonts w:ascii="Times New Roman" w:eastAsia="Times New Roman" w:hAnsi="Times New Roman" w:cs="Times New Roman"/>
          <w:sz w:val="24"/>
          <w:szCs w:val="24"/>
        </w:rPr>
        <w:t xml:space="preserve"> Women often face systemic barriers that prevent them from reaching leadership roles in organizations, creating a "glass ceiling" effect.</w:t>
      </w:r>
    </w:p>
    <w:p w14:paraId="4570D557" w14:textId="5D8DBA4D" w:rsidR="00AD42A4" w:rsidRDefault="00000000">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Sexual Harassment and Violence:</w:t>
      </w:r>
      <w:r>
        <w:rPr>
          <w:rFonts w:ascii="Times New Roman" w:eastAsia="Times New Roman" w:hAnsi="Times New Roman" w:cs="Times New Roman"/>
          <w:sz w:val="24"/>
          <w:szCs w:val="24"/>
        </w:rPr>
        <w:t xml:space="preserve"> Women continue to be subjected to sexual harassment and violence in both public and private spheres. This violence not only harms women physically and emotionally but also </w:t>
      </w:r>
      <w:r w:rsidR="002E748D">
        <w:rPr>
          <w:rFonts w:ascii="Times New Roman" w:eastAsia="Times New Roman" w:hAnsi="Times New Roman" w:cs="Times New Roman"/>
          <w:sz w:val="24"/>
          <w:szCs w:val="24"/>
        </w:rPr>
        <w:t>contribute</w:t>
      </w:r>
      <w:r>
        <w:rPr>
          <w:rFonts w:ascii="Times New Roman" w:eastAsia="Times New Roman" w:hAnsi="Times New Roman" w:cs="Times New Roman"/>
          <w:sz w:val="24"/>
          <w:szCs w:val="24"/>
        </w:rPr>
        <w:t xml:space="preserve"> to their disenfranchisement and marginalization.</w:t>
      </w:r>
    </w:p>
    <w:p w14:paraId="07468FA7" w14:textId="68B37DBE" w:rsidR="00AD42A4" w:rsidRPr="007E008E" w:rsidRDefault="00000000" w:rsidP="007E008E">
      <w:pPr>
        <w:numPr>
          <w:ilvl w:val="0"/>
          <w:numId w:val="1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Educational Barriers:</w:t>
      </w:r>
      <w:r>
        <w:rPr>
          <w:rFonts w:ascii="Times New Roman" w:eastAsia="Times New Roman" w:hAnsi="Times New Roman" w:cs="Times New Roman"/>
          <w:sz w:val="24"/>
          <w:szCs w:val="24"/>
        </w:rPr>
        <w:t xml:space="preserve"> In many parts of the world, girls face barriers to education, such as cultural restrictions, early marriages, and safety concerns. This impacts their future opportunities and their ability to contribute to the economy.</w:t>
      </w:r>
    </w:p>
    <w:p w14:paraId="3901AFC4" w14:textId="77777777" w:rsidR="00AD42A4" w:rsidRDefault="00000000">
      <w:pPr>
        <w:spacing w:after="0" w:line="360" w:lineRule="auto"/>
        <w:ind w:right="481"/>
        <w:rPr>
          <w:rFonts w:ascii="Times New Roman" w:eastAsia="Times New Roman" w:hAnsi="Times New Roman" w:cs="Times New Roman"/>
          <w:sz w:val="24"/>
          <w:szCs w:val="24"/>
        </w:rPr>
      </w:pPr>
      <w:r>
        <w:rPr>
          <w:rFonts w:ascii="Times New Roman" w:eastAsia="Times New Roman" w:hAnsi="Times New Roman" w:cs="Times New Roman"/>
          <w:b/>
          <w:sz w:val="32"/>
          <w:szCs w:val="32"/>
        </w:rPr>
        <w:t>Challenges to Achieving Gender Equality</w:t>
      </w:r>
    </w:p>
    <w:p w14:paraId="10C0D197" w14:textId="77777777" w:rsidR="00AD42A4" w:rsidRDefault="00000000" w:rsidP="002E748D">
      <w:pPr>
        <w:spacing w:before="240" w:after="24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Despite global progress, there are persistent barriers to achieving full gender equality. In many societies, deeply ingrained gender norms and stereotypes continue to limit women's choices and opportunities. Cultural expectations about gender roles, the unequal distribution of unpaid domestic labor, and the lack of legal frameworks to protect women are significant hurdles.</w:t>
      </w:r>
    </w:p>
    <w:p w14:paraId="50354A19" w14:textId="77777777" w:rsidR="00AD42A4" w:rsidRDefault="00000000" w:rsidP="007E008E">
      <w:pPr>
        <w:pStyle w:val="Heading4"/>
        <w:keepNext w:val="0"/>
        <w:keepLines w:val="0"/>
        <w:spacing w:before="240" w:line="360" w:lineRule="auto"/>
        <w:rPr>
          <w:rFonts w:ascii="Times New Roman" w:eastAsia="Times New Roman" w:hAnsi="Times New Roman" w:cs="Times New Roman"/>
          <w:b/>
          <w:i w:val="0"/>
          <w:color w:val="000000"/>
          <w:sz w:val="28"/>
          <w:szCs w:val="28"/>
        </w:rPr>
      </w:pPr>
      <w:bookmarkStart w:id="1" w:name="_oisz1ak45ijo" w:colFirst="0" w:colLast="0"/>
      <w:bookmarkEnd w:id="1"/>
      <w:r>
        <w:rPr>
          <w:rFonts w:ascii="Times New Roman" w:eastAsia="Times New Roman" w:hAnsi="Times New Roman" w:cs="Times New Roman"/>
          <w:b/>
          <w:i w:val="0"/>
          <w:color w:val="000000"/>
          <w:sz w:val="28"/>
          <w:szCs w:val="28"/>
        </w:rPr>
        <w:t>Structural and Social Barriers:</w:t>
      </w:r>
    </w:p>
    <w:p w14:paraId="27687C6C" w14:textId="77777777" w:rsidR="00AD42A4" w:rsidRDefault="00000000">
      <w:pPr>
        <w:numPr>
          <w:ilvl w:val="0"/>
          <w:numId w:val="5"/>
        </w:numPr>
        <w:spacing w:before="240" w:after="0" w:line="360" w:lineRule="auto"/>
        <w:rPr>
          <w:rFonts w:ascii="Times New Roman" w:eastAsia="Times New Roman" w:hAnsi="Times New Roman" w:cs="Times New Roman"/>
          <w:sz w:val="32"/>
          <w:szCs w:val="32"/>
        </w:rPr>
      </w:pPr>
      <w:r>
        <w:rPr>
          <w:rFonts w:ascii="Times New Roman" w:eastAsia="Times New Roman" w:hAnsi="Times New Roman" w:cs="Times New Roman"/>
          <w:b/>
          <w:sz w:val="24"/>
          <w:szCs w:val="24"/>
        </w:rPr>
        <w:t>Patriarchal Societies:</w:t>
      </w:r>
      <w:r>
        <w:rPr>
          <w:rFonts w:ascii="Times New Roman" w:eastAsia="Times New Roman" w:hAnsi="Times New Roman" w:cs="Times New Roman"/>
          <w:sz w:val="24"/>
          <w:szCs w:val="24"/>
        </w:rPr>
        <w:t xml:space="preserve"> In societies where patriarchal values dominate, women are often seen as subordinate to men, which hampers their autonomy and opportunities.</w:t>
      </w:r>
    </w:p>
    <w:p w14:paraId="6E79FED1" w14:textId="2130FA16" w:rsidR="00AD42A4" w:rsidRDefault="00000000">
      <w:pPr>
        <w:numPr>
          <w:ilvl w:val="0"/>
          <w:numId w:val="5"/>
        </w:num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b/>
          <w:sz w:val="24"/>
          <w:szCs w:val="24"/>
        </w:rPr>
        <w:t>Cultural Norms:</w:t>
      </w:r>
      <w:r>
        <w:rPr>
          <w:rFonts w:ascii="Times New Roman" w:eastAsia="Times New Roman" w:hAnsi="Times New Roman" w:cs="Times New Roman"/>
          <w:sz w:val="24"/>
          <w:szCs w:val="24"/>
        </w:rPr>
        <w:t xml:space="preserve"> Norms that dictate women’s roles in the family and society often prevent them from pursuing education or careers.</w:t>
      </w:r>
    </w:p>
    <w:p w14:paraId="593191FC" w14:textId="29690392" w:rsidR="00AD42A4" w:rsidRDefault="00000000">
      <w:pPr>
        <w:numPr>
          <w:ilvl w:val="0"/>
          <w:numId w:val="5"/>
        </w:numPr>
        <w:spacing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Lack of Political Representation</w:t>
      </w:r>
      <w:r>
        <w:rPr>
          <w:rFonts w:ascii="Times New Roman" w:eastAsia="Times New Roman" w:hAnsi="Times New Roman" w:cs="Times New Roman"/>
          <w:sz w:val="24"/>
          <w:szCs w:val="24"/>
        </w:rPr>
        <w:t>: Women remain underrepresented in political offices worldwide, limiting their ability to influence policies that affect their lives.</w:t>
      </w:r>
    </w:p>
    <w:p w14:paraId="5DBA4657" w14:textId="77777777" w:rsidR="00AD42A4" w:rsidRDefault="00000000">
      <w:pPr>
        <w:spacing w:after="0" w:line="360" w:lineRule="auto"/>
        <w:ind w:right="481"/>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Gender Equality in the Workplace</w:t>
      </w:r>
    </w:p>
    <w:p w14:paraId="4E29509F" w14:textId="77777777" w:rsidR="00AD42A4" w:rsidRDefault="00000000" w:rsidP="002E748D">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2" w:name="_wntzeqtabmd" w:colFirst="0" w:colLast="0"/>
      <w:bookmarkEnd w:id="2"/>
      <w:r>
        <w:rPr>
          <w:rFonts w:ascii="Times New Roman" w:eastAsia="Times New Roman" w:hAnsi="Times New Roman" w:cs="Times New Roman"/>
          <w:b/>
          <w:color w:val="000000"/>
          <w:sz w:val="24"/>
          <w:szCs w:val="24"/>
        </w:rPr>
        <w:t>The Importance of Safe and Equal Workplaces</w:t>
      </w:r>
    </w:p>
    <w:p w14:paraId="2206B583" w14:textId="77777777" w:rsidR="00AD42A4"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Workplaces are microcosms of society, and the extent to which they promote gender equality impacts broader societal change. A truly equal workplace is one where individuals of all genders have the same opportunities to succeed, free from discrimination or harassment. For women, this means equal pay for equal work, opportunities for advancement, and, crucially, protection from harassment.</w:t>
      </w:r>
    </w:p>
    <w:p w14:paraId="766E1C95" w14:textId="77777777" w:rsidR="00AD42A4" w:rsidRDefault="00000000">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3" w:name="_jzscs855czpf" w:colFirst="0" w:colLast="0"/>
      <w:bookmarkEnd w:id="3"/>
      <w:r>
        <w:rPr>
          <w:rFonts w:ascii="Times New Roman" w:eastAsia="Times New Roman" w:hAnsi="Times New Roman" w:cs="Times New Roman"/>
          <w:b/>
          <w:color w:val="000000"/>
          <w:sz w:val="24"/>
          <w:szCs w:val="24"/>
        </w:rPr>
        <w:t>Sexual Harassment: A Major Workplace Issue</w:t>
      </w:r>
    </w:p>
    <w:p w14:paraId="794B7098" w14:textId="77777777" w:rsidR="00AD42A4"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Sexual harassment is one of the most serious violations of gender equality in the workplace. It can take many forms: unwelcome physical advances, inappropriate comments, requests for sexual favors, and even physical violence. The impacts of sexual harassment on women are profound, as it violates their dignity and creates an unsafe, hostile working environment.</w:t>
      </w:r>
    </w:p>
    <w:p w14:paraId="5E2B69C8" w14:textId="77777777" w:rsidR="00AD42A4" w:rsidRDefault="00000000">
      <w:pPr>
        <w:pStyle w:val="Heading4"/>
        <w:keepNext w:val="0"/>
        <w:keepLines w:val="0"/>
        <w:spacing w:before="240" w:line="360" w:lineRule="auto"/>
        <w:jc w:val="both"/>
        <w:rPr>
          <w:rFonts w:ascii="Times New Roman" w:eastAsia="Times New Roman" w:hAnsi="Times New Roman" w:cs="Times New Roman"/>
          <w:i w:val="0"/>
          <w:color w:val="000000"/>
          <w:sz w:val="24"/>
          <w:szCs w:val="24"/>
        </w:rPr>
      </w:pPr>
      <w:bookmarkStart w:id="4" w:name="_la5br7z99d6d" w:colFirst="0" w:colLast="0"/>
      <w:bookmarkEnd w:id="4"/>
      <w:r>
        <w:rPr>
          <w:rFonts w:ascii="Times New Roman" w:eastAsia="Times New Roman" w:hAnsi="Times New Roman" w:cs="Times New Roman"/>
          <w:i w:val="0"/>
          <w:color w:val="000000"/>
          <w:sz w:val="24"/>
          <w:szCs w:val="24"/>
        </w:rPr>
        <w:t>Consequences of Workplace Harassment:</w:t>
      </w:r>
    </w:p>
    <w:p w14:paraId="42861385" w14:textId="24D755B3" w:rsidR="00AD42A4" w:rsidRDefault="00000000">
      <w:pPr>
        <w:numPr>
          <w:ilvl w:val="0"/>
          <w:numId w:val="15"/>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Psychological Impact:</w:t>
      </w:r>
      <w:r>
        <w:rPr>
          <w:rFonts w:ascii="Times New Roman" w:eastAsia="Times New Roman" w:hAnsi="Times New Roman" w:cs="Times New Roman"/>
          <w:sz w:val="24"/>
          <w:szCs w:val="24"/>
        </w:rPr>
        <w:t xml:space="preserve"> Victims of harassment often suffer from stress, anxiety, depression, and post-traumatic stress disorder (PTSD).</w:t>
      </w:r>
    </w:p>
    <w:p w14:paraId="2CA7A471" w14:textId="73FF6F98" w:rsidR="00AD42A4" w:rsidRDefault="00000000">
      <w:pPr>
        <w:numPr>
          <w:ilvl w:val="0"/>
          <w:numId w:val="1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Career Impediment:</w:t>
      </w:r>
      <w:r>
        <w:rPr>
          <w:rFonts w:ascii="Times New Roman" w:eastAsia="Times New Roman" w:hAnsi="Times New Roman" w:cs="Times New Roman"/>
          <w:sz w:val="24"/>
          <w:szCs w:val="24"/>
        </w:rPr>
        <w:t xml:space="preserve"> Harassment can limit career advancement, as women may be pushed out of jobs, denied promotions, or be forced to leave professions altogether.</w:t>
      </w:r>
    </w:p>
    <w:p w14:paraId="1CA21A63" w14:textId="45CA191C" w:rsidR="00AD42A4" w:rsidRPr="002E748D" w:rsidRDefault="00000000" w:rsidP="002E748D">
      <w:pPr>
        <w:numPr>
          <w:ilvl w:val="0"/>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Workplace Culture: </w:t>
      </w:r>
      <w:r>
        <w:rPr>
          <w:rFonts w:ascii="Times New Roman" w:eastAsia="Times New Roman" w:hAnsi="Times New Roman" w:cs="Times New Roman"/>
          <w:sz w:val="24"/>
          <w:szCs w:val="24"/>
        </w:rPr>
        <w:t>When sexual harassment is allowed to persist, it sends a message that gender inequality is tolerated, reinforcing societal stereotypes.</w:t>
      </w:r>
    </w:p>
    <w:p w14:paraId="11DB1897" w14:textId="77777777" w:rsidR="00AD42A4" w:rsidRDefault="00000000">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5" w:name="_3mj2nw75xcey" w:colFirst="0" w:colLast="0"/>
      <w:bookmarkEnd w:id="5"/>
      <w:r>
        <w:rPr>
          <w:rFonts w:ascii="Times New Roman" w:eastAsia="Times New Roman" w:hAnsi="Times New Roman" w:cs="Times New Roman"/>
          <w:b/>
          <w:color w:val="000000"/>
          <w:sz w:val="24"/>
          <w:szCs w:val="24"/>
        </w:rPr>
        <w:t>Legal Protections Against Workplace Harassment</w:t>
      </w:r>
    </w:p>
    <w:p w14:paraId="67B0D94F" w14:textId="77777777" w:rsidR="002E748D" w:rsidRDefault="00000000" w:rsidP="002E748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many parts of the world, laws have been enacted to protect employees from harassment. In India, however, the lack of specific legislation regarding workplace harassment highlighted a gap in the legal framework.</w:t>
      </w:r>
    </w:p>
    <w:p w14:paraId="50FD4BAF" w14:textId="1D51D6F9" w:rsidR="00AD42A4" w:rsidRPr="00F03C93" w:rsidRDefault="00000000" w:rsidP="002E748D">
      <w:pPr>
        <w:spacing w:before="240" w:after="240" w:line="360" w:lineRule="auto"/>
        <w:jc w:val="both"/>
        <w:rPr>
          <w:rFonts w:ascii="Times New Roman" w:eastAsia="Times New Roman" w:hAnsi="Times New Roman" w:cs="Times New Roman"/>
        </w:rPr>
      </w:pPr>
      <w:r w:rsidRPr="00F03C93">
        <w:rPr>
          <w:rFonts w:ascii="Times New Roman" w:eastAsia="Times New Roman" w:hAnsi="Times New Roman" w:cs="Times New Roman"/>
          <w:b/>
          <w:sz w:val="28"/>
          <w:szCs w:val="28"/>
        </w:rPr>
        <w:t>The Intersection of Gender Equality and Legal Protection: The Vishaka v. State of Rajasthan (1997) Case</w:t>
      </w:r>
    </w:p>
    <w:p w14:paraId="204D4F7E"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Gender equality cannot be achieved without addressing the specific challenges women face, particularly in the workplace. In India, a significant legal gap existed due to the absence of clear laws protecting women from sexual harassment at work, leaving many vulnerable to exploitation.</w:t>
      </w:r>
    </w:p>
    <w:p w14:paraId="50EF6339"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issue was highlighted in the </w:t>
      </w:r>
      <w:r>
        <w:rPr>
          <w:rFonts w:ascii="Times New Roman" w:eastAsia="Times New Roman" w:hAnsi="Times New Roman" w:cs="Times New Roman"/>
          <w:b/>
          <w:sz w:val="24"/>
          <w:szCs w:val="24"/>
        </w:rPr>
        <w:t>Vishaka v. State of Rajasthan</w:t>
      </w:r>
      <w:r>
        <w:rPr>
          <w:rFonts w:ascii="Times New Roman" w:eastAsia="Times New Roman" w:hAnsi="Times New Roman" w:cs="Times New Roman"/>
          <w:sz w:val="24"/>
          <w:szCs w:val="24"/>
        </w:rPr>
        <w:t xml:space="preserve"> case, which brought attention to the lack of legal protection for women facing sexual harassment in their workplaces. In 1997, the Supreme Court of India recognized sexual harassment as a violation of women’s constitutional rights, specifically their right to equality and dignity. This landmark ruling became a turning point in the fight for gender equality.</w:t>
      </w:r>
    </w:p>
    <w:p w14:paraId="1C534E41" w14:textId="068D9726" w:rsidR="00AD42A4" w:rsidRDefault="00000000" w:rsidP="002E748D">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Court introduced the </w:t>
      </w:r>
      <w:r>
        <w:rPr>
          <w:rFonts w:ascii="Times New Roman" w:eastAsia="Times New Roman" w:hAnsi="Times New Roman" w:cs="Times New Roman"/>
          <w:b/>
          <w:sz w:val="24"/>
          <w:szCs w:val="24"/>
        </w:rPr>
        <w:t>Vishaka Guidelines</w:t>
      </w:r>
      <w:r>
        <w:rPr>
          <w:rFonts w:ascii="Times New Roman" w:eastAsia="Times New Roman" w:hAnsi="Times New Roman" w:cs="Times New Roman"/>
          <w:sz w:val="24"/>
          <w:szCs w:val="24"/>
        </w:rPr>
        <w:t xml:space="preserve">, setting out clear measures to prevent and address sexual harassment at work, including the establishment of complaint mechanisms and the duty of employers to ensure a safe work environment. The case emphasized that legal protections were essential in creating a more equitable workplace, ensuring women could work free from fear and discrimination. These guidelines eventually led to the formulation of the </w:t>
      </w:r>
      <w:r>
        <w:rPr>
          <w:rFonts w:ascii="Times New Roman" w:eastAsia="Times New Roman" w:hAnsi="Times New Roman" w:cs="Times New Roman"/>
          <w:b/>
          <w:sz w:val="24"/>
          <w:szCs w:val="24"/>
        </w:rPr>
        <w:t>Sexual Harassment of Women at Workplace Act, 2013</w:t>
      </w:r>
      <w:r>
        <w:rPr>
          <w:rFonts w:ascii="Times New Roman" w:eastAsia="Times New Roman" w:hAnsi="Times New Roman" w:cs="Times New Roman"/>
          <w:sz w:val="24"/>
          <w:szCs w:val="24"/>
        </w:rPr>
        <w:t>, which further reinforced the rights of women in professional spaces.</w:t>
      </w:r>
    </w:p>
    <w:p w14:paraId="77117117" w14:textId="77777777" w:rsidR="00F03C93" w:rsidRDefault="00F03C93" w:rsidP="002E748D">
      <w:pPr>
        <w:spacing w:before="240" w:after="240" w:line="360" w:lineRule="auto"/>
        <w:ind w:firstLine="720"/>
        <w:rPr>
          <w:rFonts w:ascii="Times New Roman" w:eastAsia="Times New Roman" w:hAnsi="Times New Roman" w:cs="Times New Roman"/>
          <w:sz w:val="24"/>
          <w:szCs w:val="24"/>
        </w:rPr>
      </w:pPr>
    </w:p>
    <w:p w14:paraId="05227C89" w14:textId="1679E944" w:rsidR="002E748D" w:rsidRPr="00F03C93" w:rsidRDefault="00F03C93" w:rsidP="00F03C93">
      <w:pPr>
        <w:spacing w:before="240" w:after="240" w:line="360" w:lineRule="auto"/>
        <w:jc w:val="center"/>
        <w:rPr>
          <w:rFonts w:ascii="Times New Roman" w:eastAsia="Times New Roman" w:hAnsi="Times New Roman" w:cs="Times New Roman"/>
          <w:b/>
          <w:bCs/>
          <w:sz w:val="36"/>
          <w:szCs w:val="36"/>
        </w:rPr>
      </w:pPr>
      <w:r w:rsidRPr="00F03C93">
        <w:rPr>
          <w:rFonts w:ascii="Times New Roman" w:eastAsia="Times New Roman" w:hAnsi="Times New Roman" w:cs="Times New Roman"/>
          <w:b/>
          <w:bCs/>
          <w:sz w:val="36"/>
          <w:szCs w:val="36"/>
        </w:rPr>
        <w:t>OBJECTIVES</w:t>
      </w:r>
    </w:p>
    <w:p w14:paraId="034C398B" w14:textId="77777777" w:rsidR="00F03C93" w:rsidRPr="00F03C93" w:rsidRDefault="00F03C93" w:rsidP="00F03C93">
      <w:pPr>
        <w:spacing w:before="240" w:after="240" w:line="360" w:lineRule="auto"/>
        <w:rPr>
          <w:rFonts w:ascii="Times New Roman" w:eastAsia="Times New Roman" w:hAnsi="Times New Roman" w:cs="Times New Roman"/>
          <w:b/>
          <w:bCs/>
          <w:sz w:val="24"/>
          <w:szCs w:val="24"/>
          <w:lang w:val="en-IN"/>
        </w:rPr>
      </w:pPr>
      <w:r w:rsidRPr="00F03C93">
        <w:rPr>
          <w:rFonts w:ascii="Times New Roman" w:eastAsia="Times New Roman" w:hAnsi="Times New Roman" w:cs="Times New Roman"/>
          <w:b/>
          <w:bCs/>
          <w:sz w:val="24"/>
          <w:szCs w:val="24"/>
          <w:lang w:val="en-IN"/>
        </w:rPr>
        <w:t>Objectives of the Vishaka Case</w:t>
      </w:r>
    </w:p>
    <w:p w14:paraId="1E484A63" w14:textId="77777777" w:rsidR="00F03C93" w:rsidRPr="00F03C93" w:rsidRDefault="00F03C93" w:rsidP="00F03C93">
      <w:pPr>
        <w:numPr>
          <w:ilvl w:val="0"/>
          <w:numId w:val="18"/>
        </w:numPr>
        <w:spacing w:before="240"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4"/>
          <w:szCs w:val="24"/>
          <w:lang w:val="en-IN"/>
        </w:rPr>
        <w:t>Define and Address Sexual Harassment</w:t>
      </w:r>
      <w:r w:rsidRPr="00F03C93">
        <w:rPr>
          <w:rFonts w:ascii="Times New Roman" w:eastAsia="Times New Roman" w:hAnsi="Times New Roman" w:cs="Times New Roman"/>
          <w:sz w:val="24"/>
          <w:szCs w:val="24"/>
          <w:lang w:val="en-IN"/>
        </w:rPr>
        <w:br/>
        <w:t>To provide a clear definition of sexual harassment at the workplace and recognize it as a violation of women's rights, encompassing both physical and non-physical forms of harassment.</w:t>
      </w:r>
    </w:p>
    <w:p w14:paraId="565A76FB" w14:textId="77777777" w:rsidR="00F03C93" w:rsidRPr="00F03C93" w:rsidRDefault="00F03C93" w:rsidP="00F03C93">
      <w:pPr>
        <w:numPr>
          <w:ilvl w:val="0"/>
          <w:numId w:val="18"/>
        </w:numPr>
        <w:spacing w:before="240"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4"/>
          <w:szCs w:val="24"/>
          <w:lang w:val="en-IN"/>
        </w:rPr>
        <w:t>Fill the Legislative Gap</w:t>
      </w:r>
      <w:r w:rsidRPr="00F03C93">
        <w:rPr>
          <w:rFonts w:ascii="Times New Roman" w:eastAsia="Times New Roman" w:hAnsi="Times New Roman" w:cs="Times New Roman"/>
          <w:sz w:val="24"/>
          <w:szCs w:val="24"/>
          <w:lang w:val="en-IN"/>
        </w:rPr>
        <w:br/>
        <w:t>To address the lack of specific legislation on workplace harassment by issuing interim guidelines until proper laws could be enacted.</w:t>
      </w:r>
    </w:p>
    <w:p w14:paraId="679362CF" w14:textId="77777777" w:rsidR="00F03C93" w:rsidRPr="00F03C93" w:rsidRDefault="00F03C93" w:rsidP="00F03C93">
      <w:pPr>
        <w:numPr>
          <w:ilvl w:val="0"/>
          <w:numId w:val="18"/>
        </w:numPr>
        <w:spacing w:before="240"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4"/>
          <w:szCs w:val="24"/>
          <w:lang w:val="en-IN"/>
        </w:rPr>
        <w:t>Uphold Women’s Fundamental Rights</w:t>
      </w:r>
      <w:r w:rsidRPr="00F03C93">
        <w:rPr>
          <w:rFonts w:ascii="Times New Roman" w:eastAsia="Times New Roman" w:hAnsi="Times New Roman" w:cs="Times New Roman"/>
          <w:sz w:val="24"/>
          <w:szCs w:val="24"/>
          <w:lang w:val="en-IN"/>
        </w:rPr>
        <w:br/>
        <w:t>To protect women’s rights under the Indian Constitution, including the right to equality, safety, and freedom from discrimination.</w:t>
      </w:r>
    </w:p>
    <w:p w14:paraId="1C42810F" w14:textId="77777777" w:rsidR="00F03C93" w:rsidRPr="00F03C93" w:rsidRDefault="00F03C93" w:rsidP="00F03C93">
      <w:pPr>
        <w:numPr>
          <w:ilvl w:val="0"/>
          <w:numId w:val="18"/>
        </w:numPr>
        <w:spacing w:before="240"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4"/>
          <w:szCs w:val="24"/>
          <w:lang w:val="en-IN"/>
        </w:rPr>
        <w:t>Establish Employer Responsibility</w:t>
      </w:r>
      <w:r w:rsidRPr="00F03C93">
        <w:rPr>
          <w:rFonts w:ascii="Times New Roman" w:eastAsia="Times New Roman" w:hAnsi="Times New Roman" w:cs="Times New Roman"/>
          <w:sz w:val="24"/>
          <w:szCs w:val="24"/>
          <w:lang w:val="en-IN"/>
        </w:rPr>
        <w:br/>
        <w:t xml:space="preserve">To hold employers accountable for ensuring a safe and harassment-free workplace by setting up </w:t>
      </w:r>
      <w:proofErr w:type="gramStart"/>
      <w:r w:rsidRPr="00F03C93">
        <w:rPr>
          <w:rFonts w:ascii="Times New Roman" w:eastAsia="Times New Roman" w:hAnsi="Times New Roman" w:cs="Times New Roman"/>
          <w:sz w:val="24"/>
          <w:szCs w:val="24"/>
          <w:lang w:val="en-IN"/>
        </w:rPr>
        <w:t>complaints</w:t>
      </w:r>
      <w:proofErr w:type="gramEnd"/>
      <w:r w:rsidRPr="00F03C93">
        <w:rPr>
          <w:rFonts w:ascii="Times New Roman" w:eastAsia="Times New Roman" w:hAnsi="Times New Roman" w:cs="Times New Roman"/>
          <w:sz w:val="24"/>
          <w:szCs w:val="24"/>
          <w:lang w:val="en-IN"/>
        </w:rPr>
        <w:t xml:space="preserve"> committees and preventive measures.</w:t>
      </w:r>
    </w:p>
    <w:p w14:paraId="3E5DD878" w14:textId="77777777" w:rsidR="00F03C93" w:rsidRPr="00F03C93" w:rsidRDefault="00F03C93" w:rsidP="00F03C93">
      <w:pPr>
        <w:numPr>
          <w:ilvl w:val="0"/>
          <w:numId w:val="18"/>
        </w:numPr>
        <w:spacing w:before="240"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4"/>
          <w:szCs w:val="24"/>
          <w:lang w:val="en-IN"/>
        </w:rPr>
        <w:lastRenderedPageBreak/>
        <w:t>Promote Judicial Activism</w:t>
      </w:r>
      <w:r w:rsidRPr="00F03C93">
        <w:rPr>
          <w:rFonts w:ascii="Times New Roman" w:eastAsia="Times New Roman" w:hAnsi="Times New Roman" w:cs="Times New Roman"/>
          <w:sz w:val="24"/>
          <w:szCs w:val="24"/>
          <w:lang w:val="en-IN"/>
        </w:rPr>
        <w:br/>
        <w:t>To empower the judiciary to step in and protect fundamental rights in the absence of legislative action, setting a precedent for judicial intervention.</w:t>
      </w:r>
    </w:p>
    <w:p w14:paraId="31463A07" w14:textId="77777777" w:rsidR="00F03C93" w:rsidRPr="00F03C93" w:rsidRDefault="00F03C93" w:rsidP="00F03C93">
      <w:pPr>
        <w:numPr>
          <w:ilvl w:val="0"/>
          <w:numId w:val="18"/>
        </w:numPr>
        <w:spacing w:before="240"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4"/>
          <w:szCs w:val="24"/>
          <w:lang w:val="en-IN"/>
        </w:rPr>
        <w:t>Raise Awareness and Education</w:t>
      </w:r>
      <w:r w:rsidRPr="00F03C93">
        <w:rPr>
          <w:rFonts w:ascii="Times New Roman" w:eastAsia="Times New Roman" w:hAnsi="Times New Roman" w:cs="Times New Roman"/>
          <w:sz w:val="24"/>
          <w:szCs w:val="24"/>
          <w:lang w:val="en-IN"/>
        </w:rPr>
        <w:br/>
        <w:t>To promote awareness about sexual harassment through training and workshops, fostering a culture of respect and equality in the workplace.</w:t>
      </w:r>
    </w:p>
    <w:p w14:paraId="6E2CEE7D" w14:textId="77777777" w:rsidR="00F03C93" w:rsidRPr="00F03C93" w:rsidRDefault="00F03C93" w:rsidP="00F03C93">
      <w:pPr>
        <w:numPr>
          <w:ilvl w:val="0"/>
          <w:numId w:val="18"/>
        </w:numPr>
        <w:spacing w:before="240"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4"/>
          <w:szCs w:val="24"/>
          <w:lang w:val="en-IN"/>
        </w:rPr>
        <w:t>Adopt a Victim-Centered Approach</w:t>
      </w:r>
      <w:r w:rsidRPr="00F03C93">
        <w:rPr>
          <w:rFonts w:ascii="Times New Roman" w:eastAsia="Times New Roman" w:hAnsi="Times New Roman" w:cs="Times New Roman"/>
          <w:sz w:val="24"/>
          <w:szCs w:val="24"/>
          <w:lang w:val="en-IN"/>
        </w:rPr>
        <w:br/>
        <w:t>To prioritize the victim’s experience in addressing complaints, focusing on their dignity and well-being.</w:t>
      </w:r>
    </w:p>
    <w:p w14:paraId="4CC62A58" w14:textId="77777777" w:rsidR="00F03C93" w:rsidRPr="00F03C93" w:rsidRDefault="00F03C93" w:rsidP="00F03C93">
      <w:pPr>
        <w:numPr>
          <w:ilvl w:val="0"/>
          <w:numId w:val="18"/>
        </w:numPr>
        <w:spacing w:before="240"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4"/>
          <w:szCs w:val="24"/>
          <w:lang w:val="en-IN"/>
        </w:rPr>
        <w:t>Align with International Standards</w:t>
      </w:r>
      <w:r w:rsidRPr="00F03C93">
        <w:rPr>
          <w:rFonts w:ascii="Times New Roman" w:eastAsia="Times New Roman" w:hAnsi="Times New Roman" w:cs="Times New Roman"/>
          <w:sz w:val="24"/>
          <w:szCs w:val="24"/>
          <w:lang w:val="en-IN"/>
        </w:rPr>
        <w:br/>
        <w:t xml:space="preserve">To align India’s legal framework with international conventions like </w:t>
      </w:r>
      <w:r w:rsidRPr="00F03C93">
        <w:rPr>
          <w:rFonts w:ascii="Times New Roman" w:eastAsia="Times New Roman" w:hAnsi="Times New Roman" w:cs="Times New Roman"/>
          <w:b/>
          <w:bCs/>
          <w:sz w:val="24"/>
          <w:szCs w:val="24"/>
          <w:lang w:val="en-IN"/>
        </w:rPr>
        <w:t>CEDAW</w:t>
      </w:r>
      <w:r w:rsidRPr="00F03C93">
        <w:rPr>
          <w:rFonts w:ascii="Times New Roman" w:eastAsia="Times New Roman" w:hAnsi="Times New Roman" w:cs="Times New Roman"/>
          <w:sz w:val="24"/>
          <w:szCs w:val="24"/>
          <w:lang w:val="en-IN"/>
        </w:rPr>
        <w:t>, ensuring gender equality in the workplace.</w:t>
      </w:r>
    </w:p>
    <w:p w14:paraId="55A92731" w14:textId="77777777" w:rsidR="007E008E" w:rsidRDefault="007E008E" w:rsidP="00F03C93">
      <w:pPr>
        <w:spacing w:before="240" w:after="240" w:line="360" w:lineRule="auto"/>
        <w:rPr>
          <w:rFonts w:ascii="Times New Roman" w:eastAsia="Times New Roman" w:hAnsi="Times New Roman" w:cs="Times New Roman"/>
          <w:sz w:val="24"/>
          <w:szCs w:val="24"/>
        </w:rPr>
      </w:pPr>
    </w:p>
    <w:p w14:paraId="06072794" w14:textId="77777777" w:rsidR="00F03C93" w:rsidRDefault="00F03C93" w:rsidP="00F03C93">
      <w:pPr>
        <w:spacing w:before="240" w:after="240" w:line="360" w:lineRule="auto"/>
        <w:rPr>
          <w:rFonts w:ascii="Times New Roman" w:eastAsia="Times New Roman" w:hAnsi="Times New Roman" w:cs="Times New Roman"/>
          <w:sz w:val="24"/>
          <w:szCs w:val="24"/>
        </w:rPr>
      </w:pPr>
    </w:p>
    <w:p w14:paraId="3EC1AD04" w14:textId="77777777" w:rsidR="00F03C93" w:rsidRDefault="00F03C93" w:rsidP="00F03C93">
      <w:pPr>
        <w:spacing w:before="240" w:after="240" w:line="360" w:lineRule="auto"/>
        <w:rPr>
          <w:rFonts w:ascii="Times New Roman" w:eastAsia="Times New Roman" w:hAnsi="Times New Roman" w:cs="Times New Roman"/>
          <w:sz w:val="24"/>
          <w:szCs w:val="24"/>
        </w:rPr>
      </w:pPr>
    </w:p>
    <w:p w14:paraId="4577782A" w14:textId="77777777" w:rsidR="00F03C93" w:rsidRDefault="00F03C93" w:rsidP="00F03C93">
      <w:pPr>
        <w:spacing w:before="240" w:after="240" w:line="360" w:lineRule="auto"/>
        <w:rPr>
          <w:rFonts w:ascii="Times New Roman" w:eastAsia="Times New Roman" w:hAnsi="Times New Roman" w:cs="Times New Roman"/>
          <w:sz w:val="24"/>
          <w:szCs w:val="24"/>
        </w:rPr>
      </w:pPr>
    </w:p>
    <w:p w14:paraId="1146BE78" w14:textId="77777777" w:rsidR="00F03C93" w:rsidRDefault="00F03C93" w:rsidP="00F03C93">
      <w:pPr>
        <w:spacing w:before="240" w:after="240" w:line="360" w:lineRule="auto"/>
        <w:rPr>
          <w:rFonts w:ascii="Times New Roman" w:eastAsia="Times New Roman" w:hAnsi="Times New Roman" w:cs="Times New Roman"/>
          <w:sz w:val="24"/>
          <w:szCs w:val="24"/>
        </w:rPr>
      </w:pPr>
    </w:p>
    <w:p w14:paraId="11DA8FE0" w14:textId="77777777" w:rsidR="00F03C93" w:rsidRDefault="00F03C93" w:rsidP="00F03C93">
      <w:pPr>
        <w:spacing w:before="240" w:after="240" w:line="360" w:lineRule="auto"/>
        <w:rPr>
          <w:rFonts w:ascii="Times New Roman" w:eastAsia="Times New Roman" w:hAnsi="Times New Roman" w:cs="Times New Roman"/>
          <w:sz w:val="24"/>
          <w:szCs w:val="24"/>
        </w:rPr>
      </w:pPr>
    </w:p>
    <w:p w14:paraId="6BC58668" w14:textId="77777777" w:rsidR="00F03C93" w:rsidRDefault="00F03C93" w:rsidP="00F03C93">
      <w:pPr>
        <w:spacing w:before="240" w:after="240" w:line="360" w:lineRule="auto"/>
        <w:rPr>
          <w:rFonts w:ascii="Times New Roman" w:eastAsia="Times New Roman" w:hAnsi="Times New Roman" w:cs="Times New Roman"/>
          <w:sz w:val="24"/>
          <w:szCs w:val="24"/>
        </w:rPr>
      </w:pPr>
    </w:p>
    <w:p w14:paraId="1BC2EE3C" w14:textId="77777777" w:rsidR="00F03C93" w:rsidRDefault="00F03C93" w:rsidP="00F03C93">
      <w:pPr>
        <w:spacing w:before="240" w:after="240" w:line="360" w:lineRule="auto"/>
        <w:rPr>
          <w:rFonts w:ascii="Times New Roman" w:eastAsia="Times New Roman" w:hAnsi="Times New Roman" w:cs="Times New Roman"/>
          <w:sz w:val="24"/>
          <w:szCs w:val="24"/>
        </w:rPr>
      </w:pPr>
    </w:p>
    <w:p w14:paraId="73630A31" w14:textId="77777777" w:rsidR="00F03C93" w:rsidRDefault="00F03C93" w:rsidP="00F03C93">
      <w:pPr>
        <w:spacing w:before="240" w:after="240" w:line="360" w:lineRule="auto"/>
        <w:rPr>
          <w:rFonts w:ascii="Times New Roman" w:eastAsia="Times New Roman" w:hAnsi="Times New Roman" w:cs="Times New Roman"/>
          <w:sz w:val="24"/>
          <w:szCs w:val="24"/>
        </w:rPr>
      </w:pPr>
    </w:p>
    <w:p w14:paraId="225B38E9" w14:textId="77777777" w:rsidR="00F03C93" w:rsidRDefault="00F03C93" w:rsidP="00F03C93">
      <w:pPr>
        <w:spacing w:before="240" w:after="240" w:line="360" w:lineRule="auto"/>
        <w:rPr>
          <w:rFonts w:ascii="Times New Roman" w:eastAsia="Times New Roman" w:hAnsi="Times New Roman" w:cs="Times New Roman"/>
          <w:sz w:val="24"/>
          <w:szCs w:val="24"/>
        </w:rPr>
      </w:pPr>
    </w:p>
    <w:p w14:paraId="28BFDE4E" w14:textId="77777777" w:rsidR="00F03C93" w:rsidRDefault="00F03C93" w:rsidP="00F03C93">
      <w:pPr>
        <w:spacing w:before="240" w:after="240" w:line="360" w:lineRule="auto"/>
        <w:rPr>
          <w:rFonts w:ascii="Times New Roman" w:eastAsia="Times New Roman" w:hAnsi="Times New Roman" w:cs="Times New Roman"/>
          <w:sz w:val="24"/>
          <w:szCs w:val="24"/>
        </w:rPr>
      </w:pPr>
    </w:p>
    <w:p w14:paraId="5A5C15B0" w14:textId="77777777" w:rsidR="00F03C93" w:rsidRDefault="00F03C93" w:rsidP="00F03C93">
      <w:pPr>
        <w:spacing w:before="240" w:after="240" w:line="360" w:lineRule="auto"/>
        <w:rPr>
          <w:rFonts w:ascii="Times New Roman" w:eastAsia="Times New Roman" w:hAnsi="Times New Roman" w:cs="Times New Roman"/>
          <w:sz w:val="24"/>
          <w:szCs w:val="24"/>
        </w:rPr>
      </w:pPr>
    </w:p>
    <w:p w14:paraId="31106693" w14:textId="6B818C71" w:rsidR="007E008E" w:rsidRPr="007E008E" w:rsidRDefault="007E008E" w:rsidP="007E008E">
      <w:pPr>
        <w:spacing w:before="240" w:after="240" w:line="360" w:lineRule="auto"/>
        <w:ind w:firstLine="720"/>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                       </w:t>
      </w:r>
      <w:r w:rsidRPr="007E008E">
        <w:rPr>
          <w:rFonts w:ascii="Times New Roman" w:eastAsia="Times New Roman" w:hAnsi="Times New Roman" w:cs="Times New Roman"/>
          <w:b/>
          <w:bCs/>
          <w:sz w:val="36"/>
          <w:szCs w:val="36"/>
        </w:rPr>
        <w:t>CASE DESCRIPTION</w:t>
      </w:r>
    </w:p>
    <w:p w14:paraId="42EDC6B7" w14:textId="77777777" w:rsidR="00AD42A4" w:rsidRDefault="00000000">
      <w:pPr>
        <w:spacing w:after="0" w:line="360" w:lineRule="auto"/>
        <w:ind w:right="481"/>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Vishaka and Others vs State of Rajasthan (1997)</w:t>
      </w:r>
    </w:p>
    <w:p w14:paraId="36ED2FAD" w14:textId="667E9992"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6" w:name="_bh9k2cdwl1wo" w:colFirst="0" w:colLast="0"/>
      <w:bookmarkEnd w:id="6"/>
      <w:r>
        <w:rPr>
          <w:rFonts w:ascii="Times New Roman" w:eastAsia="Times New Roman" w:hAnsi="Times New Roman" w:cs="Times New Roman"/>
          <w:b/>
          <w:color w:val="000000"/>
        </w:rPr>
        <w:t xml:space="preserve">Introduction to the </w:t>
      </w:r>
      <w:r w:rsidR="002E748D">
        <w:rPr>
          <w:rFonts w:ascii="Times New Roman" w:eastAsia="Times New Roman" w:hAnsi="Times New Roman" w:cs="Times New Roman"/>
          <w:b/>
          <w:color w:val="000000"/>
        </w:rPr>
        <w:t>Case:</w:t>
      </w:r>
      <w:r>
        <w:rPr>
          <w:rFonts w:ascii="Times New Roman" w:eastAsia="Times New Roman" w:hAnsi="Times New Roman" w:cs="Times New Roman"/>
          <w:b/>
          <w:color w:val="000000"/>
        </w:rPr>
        <w:t xml:space="preserve"> </w:t>
      </w:r>
    </w:p>
    <w:p w14:paraId="444AC77B"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case of </w:t>
      </w:r>
      <w:r>
        <w:rPr>
          <w:rFonts w:ascii="Times New Roman" w:eastAsia="Times New Roman" w:hAnsi="Times New Roman" w:cs="Times New Roman"/>
          <w:b/>
          <w:sz w:val="24"/>
          <w:szCs w:val="24"/>
        </w:rPr>
        <w:t>Vishaka and Others vs State of Rajasthan (1997)</w:t>
      </w:r>
      <w:r>
        <w:rPr>
          <w:rFonts w:ascii="Times New Roman" w:eastAsia="Times New Roman" w:hAnsi="Times New Roman" w:cs="Times New Roman"/>
          <w:sz w:val="24"/>
          <w:szCs w:val="24"/>
        </w:rPr>
        <w:t xml:space="preserve"> stands as a watershed moment in the history of Indian constitutional jurisprudence, particularly in the realm of gender justice and human rights.</w:t>
      </w:r>
      <w:r>
        <w:rPr>
          <w:rFonts w:ascii="Times New Roman" w:eastAsia="Times New Roman" w:hAnsi="Times New Roman" w:cs="Times New Roman"/>
          <w:sz w:val="24"/>
          <w:szCs w:val="24"/>
        </w:rPr>
        <w:br/>
        <w:t xml:space="preserve"> Before this landmark judgment, the Indian legal system did not recognize sexual harassment at the workplace as a separate offence, and women facing such harassment had to seek remedies under the Indian Penal Code through provisions related to outraging modesty or assault, which were grossly inadequate.</w:t>
      </w:r>
    </w:p>
    <w:p w14:paraId="03D3860A"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Vishaka case was born out of the brutal assault faced by </w:t>
      </w:r>
      <w:r>
        <w:rPr>
          <w:rFonts w:ascii="Times New Roman" w:eastAsia="Times New Roman" w:hAnsi="Times New Roman" w:cs="Times New Roman"/>
          <w:b/>
          <w:sz w:val="24"/>
          <w:szCs w:val="24"/>
        </w:rPr>
        <w:t>Bhanwari Devi</w:t>
      </w:r>
      <w:r>
        <w:rPr>
          <w:rFonts w:ascii="Times New Roman" w:eastAsia="Times New Roman" w:hAnsi="Times New Roman" w:cs="Times New Roman"/>
          <w:sz w:val="24"/>
          <w:szCs w:val="24"/>
        </w:rPr>
        <w:t>, a grassroots social worker, whose determination to prevent a child marriage led to her being subjected to a heinous gang-rape. Her case became emblematic of the larger issue of workplace harassment, particularly against women working in informal and rural settings, where power structures often rendered them vulnerable.</w:t>
      </w:r>
    </w:p>
    <w:p w14:paraId="64C9E4A1"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Supreme Court, taking cognizance of the gravity of the matter through a </w:t>
      </w:r>
      <w:r>
        <w:rPr>
          <w:rFonts w:ascii="Times New Roman" w:eastAsia="Times New Roman" w:hAnsi="Times New Roman" w:cs="Times New Roman"/>
          <w:b/>
          <w:sz w:val="24"/>
          <w:szCs w:val="24"/>
        </w:rPr>
        <w:t>Public Interest Litigation (PIL)</w:t>
      </w:r>
      <w:r>
        <w:rPr>
          <w:rFonts w:ascii="Times New Roman" w:eastAsia="Times New Roman" w:hAnsi="Times New Roman" w:cs="Times New Roman"/>
          <w:sz w:val="24"/>
          <w:szCs w:val="24"/>
        </w:rPr>
        <w:t xml:space="preserve"> filed by various women’s organizations, laid down a set of legally binding guidelines for all workplaces across India. These guidelines, famously known as the </w:t>
      </w:r>
      <w:r>
        <w:rPr>
          <w:rFonts w:ascii="Times New Roman" w:eastAsia="Times New Roman" w:hAnsi="Times New Roman" w:cs="Times New Roman"/>
          <w:b/>
          <w:sz w:val="24"/>
          <w:szCs w:val="24"/>
        </w:rPr>
        <w:t>Vishaka Guidelines</w:t>
      </w:r>
      <w:r>
        <w:rPr>
          <w:rFonts w:ascii="Times New Roman" w:eastAsia="Times New Roman" w:hAnsi="Times New Roman" w:cs="Times New Roman"/>
          <w:sz w:val="24"/>
          <w:szCs w:val="24"/>
        </w:rPr>
        <w:t>, sought to prevent and address sexual harassment until the legislature passed an appropriate law.</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The judgment demonstrated the judiciary’s proactive role in protecting fundamental rights and showcased how constitutional values, international commitments, and judicial activism could be harmonized to fill legislative gaps in Indian law.</w:t>
      </w:r>
    </w:p>
    <w:p w14:paraId="3054DAC4"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w:t>
      </w:r>
      <w:r>
        <w:rPr>
          <w:rFonts w:ascii="Times New Roman" w:eastAsia="Times New Roman" w:hAnsi="Times New Roman" w:cs="Times New Roman"/>
          <w:b/>
          <w:sz w:val="24"/>
          <w:szCs w:val="24"/>
        </w:rPr>
        <w:t>Vishaka</w:t>
      </w:r>
      <w:r>
        <w:rPr>
          <w:rFonts w:ascii="Times New Roman" w:eastAsia="Times New Roman" w:hAnsi="Times New Roman" w:cs="Times New Roman"/>
          <w:sz w:val="24"/>
          <w:szCs w:val="24"/>
        </w:rPr>
        <w:t xml:space="preserve"> not only initiated a discourse around women's safety at workplaces but also redefined the role of courts in protecting social justice and human dignity in India.</w:t>
      </w:r>
    </w:p>
    <w:p w14:paraId="66F25054" w14:textId="77777777" w:rsidR="00F03C93" w:rsidRDefault="00F03C93">
      <w:pPr>
        <w:spacing w:before="240" w:after="240" w:line="360" w:lineRule="auto"/>
        <w:ind w:firstLine="720"/>
        <w:rPr>
          <w:rFonts w:ascii="Times New Roman" w:eastAsia="Times New Roman" w:hAnsi="Times New Roman" w:cs="Times New Roman"/>
          <w:sz w:val="24"/>
          <w:szCs w:val="24"/>
        </w:rPr>
      </w:pPr>
    </w:p>
    <w:p w14:paraId="2779247E" w14:textId="77777777" w:rsidR="00F03C93" w:rsidRDefault="00F03C93">
      <w:pPr>
        <w:spacing w:before="240" w:after="240" w:line="360" w:lineRule="auto"/>
        <w:ind w:firstLine="720"/>
        <w:rPr>
          <w:rFonts w:ascii="Times New Roman" w:eastAsia="Times New Roman" w:hAnsi="Times New Roman" w:cs="Times New Roman"/>
          <w:sz w:val="24"/>
          <w:szCs w:val="24"/>
        </w:rPr>
      </w:pPr>
    </w:p>
    <w:p w14:paraId="425968B8"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7" w:name="_1y8sll3a4ecr" w:colFirst="0" w:colLast="0"/>
      <w:bookmarkEnd w:id="7"/>
      <w:r>
        <w:rPr>
          <w:rFonts w:ascii="Times New Roman" w:eastAsia="Times New Roman" w:hAnsi="Times New Roman" w:cs="Times New Roman"/>
          <w:b/>
          <w:color w:val="000000"/>
        </w:rPr>
        <w:lastRenderedPageBreak/>
        <w:t>Background of the Incident</w:t>
      </w:r>
    </w:p>
    <w:p w14:paraId="7B133AAC" w14:textId="3937DCA1"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horrifying events leading up to the Vishaka judgment are rooted in the personal tragedy faced by </w:t>
      </w:r>
      <w:r>
        <w:rPr>
          <w:rFonts w:ascii="Times New Roman" w:eastAsia="Times New Roman" w:hAnsi="Times New Roman" w:cs="Times New Roman"/>
          <w:b/>
          <w:sz w:val="24"/>
          <w:szCs w:val="24"/>
        </w:rPr>
        <w:t>Bhanwari Devi</w:t>
      </w:r>
      <w:r>
        <w:rPr>
          <w:rFonts w:ascii="Times New Roman" w:eastAsia="Times New Roman" w:hAnsi="Times New Roman" w:cs="Times New Roman"/>
          <w:sz w:val="24"/>
          <w:szCs w:val="24"/>
        </w:rPr>
        <w:t xml:space="preserve">, a </w:t>
      </w:r>
      <w:r w:rsidR="002E748D">
        <w:rPr>
          <w:rFonts w:ascii="Times New Roman" w:eastAsia="Times New Roman" w:hAnsi="Times New Roman" w:cs="Times New Roman"/>
          <w:sz w:val="24"/>
          <w:szCs w:val="24"/>
        </w:rPr>
        <w:t>Dalit</w:t>
      </w:r>
      <w:r>
        <w:rPr>
          <w:rFonts w:ascii="Times New Roman" w:eastAsia="Times New Roman" w:hAnsi="Times New Roman" w:cs="Times New Roman"/>
          <w:sz w:val="24"/>
          <w:szCs w:val="24"/>
        </w:rPr>
        <w:t xml:space="preserve"> woman employed under the Rajasthan government’s </w:t>
      </w:r>
      <w:r>
        <w:rPr>
          <w:rFonts w:ascii="Times New Roman" w:eastAsia="Times New Roman" w:hAnsi="Times New Roman" w:cs="Times New Roman"/>
          <w:b/>
          <w:sz w:val="24"/>
          <w:szCs w:val="24"/>
        </w:rPr>
        <w:t>Women’s Development Programme</w:t>
      </w:r>
      <w:r>
        <w:rPr>
          <w:rFonts w:ascii="Times New Roman" w:eastAsia="Times New Roman" w:hAnsi="Times New Roman" w:cs="Times New Roman"/>
          <w:sz w:val="24"/>
          <w:szCs w:val="24"/>
        </w:rPr>
        <w:t>. Tasked with promoting awareness about women's rights and eradicating social evils like child marriage, she intervened to stop a child marriage involving a one-year-old girl in a remote village.</w:t>
      </w:r>
    </w:p>
    <w:p w14:paraId="2BBEE4E7"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 courageous action invited severe backlash from the dominant </w:t>
      </w:r>
      <w:r>
        <w:rPr>
          <w:rFonts w:ascii="Times New Roman" w:eastAsia="Times New Roman" w:hAnsi="Times New Roman" w:cs="Times New Roman"/>
          <w:b/>
          <w:sz w:val="24"/>
          <w:szCs w:val="24"/>
        </w:rPr>
        <w:t>upper-caste Gurjar community</w:t>
      </w:r>
      <w:r>
        <w:rPr>
          <w:rFonts w:ascii="Times New Roman" w:eastAsia="Times New Roman" w:hAnsi="Times New Roman" w:cs="Times New Roman"/>
          <w:sz w:val="24"/>
          <w:szCs w:val="24"/>
        </w:rPr>
        <w:t>. In a gruesome act of retribution and caste-based violence, Bhanwari Devi was brutally gang-raped by five men in 1992, in full view of her husband.</w:t>
      </w:r>
      <w:r>
        <w:rPr>
          <w:rFonts w:ascii="Times New Roman" w:eastAsia="Times New Roman" w:hAnsi="Times New Roman" w:cs="Times New Roman"/>
          <w:sz w:val="24"/>
          <w:szCs w:val="24"/>
        </w:rPr>
        <w:br/>
        <w:t xml:space="preserve"> Despite the brutality of the crime, the response of law enforcement authorities was marked by indifference and hostility. She was made to wait hours before being allowed a medical examination, which was poorly conducted, and the local police delayed the filing of an FIR (First Information Report). Further compounding her trauma, she faced social ostracization within her own community.</w:t>
      </w:r>
    </w:p>
    <w:p w14:paraId="556034AE" w14:textId="57BD083F"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trial proceedings reflected the deep-seated biases of the system: the accused were acquitted due to "lack of evidence," a result of poor investigation, procedural lapses, and societal </w:t>
      </w:r>
      <w:r w:rsidR="002E748D">
        <w:rPr>
          <w:rFonts w:ascii="Times New Roman" w:eastAsia="Times New Roman" w:hAnsi="Times New Roman" w:cs="Times New Roman"/>
          <w:sz w:val="24"/>
          <w:szCs w:val="24"/>
        </w:rPr>
        <w:t>prejudice. Bhanwari</w:t>
      </w:r>
      <w:r>
        <w:rPr>
          <w:rFonts w:ascii="Times New Roman" w:eastAsia="Times New Roman" w:hAnsi="Times New Roman" w:cs="Times New Roman"/>
          <w:sz w:val="24"/>
          <w:szCs w:val="24"/>
        </w:rPr>
        <w:t xml:space="preserve"> Devi’s case underscored the systemic failure to protect women in both private and public spaces. It also highlighted the urgent need for mechanisms beyond traditional criminal law to address workplace harassment and gendered violence comprehensively.</w:t>
      </w:r>
    </w:p>
    <w:p w14:paraId="66D1CAFB" w14:textId="77777777" w:rsidR="00AD42A4" w:rsidRDefault="00AD42A4">
      <w:pPr>
        <w:spacing w:after="0" w:line="360" w:lineRule="auto"/>
        <w:ind w:right="481"/>
        <w:rPr>
          <w:rFonts w:ascii="Times New Roman" w:eastAsia="Times New Roman" w:hAnsi="Times New Roman" w:cs="Times New Roman"/>
          <w:sz w:val="24"/>
          <w:szCs w:val="24"/>
        </w:rPr>
      </w:pPr>
    </w:p>
    <w:p w14:paraId="1964DBDF"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8" w:name="_uiqdkd74j2og" w:colFirst="0" w:colLast="0"/>
      <w:bookmarkEnd w:id="8"/>
      <w:r>
        <w:rPr>
          <w:rFonts w:ascii="Times New Roman" w:eastAsia="Times New Roman" w:hAnsi="Times New Roman" w:cs="Times New Roman"/>
          <w:b/>
          <w:color w:val="000000"/>
        </w:rPr>
        <w:t>Public Reaction and Legal Movement</w:t>
      </w:r>
    </w:p>
    <w:p w14:paraId="4D53C7F0"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public outrage following Bhanwari Devi's case was unprecedented.</w:t>
      </w:r>
      <w:r>
        <w:rPr>
          <w:rFonts w:ascii="Times New Roman" w:eastAsia="Times New Roman" w:hAnsi="Times New Roman" w:cs="Times New Roman"/>
          <w:sz w:val="24"/>
          <w:szCs w:val="24"/>
        </w:rPr>
        <w:br/>
        <w:t xml:space="preserve"> Women's rights activists, social workers, and legal scholars recognized that the issue was not isolated but systemic — deeply rooted in patriarchy, caste dynamics, and the absence of protective legal frameworks.</w:t>
      </w:r>
    </w:p>
    <w:p w14:paraId="222A186F" w14:textId="37887AFD"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collective of NGOs, including </w:t>
      </w:r>
      <w:r>
        <w:rPr>
          <w:rFonts w:ascii="Times New Roman" w:eastAsia="Times New Roman" w:hAnsi="Times New Roman" w:cs="Times New Roman"/>
          <w:b/>
          <w:sz w:val="24"/>
          <w:szCs w:val="24"/>
        </w:rPr>
        <w:t>Vishaka</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Mahila Purnvas Samiti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Rajasthan Voluntary Health Association</w:t>
      </w:r>
      <w:r>
        <w:rPr>
          <w:rFonts w:ascii="Times New Roman" w:eastAsia="Times New Roman" w:hAnsi="Times New Roman" w:cs="Times New Roman"/>
          <w:sz w:val="24"/>
          <w:szCs w:val="24"/>
        </w:rPr>
        <w:t xml:space="preserve">, and others, came together to file a </w:t>
      </w:r>
      <w:r>
        <w:rPr>
          <w:rFonts w:ascii="Times New Roman" w:eastAsia="Times New Roman" w:hAnsi="Times New Roman" w:cs="Times New Roman"/>
          <w:b/>
          <w:sz w:val="24"/>
          <w:szCs w:val="24"/>
        </w:rPr>
        <w:t>Public Interest Litigation (PIL)</w:t>
      </w:r>
      <w:r>
        <w:rPr>
          <w:rFonts w:ascii="Times New Roman" w:eastAsia="Times New Roman" w:hAnsi="Times New Roman" w:cs="Times New Roman"/>
          <w:sz w:val="24"/>
          <w:szCs w:val="24"/>
        </w:rPr>
        <w:t xml:space="preserve"> in the Supreme </w:t>
      </w:r>
      <w:r w:rsidR="002E748D">
        <w:rPr>
          <w:rFonts w:ascii="Times New Roman" w:eastAsia="Times New Roman" w:hAnsi="Times New Roman" w:cs="Times New Roman"/>
          <w:sz w:val="24"/>
          <w:szCs w:val="24"/>
        </w:rPr>
        <w:t>Court. The</w:t>
      </w:r>
      <w:r>
        <w:rPr>
          <w:rFonts w:ascii="Times New Roman" w:eastAsia="Times New Roman" w:hAnsi="Times New Roman" w:cs="Times New Roman"/>
          <w:sz w:val="24"/>
          <w:szCs w:val="24"/>
        </w:rPr>
        <w:t xml:space="preserve"> PIL was not merely about seeking justice for Bhanwari Devi; it was about </w:t>
      </w:r>
      <w:r>
        <w:rPr>
          <w:rFonts w:ascii="Times New Roman" w:eastAsia="Times New Roman" w:hAnsi="Times New Roman" w:cs="Times New Roman"/>
          <w:sz w:val="24"/>
          <w:szCs w:val="24"/>
        </w:rPr>
        <w:lastRenderedPageBreak/>
        <w:t>demanding the creation of an enabling legal framework to ensure that no woman in India would have to endure workplace harassment without effective remedies.</w:t>
      </w:r>
    </w:p>
    <w:p w14:paraId="43F8106C"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Importantly, the movement emphasized a </w:t>
      </w:r>
      <w:r>
        <w:rPr>
          <w:rFonts w:ascii="Times New Roman" w:eastAsia="Times New Roman" w:hAnsi="Times New Roman" w:cs="Times New Roman"/>
          <w:b/>
          <w:sz w:val="24"/>
          <w:szCs w:val="24"/>
        </w:rPr>
        <w:t>rights-based approach</w:t>
      </w:r>
      <w:r>
        <w:rPr>
          <w:rFonts w:ascii="Times New Roman" w:eastAsia="Times New Roman" w:hAnsi="Times New Roman" w:cs="Times New Roman"/>
          <w:sz w:val="24"/>
          <w:szCs w:val="24"/>
        </w:rPr>
        <w:t xml:space="preserve"> — asserting that safe and dignified working conditions were not privileges but entitlements under the Constitution.</w:t>
      </w:r>
      <w:r>
        <w:rPr>
          <w:rFonts w:ascii="Times New Roman" w:eastAsia="Times New Roman" w:hAnsi="Times New Roman" w:cs="Times New Roman"/>
          <w:sz w:val="24"/>
          <w:szCs w:val="24"/>
        </w:rPr>
        <w:br/>
        <w:t xml:space="preserve"> The case thus evolved into a broader movement demanding the recognition of sexual harassment as a violation of fundamental rights, shifting the conversation from moral outrage to a demand for structural legal reforms.</w:t>
      </w:r>
    </w:p>
    <w:p w14:paraId="1E9ADE9F"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mobilization also reflected an increasing understanding of sexual harassment as an </w:t>
      </w:r>
      <w:r>
        <w:rPr>
          <w:rFonts w:ascii="Times New Roman" w:eastAsia="Times New Roman" w:hAnsi="Times New Roman" w:cs="Times New Roman"/>
          <w:b/>
          <w:sz w:val="24"/>
          <w:szCs w:val="24"/>
        </w:rPr>
        <w:t>institutional failure</w:t>
      </w:r>
      <w:r>
        <w:rPr>
          <w:rFonts w:ascii="Times New Roman" w:eastAsia="Times New Roman" w:hAnsi="Times New Roman" w:cs="Times New Roman"/>
          <w:sz w:val="24"/>
          <w:szCs w:val="24"/>
        </w:rPr>
        <w:t>, requiring legal, educational, and cultural interventions.</w:t>
      </w:r>
    </w:p>
    <w:p w14:paraId="365B3601" w14:textId="77777777" w:rsidR="00AD42A4" w:rsidRDefault="00AD42A4">
      <w:pPr>
        <w:spacing w:after="0" w:line="360" w:lineRule="auto"/>
        <w:ind w:right="481"/>
        <w:rPr>
          <w:rFonts w:ascii="Times New Roman" w:eastAsia="Times New Roman" w:hAnsi="Times New Roman" w:cs="Times New Roman"/>
          <w:sz w:val="24"/>
          <w:szCs w:val="24"/>
        </w:rPr>
      </w:pPr>
    </w:p>
    <w:p w14:paraId="64339FB3"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9" w:name="_ckuul9oquoa2" w:colFirst="0" w:colLast="0"/>
      <w:bookmarkEnd w:id="9"/>
      <w:r>
        <w:rPr>
          <w:rFonts w:ascii="Times New Roman" w:eastAsia="Times New Roman" w:hAnsi="Times New Roman" w:cs="Times New Roman"/>
          <w:b/>
          <w:color w:val="000000"/>
        </w:rPr>
        <w:t>Filing of the Public Interest Litigation (PIL)</w:t>
      </w:r>
    </w:p>
    <w:p w14:paraId="2B827FFA"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Realizing that individual criminal prosecution would not address the deeper systemic issues exposed by Bhanwari Devi’s case, the NGOs decided to approach the judiciary in a strategic manner.</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 xml:space="preserve">They filed a </w:t>
      </w:r>
      <w:r>
        <w:rPr>
          <w:rFonts w:ascii="Times New Roman" w:eastAsia="Times New Roman" w:hAnsi="Times New Roman" w:cs="Times New Roman"/>
          <w:b/>
          <w:sz w:val="24"/>
          <w:szCs w:val="24"/>
        </w:rPr>
        <w:t>Public Interest Litigation</w:t>
      </w:r>
      <w:r>
        <w:rPr>
          <w:rFonts w:ascii="Times New Roman" w:eastAsia="Times New Roman" w:hAnsi="Times New Roman" w:cs="Times New Roman"/>
          <w:sz w:val="24"/>
          <w:szCs w:val="24"/>
        </w:rPr>
        <w:t xml:space="preserve"> (PIL) before the Supreme Court under the collective name “Vishaka and Others.”</w:t>
      </w:r>
    </w:p>
    <w:p w14:paraId="48746D84"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petitioners made the critical argument that the lack of a law prohibiting sexual harassment at the workplace amounted to a </w:t>
      </w:r>
      <w:r>
        <w:rPr>
          <w:rFonts w:ascii="Times New Roman" w:eastAsia="Times New Roman" w:hAnsi="Times New Roman" w:cs="Times New Roman"/>
          <w:b/>
          <w:sz w:val="24"/>
          <w:szCs w:val="24"/>
        </w:rPr>
        <w:t>breach of women’s fundamental rights</w:t>
      </w:r>
      <w:r>
        <w:rPr>
          <w:rFonts w:ascii="Times New Roman" w:eastAsia="Times New Roman" w:hAnsi="Times New Roman" w:cs="Times New Roman"/>
          <w:sz w:val="24"/>
          <w:szCs w:val="24"/>
        </w:rPr>
        <w:t xml:space="preserve"> under the Constitution:</w:t>
      </w:r>
    </w:p>
    <w:p w14:paraId="359A36AC" w14:textId="732C657B" w:rsidR="00AD42A4" w:rsidRDefault="00000000">
      <w:pPr>
        <w:numPr>
          <w:ilvl w:val="0"/>
          <w:numId w:val="1"/>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Equality (Article 14)</w:t>
      </w:r>
    </w:p>
    <w:p w14:paraId="78303687" w14:textId="093E0FB4" w:rsidR="00AD42A4" w:rsidRDefault="00000000">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Freedom from Discrimination (Article 15)</w:t>
      </w:r>
    </w:p>
    <w:p w14:paraId="6CA8D546" w14:textId="2CED3526" w:rsidR="00AD42A4" w:rsidRDefault="00000000">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Freedom to Practice Profession (Article 19(1)(g))</w:t>
      </w:r>
    </w:p>
    <w:p w14:paraId="240ABE91" w14:textId="231CB498" w:rsidR="00AD42A4" w:rsidRDefault="00000000">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Life and Personal Liberty (Article 21)</w:t>
      </w:r>
    </w:p>
    <w:p w14:paraId="4B3D75F3"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They urged the Court to recognize that constitutional promises would remain hollow unless the judiciary intervened to protect them effectively.</w:t>
      </w:r>
    </w:p>
    <w:p w14:paraId="0FE2CABD"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 path-breaking move, the Supreme Court agreed to hear the PIL, acknowledging that the judiciary could — and must — act when the legislature failed to perform its constitutional duties.</w:t>
      </w:r>
      <w:r>
        <w:rPr>
          <w:rFonts w:ascii="Times New Roman" w:eastAsia="Times New Roman" w:hAnsi="Times New Roman" w:cs="Times New Roman"/>
          <w:sz w:val="24"/>
          <w:szCs w:val="24"/>
        </w:rPr>
        <w:br/>
        <w:t xml:space="preserve"> The Court expanded its interpretive powers to fill the legislative vacuum and relied heavily on </w:t>
      </w:r>
      <w:r>
        <w:rPr>
          <w:rFonts w:ascii="Times New Roman" w:eastAsia="Times New Roman" w:hAnsi="Times New Roman" w:cs="Times New Roman"/>
          <w:b/>
          <w:sz w:val="24"/>
          <w:szCs w:val="24"/>
        </w:rPr>
        <w:lastRenderedPageBreak/>
        <w:t>international conventions</w:t>
      </w:r>
      <w:r>
        <w:rPr>
          <w:rFonts w:ascii="Times New Roman" w:eastAsia="Times New Roman" w:hAnsi="Times New Roman" w:cs="Times New Roman"/>
          <w:sz w:val="24"/>
          <w:szCs w:val="24"/>
        </w:rPr>
        <w:t xml:space="preserve"> to frame guidelines, thereby setting a </w:t>
      </w:r>
      <w:r>
        <w:rPr>
          <w:rFonts w:ascii="Times New Roman" w:eastAsia="Times New Roman" w:hAnsi="Times New Roman" w:cs="Times New Roman"/>
          <w:b/>
          <w:sz w:val="24"/>
          <w:szCs w:val="24"/>
        </w:rPr>
        <w:t>progressive precedent</w:t>
      </w:r>
      <w:r>
        <w:rPr>
          <w:rFonts w:ascii="Times New Roman" w:eastAsia="Times New Roman" w:hAnsi="Times New Roman" w:cs="Times New Roman"/>
          <w:sz w:val="24"/>
          <w:szCs w:val="24"/>
        </w:rPr>
        <w:t xml:space="preserve"> in Indian constitutional law.</w:t>
      </w:r>
    </w:p>
    <w:p w14:paraId="0A8877E0" w14:textId="77777777" w:rsidR="00AD42A4" w:rsidRDefault="00AD42A4">
      <w:pPr>
        <w:spacing w:after="0" w:line="360" w:lineRule="auto"/>
        <w:ind w:right="481"/>
        <w:rPr>
          <w:rFonts w:ascii="Times New Roman" w:eastAsia="Times New Roman" w:hAnsi="Times New Roman" w:cs="Times New Roman"/>
          <w:sz w:val="24"/>
          <w:szCs w:val="24"/>
        </w:rPr>
      </w:pPr>
    </w:p>
    <w:p w14:paraId="306B7D3B"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10" w:name="_vvxqo1lzomvi" w:colFirst="0" w:colLast="0"/>
      <w:bookmarkEnd w:id="10"/>
      <w:r>
        <w:rPr>
          <w:rFonts w:ascii="Times New Roman" w:eastAsia="Times New Roman" w:hAnsi="Times New Roman" w:cs="Times New Roman"/>
          <w:b/>
          <w:color w:val="000000"/>
        </w:rPr>
        <w:t>Main Issue Before the Court</w:t>
      </w:r>
    </w:p>
    <w:p w14:paraId="0E9F5F22" w14:textId="77777777" w:rsidR="00AD42A4" w:rsidRDefault="00000000" w:rsidP="00F03C93">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petitioners argued persuasively that inaction by the legislature and executive violated the spirit and letter of the Constitution.</w:t>
      </w:r>
      <w:r>
        <w:rPr>
          <w:rFonts w:ascii="Times New Roman" w:eastAsia="Times New Roman" w:hAnsi="Times New Roman" w:cs="Times New Roman"/>
          <w:sz w:val="24"/>
          <w:szCs w:val="24"/>
        </w:rPr>
        <w:br/>
        <w:t xml:space="preserve"> Moreover, they contended that India's ratification of international treaties like CEDAW (Convention on the Elimination of All Forms of Discrimination Against Women) imposed an obligation to enact measures against gender-based discrimination.</w:t>
      </w:r>
    </w:p>
    <w:p w14:paraId="13114C22" w14:textId="77777777" w:rsidR="00AD42A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Court was thus faced with determining whether it could, through judicial directions, bridge the gap between constitutional ideals and ground realities — and whether the judiciary could "legislate" by creating binding norms in areas where Parliament had failed to act.</w:t>
      </w:r>
    </w:p>
    <w:p w14:paraId="19A27159" w14:textId="77777777" w:rsidR="00AD42A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Ultimately, the Court accepted that it was empowered — indeed obligated — to do so under its constitutional mandate to protect fundamental rights.</w:t>
      </w:r>
    </w:p>
    <w:p w14:paraId="2D1A1E71" w14:textId="77777777" w:rsidR="00AD42A4" w:rsidRDefault="00AD42A4">
      <w:pPr>
        <w:spacing w:before="240" w:after="240" w:line="360" w:lineRule="auto"/>
        <w:rPr>
          <w:rFonts w:ascii="Times New Roman" w:eastAsia="Times New Roman" w:hAnsi="Times New Roman" w:cs="Times New Roman"/>
          <w:sz w:val="24"/>
          <w:szCs w:val="24"/>
        </w:rPr>
      </w:pPr>
    </w:p>
    <w:p w14:paraId="5E0EAC7E"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11" w:name="_aazp7px0ca26" w:colFirst="0" w:colLast="0"/>
      <w:bookmarkEnd w:id="11"/>
      <w:r>
        <w:rPr>
          <w:rFonts w:ascii="Times New Roman" w:eastAsia="Times New Roman" w:hAnsi="Times New Roman" w:cs="Times New Roman"/>
          <w:b/>
          <w:color w:val="000000"/>
        </w:rPr>
        <w:t>Constitutional Rights Involved (Articles 14, 15, 19, 21)</w:t>
      </w:r>
    </w:p>
    <w:p w14:paraId="73FC36A3"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Vishaka judgment drew strength from four cardinal constitutional rights:</w:t>
      </w:r>
    </w:p>
    <w:p w14:paraId="2DC8F564" w14:textId="1F48F121" w:rsidR="00AD42A4" w:rsidRDefault="00000000">
      <w:pPr>
        <w:numPr>
          <w:ilvl w:val="0"/>
          <w:numId w:val="11"/>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Article 14</w:t>
      </w:r>
      <w:r>
        <w:rPr>
          <w:rFonts w:ascii="Times New Roman" w:eastAsia="Times New Roman" w:hAnsi="Times New Roman" w:cs="Times New Roman"/>
          <w:sz w:val="24"/>
          <w:szCs w:val="24"/>
        </w:rPr>
        <w:t xml:space="preserve"> (Right to Equality):</w:t>
      </w:r>
      <w:r>
        <w:rPr>
          <w:rFonts w:ascii="Times New Roman" w:eastAsia="Times New Roman" w:hAnsi="Times New Roman" w:cs="Times New Roman"/>
          <w:sz w:val="24"/>
          <w:szCs w:val="24"/>
        </w:rPr>
        <w:br/>
        <w:t xml:space="preserve"> It mandates equal protection under the law. Allowing sexual harassment undermines a woman's right to be treated equally at her workplace, entrenching systemic inequality.</w:t>
      </w:r>
    </w:p>
    <w:p w14:paraId="117ABFA5" w14:textId="4C574485" w:rsidR="00AD42A4" w:rsidRDefault="00000000">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Article 15</w:t>
      </w:r>
      <w:r>
        <w:rPr>
          <w:rFonts w:ascii="Times New Roman" w:eastAsia="Times New Roman" w:hAnsi="Times New Roman" w:cs="Times New Roman"/>
          <w:sz w:val="24"/>
          <w:szCs w:val="24"/>
        </w:rPr>
        <w:t xml:space="preserve"> (Prohibition of Discrimination):</w:t>
      </w:r>
      <w:r>
        <w:rPr>
          <w:rFonts w:ascii="Times New Roman" w:eastAsia="Times New Roman" w:hAnsi="Times New Roman" w:cs="Times New Roman"/>
          <w:sz w:val="24"/>
          <w:szCs w:val="24"/>
        </w:rPr>
        <w:br/>
        <w:t xml:space="preserve"> It prohibits discrimination on grounds of sex. A hostile work environment amounts to indirect discrimination, making it harder for women to access and sustain employment opportunities.</w:t>
      </w:r>
    </w:p>
    <w:p w14:paraId="2D16C6E7" w14:textId="4AEC91BC" w:rsidR="00AD42A4" w:rsidRDefault="00000000">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Article 19(1)(g)</w:t>
      </w:r>
      <w:r>
        <w:rPr>
          <w:rFonts w:ascii="Times New Roman" w:eastAsia="Times New Roman" w:hAnsi="Times New Roman" w:cs="Times New Roman"/>
          <w:sz w:val="24"/>
          <w:szCs w:val="24"/>
        </w:rPr>
        <w:t xml:space="preserve"> (Freedom to Practice Any Profession):</w:t>
      </w:r>
      <w:r>
        <w:rPr>
          <w:rFonts w:ascii="Times New Roman" w:eastAsia="Times New Roman" w:hAnsi="Times New Roman" w:cs="Times New Roman"/>
          <w:sz w:val="24"/>
          <w:szCs w:val="24"/>
        </w:rPr>
        <w:br/>
        <w:t xml:space="preserve"> It guarantees the right to pursue a profession or occupation. A working environment marred by fear and harassment effectively deprives women of this freedom.</w:t>
      </w:r>
    </w:p>
    <w:p w14:paraId="5DD95AF7" w14:textId="709FB6F4" w:rsidR="00AD42A4" w:rsidRDefault="00000000">
      <w:pPr>
        <w:numPr>
          <w:ilvl w:val="0"/>
          <w:numId w:val="1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Article 21</w:t>
      </w:r>
      <w:r>
        <w:rPr>
          <w:rFonts w:ascii="Times New Roman" w:eastAsia="Times New Roman" w:hAnsi="Times New Roman" w:cs="Times New Roman"/>
          <w:sz w:val="24"/>
          <w:szCs w:val="24"/>
        </w:rPr>
        <w:t xml:space="preserve"> (Right to Life and Personal Liberty):</w:t>
      </w:r>
      <w:r>
        <w:rPr>
          <w:rFonts w:ascii="Times New Roman" w:eastAsia="Times New Roman" w:hAnsi="Times New Roman" w:cs="Times New Roman"/>
          <w:sz w:val="24"/>
          <w:szCs w:val="24"/>
        </w:rPr>
        <w:br/>
        <w:t xml:space="preserve"> The Supreme Court has interpreted Article 21 to include the right to live with dignity, safety, and self-respect. Workplace harassment is a direct assault on these rights.</w:t>
      </w:r>
    </w:p>
    <w:p w14:paraId="7683A7C5" w14:textId="77777777" w:rsidR="00AD42A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Court affirmed that </w:t>
      </w:r>
      <w:r>
        <w:rPr>
          <w:rFonts w:ascii="Times New Roman" w:eastAsia="Times New Roman" w:hAnsi="Times New Roman" w:cs="Times New Roman"/>
          <w:b/>
          <w:sz w:val="24"/>
          <w:szCs w:val="24"/>
        </w:rPr>
        <w:t>the right to a safe working environment is a part of the right to life</w:t>
      </w:r>
      <w:r>
        <w:rPr>
          <w:rFonts w:ascii="Times New Roman" w:eastAsia="Times New Roman" w:hAnsi="Times New Roman" w:cs="Times New Roman"/>
          <w:sz w:val="24"/>
          <w:szCs w:val="24"/>
        </w:rPr>
        <w:t xml:space="preserve"> and is essential for the full and free exercise of constitutional freedoms by women.</w:t>
      </w:r>
    </w:p>
    <w:p w14:paraId="1EE4AB45" w14:textId="3A3AB0CB" w:rsidR="00AD42A4" w:rsidRDefault="00000000" w:rsidP="00F03C9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articulation transformed sexual harassment from being seen as a private misconduct issue into a </w:t>
      </w:r>
      <w:r>
        <w:rPr>
          <w:rFonts w:ascii="Times New Roman" w:eastAsia="Times New Roman" w:hAnsi="Times New Roman" w:cs="Times New Roman"/>
          <w:b/>
          <w:sz w:val="24"/>
          <w:szCs w:val="24"/>
        </w:rPr>
        <w:t>public wrong</w:t>
      </w:r>
      <w:r>
        <w:rPr>
          <w:rFonts w:ascii="Times New Roman" w:eastAsia="Times New Roman" w:hAnsi="Times New Roman" w:cs="Times New Roman"/>
          <w:sz w:val="24"/>
          <w:szCs w:val="24"/>
        </w:rPr>
        <w:t xml:space="preserve"> — a constitutional violation demanding state and employer accountability.</w:t>
      </w:r>
    </w:p>
    <w:p w14:paraId="458B2AD1"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12" w:name="_tq8os5ai1w06" w:colFirst="0" w:colLast="0"/>
      <w:bookmarkEnd w:id="12"/>
      <w:r>
        <w:rPr>
          <w:rFonts w:ascii="Times New Roman" w:eastAsia="Times New Roman" w:hAnsi="Times New Roman" w:cs="Times New Roman"/>
          <w:b/>
          <w:color w:val="000000"/>
        </w:rPr>
        <w:t>Role of International Conventions (CEDAW)</w:t>
      </w:r>
    </w:p>
    <w:p w14:paraId="3625D227" w14:textId="51F9F4FB" w:rsidR="00AD42A4" w:rsidRDefault="00000000" w:rsidP="00F03C93">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landmark feature of the Vishaka case was the Court’s </w:t>
      </w:r>
      <w:r>
        <w:rPr>
          <w:rFonts w:ascii="Times New Roman" w:eastAsia="Times New Roman" w:hAnsi="Times New Roman" w:cs="Times New Roman"/>
          <w:b/>
          <w:sz w:val="24"/>
          <w:szCs w:val="24"/>
        </w:rPr>
        <w:t>extensive reliance on international conventions</w:t>
      </w:r>
      <w:r>
        <w:rPr>
          <w:rFonts w:ascii="Times New Roman" w:eastAsia="Times New Roman" w:hAnsi="Times New Roman" w:cs="Times New Roman"/>
          <w:sz w:val="24"/>
          <w:szCs w:val="24"/>
        </w:rPr>
        <w:t xml:space="preserve">, especially the </w:t>
      </w:r>
      <w:r>
        <w:rPr>
          <w:rFonts w:ascii="Times New Roman" w:eastAsia="Times New Roman" w:hAnsi="Times New Roman" w:cs="Times New Roman"/>
          <w:b/>
          <w:sz w:val="24"/>
          <w:szCs w:val="24"/>
        </w:rPr>
        <w:t>CEDAW</w:t>
      </w:r>
      <w:r>
        <w:rPr>
          <w:rFonts w:ascii="Times New Roman" w:eastAsia="Times New Roman" w:hAnsi="Times New Roman" w:cs="Times New Roman"/>
          <w:sz w:val="24"/>
          <w:szCs w:val="24"/>
        </w:rPr>
        <w:t xml:space="preserve">, which India had ratified without reservations in 1993.The Court acknowledged that although CEDAW had not been specifically legislated into Indian law through an Act of Parliament, it could still be used to </w:t>
      </w:r>
      <w:r>
        <w:rPr>
          <w:rFonts w:ascii="Times New Roman" w:eastAsia="Times New Roman" w:hAnsi="Times New Roman" w:cs="Times New Roman"/>
          <w:b/>
          <w:sz w:val="24"/>
          <w:szCs w:val="24"/>
        </w:rPr>
        <w:t>interpret constitutional provisions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fill legislative gaps</w:t>
      </w:r>
      <w:r>
        <w:rPr>
          <w:rFonts w:ascii="Times New Roman" w:eastAsia="Times New Roman" w:hAnsi="Times New Roman" w:cs="Times New Roman"/>
          <w:sz w:val="24"/>
          <w:szCs w:val="24"/>
        </w:rPr>
        <w:t xml:space="preserve"> under the doctrine of </w:t>
      </w:r>
      <w:r>
        <w:rPr>
          <w:rFonts w:ascii="Times New Roman" w:eastAsia="Times New Roman" w:hAnsi="Times New Roman" w:cs="Times New Roman"/>
          <w:b/>
          <w:sz w:val="24"/>
          <w:szCs w:val="24"/>
        </w:rPr>
        <w:t>harmonious construction</w:t>
      </w:r>
      <w:r>
        <w:rPr>
          <w:rFonts w:ascii="Times New Roman" w:eastAsia="Times New Roman" w:hAnsi="Times New Roman" w:cs="Times New Roman"/>
          <w:sz w:val="24"/>
          <w:szCs w:val="24"/>
        </w:rPr>
        <w:t>.</w:t>
      </w:r>
    </w:p>
    <w:p w14:paraId="63FBF6C3" w14:textId="77777777" w:rsidR="00AD42A4"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Articles from CEDAW invoked by the Court included:</w:t>
      </w:r>
    </w:p>
    <w:p w14:paraId="54367373" w14:textId="789D22DA" w:rsidR="00AD42A4" w:rsidRDefault="00000000">
      <w:pPr>
        <w:numPr>
          <w:ilvl w:val="0"/>
          <w:numId w:val="16"/>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Article 11</w:t>
      </w:r>
      <w:r>
        <w:rPr>
          <w:rFonts w:ascii="Times New Roman" w:eastAsia="Times New Roman" w:hAnsi="Times New Roman" w:cs="Times New Roman"/>
          <w:sz w:val="24"/>
          <w:szCs w:val="24"/>
        </w:rPr>
        <w:t>: Ensuring women's right to work under safe and fair conditions.</w:t>
      </w:r>
    </w:p>
    <w:p w14:paraId="47F7F019" w14:textId="3F4EED7F" w:rsidR="00AD42A4" w:rsidRDefault="00000000">
      <w:pPr>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Article 24</w:t>
      </w:r>
      <w:r>
        <w:rPr>
          <w:rFonts w:ascii="Times New Roman" w:eastAsia="Times New Roman" w:hAnsi="Times New Roman" w:cs="Times New Roman"/>
          <w:sz w:val="24"/>
          <w:szCs w:val="24"/>
        </w:rPr>
        <w:t>: Commitment to adopt all necessary measures to eliminate discrimination against women.</w:t>
      </w:r>
    </w:p>
    <w:p w14:paraId="0DC2C973" w14:textId="7D3824D6" w:rsidR="00AD42A4" w:rsidRDefault="00000000">
      <w:pPr>
        <w:numPr>
          <w:ilvl w:val="0"/>
          <w:numId w:val="1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General Recommendation No. 19</w:t>
      </w:r>
      <w:r>
        <w:rPr>
          <w:rFonts w:ascii="Times New Roman" w:eastAsia="Times New Roman" w:hAnsi="Times New Roman" w:cs="Times New Roman"/>
          <w:sz w:val="24"/>
          <w:szCs w:val="24"/>
        </w:rPr>
        <w:t>: Explicitly recognizing sexual harassment as a form of gender discrimination.</w:t>
      </w:r>
    </w:p>
    <w:p w14:paraId="098DB9A2" w14:textId="48576256" w:rsidR="00AD42A4" w:rsidRPr="00F03C93" w:rsidRDefault="00000000" w:rsidP="00F03C9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Court stated that the </w:t>
      </w:r>
      <w:r>
        <w:rPr>
          <w:rFonts w:ascii="Times New Roman" w:eastAsia="Times New Roman" w:hAnsi="Times New Roman" w:cs="Times New Roman"/>
          <w:b/>
          <w:sz w:val="24"/>
          <w:szCs w:val="24"/>
        </w:rPr>
        <w:t>spirit of international conventions</w:t>
      </w:r>
      <w:r>
        <w:rPr>
          <w:rFonts w:ascii="Times New Roman" w:eastAsia="Times New Roman" w:hAnsi="Times New Roman" w:cs="Times New Roman"/>
          <w:sz w:val="24"/>
          <w:szCs w:val="24"/>
        </w:rPr>
        <w:t xml:space="preserve">, when not inconsistent with Indian law, must inform the interpretation of fundamental rights under the </w:t>
      </w:r>
      <w:proofErr w:type="spellStart"/>
      <w:r>
        <w:rPr>
          <w:rFonts w:ascii="Times New Roman" w:eastAsia="Times New Roman" w:hAnsi="Times New Roman" w:cs="Times New Roman"/>
          <w:sz w:val="24"/>
          <w:szCs w:val="24"/>
        </w:rPr>
        <w:t>Constitution.This</w:t>
      </w:r>
      <w:proofErr w:type="spellEnd"/>
      <w:r>
        <w:rPr>
          <w:rFonts w:ascii="Times New Roman" w:eastAsia="Times New Roman" w:hAnsi="Times New Roman" w:cs="Times New Roman"/>
          <w:sz w:val="24"/>
          <w:szCs w:val="24"/>
        </w:rPr>
        <w:t xml:space="preserve"> approach reinforced India's global human rights commitments and emphasized that Indian law could not remain stagnant when international human rights norms demanded progress.</w:t>
      </w:r>
    </w:p>
    <w:p w14:paraId="1D172F08"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13" w:name="_omtqav4qnbt" w:colFirst="0" w:colLast="0"/>
      <w:bookmarkEnd w:id="13"/>
      <w:r>
        <w:rPr>
          <w:rFonts w:ascii="Times New Roman" w:eastAsia="Times New Roman" w:hAnsi="Times New Roman" w:cs="Times New Roman"/>
          <w:b/>
          <w:color w:val="000000"/>
        </w:rPr>
        <w:t>Judicial Activism and Need for Guidelines</w:t>
      </w:r>
    </w:p>
    <w:p w14:paraId="1D73FBB5"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Vishaka judgment is a textbook example of </w:t>
      </w:r>
      <w:r>
        <w:rPr>
          <w:rFonts w:ascii="Times New Roman" w:eastAsia="Times New Roman" w:hAnsi="Times New Roman" w:cs="Times New Roman"/>
          <w:i/>
          <w:sz w:val="24"/>
          <w:szCs w:val="24"/>
        </w:rPr>
        <w:t>judicial activism</w:t>
      </w:r>
      <w:r>
        <w:rPr>
          <w:rFonts w:ascii="Times New Roman" w:eastAsia="Times New Roman" w:hAnsi="Times New Roman" w:cs="Times New Roman"/>
          <w:sz w:val="24"/>
          <w:szCs w:val="24"/>
        </w:rPr>
        <w:t xml:space="preserve">, where the judiciary stepped beyond traditional adjudication to fill a critical legislative gap. Judicial activism, in this </w:t>
      </w:r>
      <w:r>
        <w:rPr>
          <w:rFonts w:ascii="Times New Roman" w:eastAsia="Times New Roman" w:hAnsi="Times New Roman" w:cs="Times New Roman"/>
          <w:sz w:val="24"/>
          <w:szCs w:val="24"/>
        </w:rPr>
        <w:lastRenderedPageBreak/>
        <w:t>context, refers to the proactive role of the judiciary in formulating policies or legal frameworks when other branches of government — particularly the legislature — fail to act.</w:t>
      </w:r>
    </w:p>
    <w:p w14:paraId="058C1245" w14:textId="5B645D39" w:rsidR="00AD42A4" w:rsidRDefault="00000000">
      <w:pPr>
        <w:numPr>
          <w:ilvl w:val="0"/>
          <w:numId w:val="13"/>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Legislative Vacuum:</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At the time of the Vishaka case, no Indian law specifically addressed sexual harassment at the workplace. Despite growing incidents of harassment, Parliament had not yet responded with legislation, creating an urgent need for judicial intervention.</w:t>
      </w:r>
    </w:p>
    <w:p w14:paraId="69A5876D" w14:textId="05EF25F7" w:rsidR="00AD42A4" w:rsidRDefault="00000000">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Judicial Responsibility:</w:t>
      </w:r>
      <w:r>
        <w:rPr>
          <w:rFonts w:ascii="Times New Roman" w:eastAsia="Times New Roman" w:hAnsi="Times New Roman" w:cs="Times New Roman"/>
          <w:sz w:val="24"/>
          <w:szCs w:val="24"/>
        </w:rPr>
        <w:t xml:space="preserve"> The Court recognized that constitutional rights are meaningless if they exist only in theory and cannot be effectively enforced. Thus, to preserve the spirit of Articles 14, 15, 19, and 21, the judiciary saw itself duty-bound to step</w:t>
      </w:r>
      <w:r w:rsidR="00F03C93">
        <w:rPr>
          <w:rFonts w:ascii="Times New Roman" w:eastAsia="Times New Roman" w:hAnsi="Times New Roman" w:cs="Times New Roman"/>
          <w:sz w:val="24"/>
          <w:szCs w:val="24"/>
        </w:rPr>
        <w:t>.</w:t>
      </w:r>
    </w:p>
    <w:p w14:paraId="0E4960CE" w14:textId="429030D3" w:rsidR="00AD42A4" w:rsidRDefault="00000000">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Not Judicial Overreach:</w:t>
      </w:r>
      <w:r>
        <w:rPr>
          <w:rFonts w:ascii="Times New Roman" w:eastAsia="Times New Roman" w:hAnsi="Times New Roman" w:cs="Times New Roman"/>
          <w:sz w:val="24"/>
          <w:szCs w:val="24"/>
        </w:rPr>
        <w:t xml:space="preserve"> Importantly, the Court clarified that its activism was not an act of making law but </w:t>
      </w:r>
      <w:r>
        <w:rPr>
          <w:rFonts w:ascii="Times New Roman" w:eastAsia="Times New Roman" w:hAnsi="Times New Roman" w:cs="Times New Roman"/>
          <w:i/>
          <w:sz w:val="24"/>
          <w:szCs w:val="24"/>
        </w:rPr>
        <w:t>interpreting and enforcing</w:t>
      </w:r>
      <w:r>
        <w:rPr>
          <w:rFonts w:ascii="Times New Roman" w:eastAsia="Times New Roman" w:hAnsi="Times New Roman" w:cs="Times New Roman"/>
          <w:sz w:val="24"/>
          <w:szCs w:val="24"/>
        </w:rPr>
        <w:t xml:space="preserve"> fundamental rights, drawing authority from Article 32 (right to constitutional remedies) and Article 141 (decisions of the Supreme Court binding).</w:t>
      </w:r>
    </w:p>
    <w:p w14:paraId="30136A25" w14:textId="30ADDC0E" w:rsidR="00AD42A4" w:rsidRDefault="00000000">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Historical Significance:</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Vishaka was part of a broader trend of public interest litigation (PIL) activism during the 1980s and 1990s in India — a time when courts increasingly acted as guardians of social justice in the face of governmental inertia.</w:t>
      </w:r>
    </w:p>
    <w:p w14:paraId="73DBE6D4" w14:textId="18DFD0EB" w:rsidR="00AD42A4" w:rsidRDefault="00000000">
      <w:pPr>
        <w:numPr>
          <w:ilvl w:val="0"/>
          <w:numId w:val="1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Impact on Judicial Culture:</w:t>
      </w:r>
      <w:r>
        <w:rPr>
          <w:rFonts w:ascii="Times New Roman" w:eastAsia="Times New Roman" w:hAnsi="Times New Roman" w:cs="Times New Roman"/>
          <w:sz w:val="24"/>
          <w:szCs w:val="24"/>
        </w:rPr>
        <w:t xml:space="preserve"> Post-Vishaka, the idea that courts could issue binding "guidelines" became more accepted. It created space for other landmark interventions — like the </w:t>
      </w:r>
      <w:r>
        <w:rPr>
          <w:rFonts w:ascii="Times New Roman" w:eastAsia="Times New Roman" w:hAnsi="Times New Roman" w:cs="Times New Roman"/>
          <w:i/>
          <w:sz w:val="24"/>
          <w:szCs w:val="24"/>
        </w:rPr>
        <w:t>D.K. Basu Guidelines</w:t>
      </w:r>
      <w:r>
        <w:rPr>
          <w:rFonts w:ascii="Times New Roman" w:eastAsia="Times New Roman" w:hAnsi="Times New Roman" w:cs="Times New Roman"/>
          <w:sz w:val="24"/>
          <w:szCs w:val="24"/>
        </w:rPr>
        <w:t xml:space="preserve"> on arrest procedures and </w:t>
      </w:r>
      <w:r>
        <w:rPr>
          <w:rFonts w:ascii="Times New Roman" w:eastAsia="Times New Roman" w:hAnsi="Times New Roman" w:cs="Times New Roman"/>
          <w:i/>
          <w:sz w:val="24"/>
          <w:szCs w:val="24"/>
        </w:rPr>
        <w:t>Lalita Kumari Guidelines</w:t>
      </w:r>
      <w:r>
        <w:rPr>
          <w:rFonts w:ascii="Times New Roman" w:eastAsia="Times New Roman" w:hAnsi="Times New Roman" w:cs="Times New Roman"/>
          <w:sz w:val="24"/>
          <w:szCs w:val="24"/>
        </w:rPr>
        <w:t xml:space="preserve"> for mandatory registration of FIRs.</w:t>
      </w:r>
    </w:p>
    <w:p w14:paraId="1A412960" w14:textId="77777777" w:rsidR="00F03C93" w:rsidRDefault="00F03C93" w:rsidP="00F03C93">
      <w:pPr>
        <w:spacing w:after="240" w:line="360" w:lineRule="auto"/>
        <w:ind w:left="720"/>
        <w:rPr>
          <w:rFonts w:ascii="Times New Roman" w:eastAsia="Times New Roman" w:hAnsi="Times New Roman" w:cs="Times New Roman"/>
          <w:sz w:val="24"/>
          <w:szCs w:val="24"/>
        </w:rPr>
      </w:pPr>
    </w:p>
    <w:p w14:paraId="5633479A"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14" w:name="_arr7l1eumptg" w:colFirst="0" w:colLast="0"/>
      <w:bookmarkEnd w:id="14"/>
      <w:r>
        <w:rPr>
          <w:rFonts w:ascii="Times New Roman" w:eastAsia="Times New Roman" w:hAnsi="Times New Roman" w:cs="Times New Roman"/>
          <w:b/>
          <w:color w:val="000000"/>
        </w:rPr>
        <w:t>Definition of Sexual Harassment</w:t>
      </w:r>
    </w:p>
    <w:p w14:paraId="6C4E72B8" w14:textId="77777777" w:rsidR="00F03C93" w:rsidRPr="00F03C93" w:rsidRDefault="00F03C93" w:rsidP="00F03C93">
      <w:pPr>
        <w:ind w:firstLine="360"/>
        <w:rPr>
          <w:rFonts w:ascii="Times New Roman" w:hAnsi="Times New Roman" w:cs="Times New Roman"/>
          <w:sz w:val="24"/>
          <w:szCs w:val="24"/>
          <w:lang w:val="en-IN"/>
        </w:rPr>
      </w:pPr>
      <w:r w:rsidRPr="00F03C93">
        <w:rPr>
          <w:rFonts w:ascii="Times New Roman" w:hAnsi="Times New Roman" w:cs="Times New Roman"/>
          <w:sz w:val="24"/>
          <w:szCs w:val="24"/>
          <w:lang w:val="en-IN"/>
        </w:rPr>
        <w:t xml:space="preserve">The </w:t>
      </w:r>
      <w:r w:rsidRPr="00F03C93">
        <w:rPr>
          <w:rFonts w:ascii="Times New Roman" w:hAnsi="Times New Roman" w:cs="Times New Roman"/>
          <w:b/>
          <w:bCs/>
          <w:sz w:val="24"/>
          <w:szCs w:val="24"/>
          <w:lang w:val="en-IN"/>
        </w:rPr>
        <w:t>Vishaka</w:t>
      </w:r>
      <w:r w:rsidRPr="00F03C93">
        <w:rPr>
          <w:rFonts w:ascii="Times New Roman" w:hAnsi="Times New Roman" w:cs="Times New Roman"/>
          <w:sz w:val="24"/>
          <w:szCs w:val="24"/>
          <w:lang w:val="en-IN"/>
        </w:rPr>
        <w:t xml:space="preserve"> judgment provided one of India’s first comprehensive legal definitions of sexual harassment, focusing on the victim's experience rather than the harasser’s intent.</w:t>
      </w:r>
    </w:p>
    <w:p w14:paraId="1893EDFD" w14:textId="77777777" w:rsidR="00F03C93" w:rsidRPr="00F03C93" w:rsidRDefault="00F03C93" w:rsidP="00F03C93">
      <w:pPr>
        <w:numPr>
          <w:ilvl w:val="0"/>
          <w:numId w:val="19"/>
        </w:numPr>
        <w:rPr>
          <w:rFonts w:ascii="Times New Roman" w:hAnsi="Times New Roman" w:cs="Times New Roman"/>
          <w:sz w:val="24"/>
          <w:szCs w:val="24"/>
          <w:lang w:val="en-IN"/>
        </w:rPr>
      </w:pPr>
      <w:r w:rsidRPr="00F03C93">
        <w:rPr>
          <w:rFonts w:ascii="Times New Roman" w:hAnsi="Times New Roman" w:cs="Times New Roman"/>
          <w:b/>
          <w:bCs/>
          <w:sz w:val="24"/>
          <w:szCs w:val="24"/>
          <w:lang w:val="en-IN"/>
        </w:rPr>
        <w:t>Key Aspects</w:t>
      </w:r>
      <w:r w:rsidRPr="00F03C93">
        <w:rPr>
          <w:rFonts w:ascii="Times New Roman" w:hAnsi="Times New Roman" w:cs="Times New Roman"/>
          <w:sz w:val="24"/>
          <w:szCs w:val="24"/>
          <w:lang w:val="en-IN"/>
        </w:rPr>
        <w:t>:</w:t>
      </w:r>
    </w:p>
    <w:p w14:paraId="7E1DC12C" w14:textId="7781C934" w:rsidR="00F03C93" w:rsidRPr="00F03C93" w:rsidRDefault="00F03C93" w:rsidP="00F03C93">
      <w:pPr>
        <w:numPr>
          <w:ilvl w:val="1"/>
          <w:numId w:val="19"/>
        </w:numPr>
        <w:rPr>
          <w:rFonts w:ascii="Times New Roman" w:hAnsi="Times New Roman" w:cs="Times New Roman"/>
          <w:sz w:val="24"/>
          <w:szCs w:val="24"/>
          <w:lang w:val="en-IN"/>
        </w:rPr>
      </w:pPr>
      <w:r w:rsidRPr="00F03C93">
        <w:rPr>
          <w:rFonts w:ascii="Times New Roman" w:hAnsi="Times New Roman" w:cs="Times New Roman"/>
          <w:b/>
          <w:bCs/>
          <w:sz w:val="24"/>
          <w:szCs w:val="24"/>
          <w:lang w:val="en-IN"/>
        </w:rPr>
        <w:t xml:space="preserve">Unwelcome </w:t>
      </w:r>
      <w:r w:rsidRPr="00F03C93">
        <w:rPr>
          <w:rFonts w:ascii="Times New Roman" w:hAnsi="Times New Roman" w:cs="Times New Roman"/>
          <w:b/>
          <w:bCs/>
          <w:sz w:val="24"/>
          <w:szCs w:val="24"/>
          <w:lang w:val="en-IN"/>
        </w:rPr>
        <w:t>behaviour</w:t>
      </w:r>
      <w:r w:rsidRPr="00F03C93">
        <w:rPr>
          <w:rFonts w:ascii="Times New Roman" w:hAnsi="Times New Roman" w:cs="Times New Roman"/>
          <w:sz w:val="24"/>
          <w:szCs w:val="24"/>
          <w:lang w:val="en-IN"/>
        </w:rPr>
        <w:t>: Consent is central.</w:t>
      </w:r>
    </w:p>
    <w:p w14:paraId="5688B303" w14:textId="77777777" w:rsidR="00F03C93" w:rsidRPr="00F03C93" w:rsidRDefault="00F03C93" w:rsidP="00F03C93">
      <w:pPr>
        <w:numPr>
          <w:ilvl w:val="1"/>
          <w:numId w:val="19"/>
        </w:numPr>
        <w:rPr>
          <w:rFonts w:ascii="Times New Roman" w:hAnsi="Times New Roman" w:cs="Times New Roman"/>
          <w:sz w:val="24"/>
          <w:szCs w:val="24"/>
          <w:lang w:val="en-IN"/>
        </w:rPr>
      </w:pPr>
      <w:r w:rsidRPr="00F03C93">
        <w:rPr>
          <w:rFonts w:ascii="Times New Roman" w:hAnsi="Times New Roman" w:cs="Times New Roman"/>
          <w:b/>
          <w:bCs/>
          <w:sz w:val="24"/>
          <w:szCs w:val="24"/>
          <w:lang w:val="en-IN"/>
        </w:rPr>
        <w:t>Sexually determined</w:t>
      </w:r>
      <w:r w:rsidRPr="00F03C93">
        <w:rPr>
          <w:rFonts w:ascii="Times New Roman" w:hAnsi="Times New Roman" w:cs="Times New Roman"/>
          <w:sz w:val="24"/>
          <w:szCs w:val="24"/>
          <w:lang w:val="en-IN"/>
        </w:rPr>
        <w:t>: Includes both physical (touching) and verbal (comments, jokes) harassment.</w:t>
      </w:r>
    </w:p>
    <w:p w14:paraId="55486802" w14:textId="77777777" w:rsidR="00F03C93" w:rsidRPr="00F03C93" w:rsidRDefault="00F03C93" w:rsidP="00F03C93">
      <w:pPr>
        <w:numPr>
          <w:ilvl w:val="1"/>
          <w:numId w:val="19"/>
        </w:numPr>
        <w:rPr>
          <w:rFonts w:ascii="Times New Roman" w:hAnsi="Times New Roman" w:cs="Times New Roman"/>
          <w:sz w:val="24"/>
          <w:szCs w:val="24"/>
          <w:lang w:val="en-IN"/>
        </w:rPr>
      </w:pPr>
      <w:r w:rsidRPr="00F03C93">
        <w:rPr>
          <w:rFonts w:ascii="Times New Roman" w:hAnsi="Times New Roman" w:cs="Times New Roman"/>
          <w:b/>
          <w:bCs/>
          <w:sz w:val="24"/>
          <w:szCs w:val="24"/>
          <w:lang w:val="en-IN"/>
        </w:rPr>
        <w:t>Direct or indirect</w:t>
      </w:r>
      <w:r w:rsidRPr="00F03C93">
        <w:rPr>
          <w:rFonts w:ascii="Times New Roman" w:hAnsi="Times New Roman" w:cs="Times New Roman"/>
          <w:sz w:val="24"/>
          <w:szCs w:val="24"/>
          <w:lang w:val="en-IN"/>
        </w:rPr>
        <w:t>: Covers overt harassment and subtle intimidation.</w:t>
      </w:r>
    </w:p>
    <w:p w14:paraId="55CB0079" w14:textId="77777777" w:rsidR="00F03C93" w:rsidRPr="00F03C93" w:rsidRDefault="00F03C93" w:rsidP="00F03C93">
      <w:pPr>
        <w:numPr>
          <w:ilvl w:val="0"/>
          <w:numId w:val="19"/>
        </w:numPr>
        <w:rPr>
          <w:rFonts w:ascii="Times New Roman" w:hAnsi="Times New Roman" w:cs="Times New Roman"/>
          <w:sz w:val="24"/>
          <w:szCs w:val="24"/>
          <w:lang w:val="en-IN"/>
        </w:rPr>
      </w:pPr>
      <w:r w:rsidRPr="00F03C93">
        <w:rPr>
          <w:rFonts w:ascii="Times New Roman" w:hAnsi="Times New Roman" w:cs="Times New Roman"/>
          <w:b/>
          <w:bCs/>
          <w:sz w:val="24"/>
          <w:szCs w:val="24"/>
          <w:lang w:val="en-IN"/>
        </w:rPr>
        <w:t>Examples</w:t>
      </w:r>
      <w:r w:rsidRPr="00F03C93">
        <w:rPr>
          <w:rFonts w:ascii="Times New Roman" w:hAnsi="Times New Roman" w:cs="Times New Roman"/>
          <w:sz w:val="24"/>
          <w:szCs w:val="24"/>
          <w:lang w:val="en-IN"/>
        </w:rPr>
        <w:t>:</w:t>
      </w:r>
    </w:p>
    <w:p w14:paraId="67DE0370" w14:textId="77777777" w:rsidR="00F03C93" w:rsidRPr="00F03C93" w:rsidRDefault="00F03C93" w:rsidP="00F03C93">
      <w:pPr>
        <w:numPr>
          <w:ilvl w:val="1"/>
          <w:numId w:val="19"/>
        </w:numPr>
        <w:rPr>
          <w:rFonts w:ascii="Times New Roman" w:hAnsi="Times New Roman" w:cs="Times New Roman"/>
          <w:sz w:val="24"/>
          <w:szCs w:val="24"/>
          <w:lang w:val="en-IN"/>
        </w:rPr>
      </w:pPr>
      <w:r w:rsidRPr="00F03C93">
        <w:rPr>
          <w:rFonts w:ascii="Times New Roman" w:hAnsi="Times New Roman" w:cs="Times New Roman"/>
          <w:sz w:val="24"/>
          <w:szCs w:val="24"/>
          <w:lang w:val="en-IN"/>
        </w:rPr>
        <w:lastRenderedPageBreak/>
        <w:t>Obscene jokes, gestures, or emails.</w:t>
      </w:r>
    </w:p>
    <w:p w14:paraId="4B36C597" w14:textId="77777777" w:rsidR="00F03C93" w:rsidRPr="00F03C93" w:rsidRDefault="00F03C93" w:rsidP="00F03C93">
      <w:pPr>
        <w:numPr>
          <w:ilvl w:val="1"/>
          <w:numId w:val="19"/>
        </w:numPr>
        <w:rPr>
          <w:rFonts w:ascii="Times New Roman" w:hAnsi="Times New Roman" w:cs="Times New Roman"/>
          <w:sz w:val="24"/>
          <w:szCs w:val="24"/>
          <w:lang w:val="en-IN"/>
        </w:rPr>
      </w:pPr>
      <w:r w:rsidRPr="00F03C93">
        <w:rPr>
          <w:rFonts w:ascii="Times New Roman" w:hAnsi="Times New Roman" w:cs="Times New Roman"/>
          <w:sz w:val="24"/>
          <w:szCs w:val="24"/>
          <w:lang w:val="en-IN"/>
        </w:rPr>
        <w:t>Stalking or persistent unwanted attention.</w:t>
      </w:r>
    </w:p>
    <w:p w14:paraId="0F470CE6" w14:textId="77777777" w:rsidR="00F03C93" w:rsidRPr="00F03C93" w:rsidRDefault="00F03C93" w:rsidP="00F03C93">
      <w:pPr>
        <w:numPr>
          <w:ilvl w:val="1"/>
          <w:numId w:val="19"/>
        </w:numPr>
        <w:rPr>
          <w:rFonts w:ascii="Times New Roman" w:hAnsi="Times New Roman" w:cs="Times New Roman"/>
          <w:sz w:val="24"/>
          <w:szCs w:val="24"/>
          <w:lang w:val="en-IN"/>
        </w:rPr>
      </w:pPr>
      <w:r w:rsidRPr="00F03C93">
        <w:rPr>
          <w:rFonts w:ascii="Times New Roman" w:hAnsi="Times New Roman" w:cs="Times New Roman"/>
          <w:sz w:val="24"/>
          <w:szCs w:val="24"/>
          <w:lang w:val="en-IN"/>
        </w:rPr>
        <w:t>Quid pro quo harassment (conditional work benefits).</w:t>
      </w:r>
    </w:p>
    <w:p w14:paraId="33C67B45" w14:textId="77777777" w:rsidR="00F03C93" w:rsidRPr="00F03C93" w:rsidRDefault="00F03C93" w:rsidP="00F03C93">
      <w:pPr>
        <w:numPr>
          <w:ilvl w:val="0"/>
          <w:numId w:val="19"/>
        </w:numPr>
        <w:rPr>
          <w:rFonts w:ascii="Times New Roman" w:hAnsi="Times New Roman" w:cs="Times New Roman"/>
          <w:sz w:val="24"/>
          <w:szCs w:val="24"/>
          <w:lang w:val="en-IN"/>
        </w:rPr>
      </w:pPr>
      <w:r w:rsidRPr="00F03C93">
        <w:rPr>
          <w:rFonts w:ascii="Times New Roman" w:hAnsi="Times New Roman" w:cs="Times New Roman"/>
          <w:b/>
          <w:bCs/>
          <w:sz w:val="24"/>
          <w:szCs w:val="24"/>
          <w:lang w:val="en-IN"/>
        </w:rPr>
        <w:t>Victim-Centric Approach</w:t>
      </w:r>
      <w:r w:rsidRPr="00F03C93">
        <w:rPr>
          <w:rFonts w:ascii="Times New Roman" w:hAnsi="Times New Roman" w:cs="Times New Roman"/>
          <w:sz w:val="24"/>
          <w:szCs w:val="24"/>
          <w:lang w:val="en-IN"/>
        </w:rPr>
        <w:t xml:space="preserve">: Focuses on whether the </w:t>
      </w:r>
      <w:proofErr w:type="spellStart"/>
      <w:r w:rsidRPr="00F03C93">
        <w:rPr>
          <w:rFonts w:ascii="Times New Roman" w:hAnsi="Times New Roman" w:cs="Times New Roman"/>
          <w:sz w:val="24"/>
          <w:szCs w:val="24"/>
          <w:lang w:val="en-IN"/>
        </w:rPr>
        <w:t>behavior</w:t>
      </w:r>
      <w:proofErr w:type="spellEnd"/>
      <w:r w:rsidRPr="00F03C93">
        <w:rPr>
          <w:rFonts w:ascii="Times New Roman" w:hAnsi="Times New Roman" w:cs="Times New Roman"/>
          <w:sz w:val="24"/>
          <w:szCs w:val="24"/>
          <w:lang w:val="en-IN"/>
        </w:rPr>
        <w:t xml:space="preserve"> creates a hostile or offensive environment, not the harasser’s intent.</w:t>
      </w:r>
    </w:p>
    <w:p w14:paraId="6073C3E1" w14:textId="77777777" w:rsidR="00F03C93" w:rsidRPr="00F03C93" w:rsidRDefault="00F03C93" w:rsidP="00F03C93">
      <w:pPr>
        <w:numPr>
          <w:ilvl w:val="0"/>
          <w:numId w:val="19"/>
        </w:numPr>
        <w:rPr>
          <w:rFonts w:ascii="Times New Roman" w:hAnsi="Times New Roman" w:cs="Times New Roman"/>
          <w:sz w:val="24"/>
          <w:szCs w:val="24"/>
          <w:lang w:val="en-IN"/>
        </w:rPr>
      </w:pPr>
      <w:r w:rsidRPr="00F03C93">
        <w:rPr>
          <w:rFonts w:ascii="Times New Roman" w:hAnsi="Times New Roman" w:cs="Times New Roman"/>
          <w:b/>
          <w:bCs/>
          <w:sz w:val="24"/>
          <w:szCs w:val="24"/>
          <w:lang w:val="en-IN"/>
        </w:rPr>
        <w:t>Global Alignment</w:t>
      </w:r>
      <w:r w:rsidRPr="00F03C93">
        <w:rPr>
          <w:rFonts w:ascii="Times New Roman" w:hAnsi="Times New Roman" w:cs="Times New Roman"/>
          <w:sz w:val="24"/>
          <w:szCs w:val="24"/>
          <w:lang w:val="en-IN"/>
        </w:rPr>
        <w:t>: The definition aligns with international standards, particularly those from U.S. and European law.</w:t>
      </w:r>
    </w:p>
    <w:p w14:paraId="4C8EFF2E" w14:textId="77777777" w:rsidR="00F03C93" w:rsidRPr="00F03C93" w:rsidRDefault="00F03C93" w:rsidP="00F03C93"/>
    <w:p w14:paraId="430D73F1"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15" w:name="_elgcx3df2rxb" w:colFirst="0" w:colLast="0"/>
      <w:bookmarkEnd w:id="15"/>
      <w:r>
        <w:rPr>
          <w:rFonts w:ascii="Times New Roman" w:eastAsia="Times New Roman" w:hAnsi="Times New Roman" w:cs="Times New Roman"/>
          <w:b/>
          <w:color w:val="000000"/>
        </w:rPr>
        <w:t>Creation of the Vishaka Guidelines</w:t>
      </w:r>
    </w:p>
    <w:p w14:paraId="7625B5C5"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Court laid out a </w:t>
      </w:r>
      <w:r>
        <w:rPr>
          <w:rFonts w:ascii="Times New Roman" w:eastAsia="Times New Roman" w:hAnsi="Times New Roman" w:cs="Times New Roman"/>
          <w:b/>
          <w:sz w:val="24"/>
          <w:szCs w:val="24"/>
        </w:rPr>
        <w:t>step-by-step framework</w:t>
      </w:r>
      <w:r>
        <w:rPr>
          <w:rFonts w:ascii="Times New Roman" w:eastAsia="Times New Roman" w:hAnsi="Times New Roman" w:cs="Times New Roman"/>
          <w:sz w:val="24"/>
          <w:szCs w:val="24"/>
        </w:rPr>
        <w:t xml:space="preserve"> that was practical, enforceable, and universally applicable across workplaces.</w:t>
      </w:r>
    </w:p>
    <w:p w14:paraId="1FBB42E0" w14:textId="77777777" w:rsidR="00AD42A4"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Highlights:</w:t>
      </w:r>
    </w:p>
    <w:p w14:paraId="6E014C09" w14:textId="4910BD10" w:rsidR="00AD42A4" w:rsidRDefault="00000000">
      <w:pPr>
        <w:numPr>
          <w:ilvl w:val="0"/>
          <w:numId w:val="10"/>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Prohibition Policy:</w:t>
      </w:r>
      <w:r>
        <w:rPr>
          <w:rFonts w:ascii="Times New Roman" w:eastAsia="Times New Roman" w:hAnsi="Times New Roman" w:cs="Times New Roman"/>
          <w:sz w:val="24"/>
          <w:szCs w:val="24"/>
        </w:rPr>
        <w:t xml:space="preserve"> Employers had to explicitly ban sexual harassment in rules, contracts, and employee manuals.</w:t>
      </w:r>
    </w:p>
    <w:p w14:paraId="6DB7775B" w14:textId="77777777" w:rsidR="00F03C93" w:rsidRDefault="00F03C93">
      <w:pPr>
        <w:numPr>
          <w:ilvl w:val="0"/>
          <w:numId w:val="10"/>
        </w:numPr>
        <w:spacing w:before="240" w:after="0" w:line="360" w:lineRule="auto"/>
        <w:rPr>
          <w:rFonts w:ascii="Times New Roman" w:eastAsia="Times New Roman" w:hAnsi="Times New Roman" w:cs="Times New Roman"/>
          <w:sz w:val="24"/>
          <w:szCs w:val="24"/>
        </w:rPr>
      </w:pPr>
    </w:p>
    <w:p w14:paraId="42CEEC1B" w14:textId="77777777" w:rsidR="00AD42A4" w:rsidRDefault="00000000">
      <w:pPr>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Complaints Committee: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Not just an internal HR mechanism — it had to be </w:t>
      </w:r>
      <w:r>
        <w:rPr>
          <w:rFonts w:ascii="Times New Roman" w:eastAsia="Times New Roman" w:hAnsi="Times New Roman" w:cs="Times New Roman"/>
          <w:b/>
          <w:sz w:val="24"/>
          <w:szCs w:val="24"/>
        </w:rPr>
        <w:t>autonomous, woman-led, and impartial</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1744A4F3" w14:textId="77777777" w:rsidR="00AD42A4" w:rsidRDefault="00000000">
      <w:pPr>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Awareness Initiatives:</w:t>
      </w:r>
      <w:r>
        <w:rPr>
          <w:rFonts w:ascii="Times New Roman" w:eastAsia="Times New Roman" w:hAnsi="Times New Roman" w:cs="Times New Roman"/>
          <w:sz w:val="24"/>
          <w:szCs w:val="24"/>
        </w:rPr>
        <w:t xml:space="preserve"> Mandatory educational programs and training sessions were to be organized.</w:t>
      </w:r>
      <w:r>
        <w:rPr>
          <w:rFonts w:ascii="Times New Roman" w:eastAsia="Times New Roman" w:hAnsi="Times New Roman" w:cs="Times New Roman"/>
          <w:sz w:val="24"/>
          <w:szCs w:val="24"/>
        </w:rPr>
        <w:br/>
      </w:r>
    </w:p>
    <w:p w14:paraId="3F78A949" w14:textId="77777777" w:rsidR="00AD42A4" w:rsidRDefault="00000000">
      <w:pPr>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Time-bound Redressal:</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Inquiries had to be completed within specified time frames to ensure speedy justice.</w:t>
      </w:r>
      <w:r>
        <w:rPr>
          <w:rFonts w:ascii="Times New Roman" w:eastAsia="Times New Roman" w:hAnsi="Times New Roman" w:cs="Times New Roman"/>
          <w:sz w:val="24"/>
          <w:szCs w:val="24"/>
        </w:rPr>
        <w:br/>
      </w:r>
    </w:p>
    <w:p w14:paraId="77CB1574" w14:textId="101C494A" w:rsidR="00AD42A4" w:rsidRDefault="00000000" w:rsidP="00F03C93">
      <w:pPr>
        <w:numPr>
          <w:ilvl w:val="0"/>
          <w:numId w:val="10"/>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Accountability Mechanism:</w:t>
      </w:r>
      <w:r>
        <w:rPr>
          <w:rFonts w:ascii="Times New Roman" w:eastAsia="Times New Roman" w:hAnsi="Times New Roman" w:cs="Times New Roman"/>
          <w:sz w:val="24"/>
          <w:szCs w:val="24"/>
        </w:rPr>
        <w:t xml:space="preserve"> Employer liability attached directly to failure to prevent or punish harassment.</w:t>
      </w:r>
    </w:p>
    <w:p w14:paraId="034733B8" w14:textId="77777777" w:rsidR="00F03C93" w:rsidRPr="00F03C93" w:rsidRDefault="00F03C93" w:rsidP="00F03C93">
      <w:pPr>
        <w:spacing w:after="240" w:line="360" w:lineRule="auto"/>
        <w:ind w:left="720"/>
        <w:rPr>
          <w:rFonts w:ascii="Times New Roman" w:eastAsia="Times New Roman" w:hAnsi="Times New Roman" w:cs="Times New Roman"/>
          <w:sz w:val="24"/>
          <w:szCs w:val="24"/>
        </w:rPr>
      </w:pPr>
    </w:p>
    <w:p w14:paraId="450303A5" w14:textId="18BC411D"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16" w:name="_8c64mxm4bk78" w:colFirst="0" w:colLast="0"/>
      <w:bookmarkEnd w:id="16"/>
      <w:r>
        <w:rPr>
          <w:rFonts w:ascii="Times New Roman" w:eastAsia="Times New Roman" w:hAnsi="Times New Roman" w:cs="Times New Roman"/>
          <w:b/>
          <w:color w:val="000000"/>
        </w:rPr>
        <w:t>Em</w:t>
      </w:r>
      <w:r w:rsidR="00F03C93">
        <w:rPr>
          <w:rFonts w:ascii="Times New Roman" w:eastAsia="Times New Roman" w:hAnsi="Times New Roman" w:cs="Times New Roman"/>
          <w:b/>
          <w:color w:val="000000"/>
        </w:rPr>
        <w:t>p</w:t>
      </w:r>
      <w:r>
        <w:rPr>
          <w:rFonts w:ascii="Times New Roman" w:eastAsia="Times New Roman" w:hAnsi="Times New Roman" w:cs="Times New Roman"/>
          <w:b/>
          <w:color w:val="000000"/>
        </w:rPr>
        <w:t>loyer’s Responsibility</w:t>
      </w:r>
    </w:p>
    <w:p w14:paraId="1FAF9833"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Vishaka judgment fundamentally redefined the </w:t>
      </w:r>
      <w:r>
        <w:rPr>
          <w:rFonts w:ascii="Times New Roman" w:eastAsia="Times New Roman" w:hAnsi="Times New Roman" w:cs="Times New Roman"/>
          <w:i/>
          <w:sz w:val="24"/>
          <w:szCs w:val="24"/>
        </w:rPr>
        <w:t>duty of care</w:t>
      </w:r>
      <w:r>
        <w:rPr>
          <w:rFonts w:ascii="Times New Roman" w:eastAsia="Times New Roman" w:hAnsi="Times New Roman" w:cs="Times New Roman"/>
          <w:sz w:val="24"/>
          <w:szCs w:val="24"/>
        </w:rPr>
        <w:t xml:space="preserve"> employers owe to their employees.</w:t>
      </w:r>
    </w:p>
    <w:p w14:paraId="2E6EAC67" w14:textId="77777777" w:rsidR="00AD42A4" w:rsidRDefault="00000000">
      <w:pPr>
        <w:numPr>
          <w:ilvl w:val="0"/>
          <w:numId w:val="7"/>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Proactive Responsibility:</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Employers were tasked not only with acting </w:t>
      </w:r>
      <w:r>
        <w:rPr>
          <w:rFonts w:ascii="Times New Roman" w:eastAsia="Times New Roman" w:hAnsi="Times New Roman" w:cs="Times New Roman"/>
          <w:i/>
          <w:sz w:val="24"/>
          <w:szCs w:val="24"/>
        </w:rPr>
        <w:t>after</w:t>
      </w:r>
      <w:r>
        <w:rPr>
          <w:rFonts w:ascii="Times New Roman" w:eastAsia="Times New Roman" w:hAnsi="Times New Roman" w:cs="Times New Roman"/>
          <w:sz w:val="24"/>
          <w:szCs w:val="24"/>
        </w:rPr>
        <w:t xml:space="preserve"> incidents occurred but with </w:t>
      </w:r>
      <w:r>
        <w:rPr>
          <w:rFonts w:ascii="Times New Roman" w:eastAsia="Times New Roman" w:hAnsi="Times New Roman" w:cs="Times New Roman"/>
          <w:i/>
          <w:sz w:val="24"/>
          <w:szCs w:val="24"/>
        </w:rPr>
        <w:t>preventing</w:t>
      </w:r>
      <w:r>
        <w:rPr>
          <w:rFonts w:ascii="Times New Roman" w:eastAsia="Times New Roman" w:hAnsi="Times New Roman" w:cs="Times New Roman"/>
          <w:sz w:val="24"/>
          <w:szCs w:val="24"/>
        </w:rPr>
        <w:t xml:space="preserve"> them altogether.</w:t>
      </w:r>
      <w:r>
        <w:rPr>
          <w:rFonts w:ascii="Times New Roman" w:eastAsia="Times New Roman" w:hAnsi="Times New Roman" w:cs="Times New Roman"/>
          <w:sz w:val="24"/>
          <w:szCs w:val="24"/>
        </w:rPr>
        <w:br/>
      </w:r>
    </w:p>
    <w:p w14:paraId="66D8B705" w14:textId="091AB574" w:rsidR="00AD42A4" w:rsidRDefault="00000000">
      <w:pPr>
        <w:numPr>
          <w:ilvl w:val="0"/>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Express Commitment:</w:t>
      </w:r>
    </w:p>
    <w:p w14:paraId="22F21F39" w14:textId="6CB1E251" w:rsidR="00AD42A4" w:rsidRDefault="00000000">
      <w:pPr>
        <w:numPr>
          <w:ilvl w:val="1"/>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Workplace policies must clearly state zero tolerance for harassment.</w:t>
      </w:r>
    </w:p>
    <w:p w14:paraId="3DA49078" w14:textId="77777777" w:rsidR="00AD42A4" w:rsidRDefault="00000000">
      <w:pPr>
        <w:numPr>
          <w:ilvl w:val="1"/>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must be informed at the time of joining about their rights and grievance mechanisms.</w:t>
      </w:r>
      <w:r>
        <w:rPr>
          <w:rFonts w:ascii="Times New Roman" w:eastAsia="Times New Roman" w:hAnsi="Times New Roman" w:cs="Times New Roman"/>
          <w:sz w:val="24"/>
          <w:szCs w:val="24"/>
        </w:rPr>
        <w:br/>
      </w:r>
    </w:p>
    <w:p w14:paraId="6D471F5C" w14:textId="60AFD44B" w:rsidR="00AD42A4" w:rsidRDefault="00000000">
      <w:pPr>
        <w:numPr>
          <w:ilvl w:val="0"/>
          <w:numId w:val="7"/>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Supportive Work Environment:</w:t>
      </w:r>
    </w:p>
    <w:p w14:paraId="5C8B0F78" w14:textId="54702114" w:rsidR="00AD42A4" w:rsidRDefault="00000000">
      <w:pPr>
        <w:numPr>
          <w:ilvl w:val="1"/>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Reasonable working conditions: cleanliness, privacy, security, grievance support systems.</w:t>
      </w:r>
    </w:p>
    <w:p w14:paraId="5DDD62F5" w14:textId="77777777" w:rsidR="00AD42A4" w:rsidRDefault="00000000">
      <w:pPr>
        <w:numPr>
          <w:ilvl w:val="1"/>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Maternity benefits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flexible timings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safe transportation</w:t>
      </w:r>
      <w:r>
        <w:rPr>
          <w:rFonts w:ascii="Times New Roman" w:eastAsia="Times New Roman" w:hAnsi="Times New Roman" w:cs="Times New Roman"/>
          <w:sz w:val="24"/>
          <w:szCs w:val="24"/>
        </w:rPr>
        <w:t xml:space="preserve"> were later recognized as connected issues in subsequent rulings.</w:t>
      </w:r>
      <w:r>
        <w:rPr>
          <w:rFonts w:ascii="Times New Roman" w:eastAsia="Times New Roman" w:hAnsi="Times New Roman" w:cs="Times New Roman"/>
          <w:sz w:val="24"/>
          <w:szCs w:val="24"/>
        </w:rPr>
        <w:br/>
      </w:r>
    </w:p>
    <w:p w14:paraId="112A2E38" w14:textId="7F442666" w:rsidR="00AD42A4" w:rsidRDefault="00000000">
      <w:pPr>
        <w:numPr>
          <w:ilvl w:val="0"/>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Strict Disciplinary Action:</w:t>
      </w:r>
    </w:p>
    <w:p w14:paraId="1A3BCC53" w14:textId="77777777" w:rsidR="00AD42A4" w:rsidRDefault="00000000">
      <w:pPr>
        <w:numPr>
          <w:ilvl w:val="1"/>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Termination, suspension, or financial penalties for perpetrators depending on severity.</w:t>
      </w:r>
      <w:r>
        <w:rPr>
          <w:rFonts w:ascii="Times New Roman" w:eastAsia="Times New Roman" w:hAnsi="Times New Roman" w:cs="Times New Roman"/>
          <w:sz w:val="24"/>
          <w:szCs w:val="24"/>
        </w:rPr>
        <w:br/>
      </w:r>
    </w:p>
    <w:p w14:paraId="031A458D" w14:textId="74820353" w:rsidR="00AD42A4" w:rsidRDefault="00000000">
      <w:pPr>
        <w:numPr>
          <w:ilvl w:val="0"/>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Legal Liability:</w:t>
      </w:r>
    </w:p>
    <w:p w14:paraId="4C440CA6" w14:textId="461CA212" w:rsidR="00AD42A4" w:rsidRDefault="00000000" w:rsidP="00F03C93">
      <w:pPr>
        <w:numPr>
          <w:ilvl w:val="1"/>
          <w:numId w:val="7"/>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Failure to follow the Vishaka Guidelines could lead to constitutional torts (civil claims for violation of fundamental rights).</w:t>
      </w:r>
    </w:p>
    <w:p w14:paraId="74AB90E1" w14:textId="77777777" w:rsidR="00F03C93" w:rsidRPr="00F03C93" w:rsidRDefault="00F03C93" w:rsidP="00F03C93">
      <w:pPr>
        <w:spacing w:after="240" w:line="360" w:lineRule="auto"/>
        <w:rPr>
          <w:rFonts w:ascii="Times New Roman" w:eastAsia="Times New Roman" w:hAnsi="Times New Roman" w:cs="Times New Roman"/>
          <w:sz w:val="24"/>
          <w:szCs w:val="24"/>
        </w:rPr>
      </w:pPr>
    </w:p>
    <w:p w14:paraId="69A618C4"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17" w:name="_gd4siba1kv8y" w:colFirst="0" w:colLast="0"/>
      <w:bookmarkEnd w:id="17"/>
      <w:r>
        <w:rPr>
          <w:rFonts w:ascii="Times New Roman" w:eastAsia="Times New Roman" w:hAnsi="Times New Roman" w:cs="Times New Roman"/>
          <w:b/>
          <w:color w:val="000000"/>
        </w:rPr>
        <w:t>Formation of Complaints Committees</w:t>
      </w:r>
    </w:p>
    <w:p w14:paraId="2410F697"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Vishaka judgment introduced an </w:t>
      </w:r>
      <w:r>
        <w:rPr>
          <w:rFonts w:ascii="Times New Roman" w:eastAsia="Times New Roman" w:hAnsi="Times New Roman" w:cs="Times New Roman"/>
          <w:b/>
          <w:sz w:val="24"/>
          <w:szCs w:val="24"/>
        </w:rPr>
        <w:t>innovative and progressive institutional mechanism</w:t>
      </w:r>
      <w:r>
        <w:rPr>
          <w:rFonts w:ascii="Times New Roman" w:eastAsia="Times New Roman" w:hAnsi="Times New Roman" w:cs="Times New Roman"/>
          <w:sz w:val="24"/>
          <w:szCs w:val="24"/>
        </w:rPr>
        <w:t>:</w:t>
      </w:r>
    </w:p>
    <w:p w14:paraId="39D0BB19" w14:textId="5D97CB85" w:rsidR="00AD42A4" w:rsidRDefault="00000000">
      <w:pPr>
        <w:numPr>
          <w:ilvl w:val="0"/>
          <w:numId w:val="6"/>
        </w:numPr>
        <w:spacing w:before="240"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Composition:</w:t>
      </w:r>
    </w:p>
    <w:p w14:paraId="17A6896C" w14:textId="23679792" w:rsidR="00AD42A4" w:rsidRDefault="00000000">
      <w:pPr>
        <w:numPr>
          <w:ilvl w:val="1"/>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Chaired by a senior woman employee.</w:t>
      </w:r>
    </w:p>
    <w:p w14:paraId="6AF2B7D1" w14:textId="582E75E2" w:rsidR="00AD42A4" w:rsidRDefault="00000000">
      <w:pPr>
        <w:numPr>
          <w:ilvl w:val="1"/>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At least 50% women members.</w:t>
      </w:r>
    </w:p>
    <w:p w14:paraId="7C82C6FB" w14:textId="77777777" w:rsidR="00AD42A4" w:rsidRDefault="00000000">
      <w:pPr>
        <w:numPr>
          <w:ilvl w:val="1"/>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NGO or human rights expert to ensure impartiality.</w:t>
      </w:r>
      <w:r>
        <w:rPr>
          <w:rFonts w:ascii="Times New Roman" w:eastAsia="Times New Roman" w:hAnsi="Times New Roman" w:cs="Times New Roman"/>
          <w:sz w:val="24"/>
          <w:szCs w:val="24"/>
        </w:rPr>
        <w:br/>
      </w:r>
    </w:p>
    <w:p w14:paraId="40188757" w14:textId="096D41A3" w:rsidR="00AD42A4" w:rsidRDefault="00000000">
      <w:pPr>
        <w:numPr>
          <w:ilvl w:val="0"/>
          <w:numId w:val="6"/>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Functions:</w:t>
      </w:r>
    </w:p>
    <w:p w14:paraId="080CEDB3" w14:textId="3F7BB839" w:rsidR="00AD42A4" w:rsidRDefault="00000000">
      <w:pPr>
        <w:numPr>
          <w:ilvl w:val="1"/>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 inquiry and protection of complainant’s identity.</w:t>
      </w:r>
    </w:p>
    <w:p w14:paraId="73079E60" w14:textId="08572A6B" w:rsidR="00AD42A4" w:rsidRDefault="00000000">
      <w:pPr>
        <w:numPr>
          <w:ilvl w:val="1"/>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Recommendations for appropriate punishment, including criminal prosecution.</w:t>
      </w:r>
    </w:p>
    <w:p w14:paraId="0653CB7B" w14:textId="77777777" w:rsidR="00AD42A4" w:rsidRDefault="00000000">
      <w:pPr>
        <w:numPr>
          <w:ilvl w:val="1"/>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Follow-up with victim’s well-being post-decision.</w:t>
      </w:r>
      <w:r>
        <w:rPr>
          <w:rFonts w:ascii="Times New Roman" w:eastAsia="Times New Roman" w:hAnsi="Times New Roman" w:cs="Times New Roman"/>
          <w:sz w:val="24"/>
          <w:szCs w:val="24"/>
        </w:rPr>
        <w:br/>
      </w:r>
    </w:p>
    <w:p w14:paraId="5BCD4DF3" w14:textId="362FB568" w:rsidR="00AD42A4" w:rsidRDefault="00000000" w:rsidP="00F03C93">
      <w:pPr>
        <w:numPr>
          <w:ilvl w:val="0"/>
          <w:numId w:val="6"/>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Later Developments:</w:t>
      </w:r>
      <w:r>
        <w:rPr>
          <w:rFonts w:ascii="Times New Roman" w:eastAsia="Times New Roman" w:hAnsi="Times New Roman" w:cs="Times New Roman"/>
          <w:b/>
          <w:sz w:val="28"/>
          <w:szCs w:val="28"/>
        </w:rPr>
        <w:br/>
      </w:r>
      <w:r>
        <w:rPr>
          <w:rFonts w:ascii="Times New Roman" w:eastAsia="Times New Roman" w:hAnsi="Times New Roman" w:cs="Times New Roman"/>
          <w:sz w:val="24"/>
          <w:szCs w:val="24"/>
        </w:rPr>
        <w:t xml:space="preserve"> Under the 2013 Act, these evolved into </w:t>
      </w:r>
      <w:r>
        <w:rPr>
          <w:rFonts w:ascii="Times New Roman" w:eastAsia="Times New Roman" w:hAnsi="Times New Roman" w:cs="Times New Roman"/>
          <w:b/>
          <w:sz w:val="24"/>
          <w:szCs w:val="24"/>
        </w:rPr>
        <w:t>Internal Complaints Committees (ICC)</w:t>
      </w:r>
      <w:r>
        <w:rPr>
          <w:rFonts w:ascii="Times New Roman" w:eastAsia="Times New Roman" w:hAnsi="Times New Roman" w:cs="Times New Roman"/>
          <w:sz w:val="24"/>
          <w:szCs w:val="24"/>
        </w:rPr>
        <w:t xml:space="preserve"> with added powers and clear penalties for non-compliance.</w:t>
      </w:r>
    </w:p>
    <w:p w14:paraId="4A35EB43" w14:textId="77777777" w:rsidR="00F03C93" w:rsidRPr="00F03C93" w:rsidRDefault="00F03C93" w:rsidP="00F03C93">
      <w:pPr>
        <w:spacing w:after="240" w:line="360" w:lineRule="auto"/>
        <w:ind w:left="720"/>
        <w:rPr>
          <w:rFonts w:ascii="Times New Roman" w:eastAsia="Times New Roman" w:hAnsi="Times New Roman" w:cs="Times New Roman"/>
          <w:sz w:val="24"/>
          <w:szCs w:val="24"/>
        </w:rPr>
      </w:pPr>
    </w:p>
    <w:p w14:paraId="6E34395E"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18" w:name="_x9cx203pt0wk" w:colFirst="0" w:colLast="0"/>
      <w:bookmarkEnd w:id="18"/>
      <w:r>
        <w:rPr>
          <w:rFonts w:ascii="Times New Roman" w:eastAsia="Times New Roman" w:hAnsi="Times New Roman" w:cs="Times New Roman"/>
          <w:b/>
          <w:color w:val="000000"/>
        </w:rPr>
        <w:t>Preventive Measures to Curb Harassment</w:t>
      </w:r>
    </w:p>
    <w:p w14:paraId="6489C009" w14:textId="77777777" w:rsidR="00AD42A4" w:rsidRDefault="00000000">
      <w:pPr>
        <w:spacing w:before="240" w:after="24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Vishaka Guidelines emphasized that </w:t>
      </w:r>
      <w:r>
        <w:rPr>
          <w:rFonts w:ascii="Times New Roman" w:eastAsia="Times New Roman" w:hAnsi="Times New Roman" w:cs="Times New Roman"/>
          <w:i/>
          <w:sz w:val="24"/>
          <w:szCs w:val="24"/>
        </w:rPr>
        <w:t>cultural change</w:t>
      </w:r>
      <w:r>
        <w:rPr>
          <w:rFonts w:ascii="Times New Roman" w:eastAsia="Times New Roman" w:hAnsi="Times New Roman" w:cs="Times New Roman"/>
          <w:sz w:val="24"/>
          <w:szCs w:val="24"/>
        </w:rPr>
        <w:t xml:space="preserve"> is essential, not just legal remedies.</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Preventive steps included:</w:t>
      </w:r>
    </w:p>
    <w:p w14:paraId="139900E6" w14:textId="7BC41889" w:rsidR="00AD42A4" w:rsidRDefault="00000000">
      <w:pPr>
        <w:numPr>
          <w:ilvl w:val="0"/>
          <w:numId w:val="2"/>
        </w:numPr>
        <w:spacing w:before="240"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Training Workshops:</w:t>
      </w:r>
    </w:p>
    <w:p w14:paraId="6FC4330C" w14:textId="5F4F2ED2" w:rsidR="00AD42A4" w:rsidRDefault="00000000">
      <w:pPr>
        <w:numPr>
          <w:ilvl w:val="1"/>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all staff, including senior management.</w:t>
      </w:r>
    </w:p>
    <w:p w14:paraId="54E735BD" w14:textId="77777777" w:rsidR="00AD42A4" w:rsidRDefault="00000000">
      <w:pPr>
        <w:numPr>
          <w:ilvl w:val="1"/>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Special modules for male employees on appropriate workplace behavior.</w:t>
      </w:r>
      <w:r>
        <w:rPr>
          <w:rFonts w:ascii="Times New Roman" w:eastAsia="Times New Roman" w:hAnsi="Times New Roman" w:cs="Times New Roman"/>
          <w:sz w:val="24"/>
          <w:szCs w:val="24"/>
        </w:rPr>
        <w:br/>
      </w:r>
    </w:p>
    <w:p w14:paraId="45058088" w14:textId="77777777" w:rsidR="00AD42A4" w:rsidRDefault="00000000">
      <w:pPr>
        <w:numPr>
          <w:ilvl w:val="0"/>
          <w:numId w:val="2"/>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Clear Anti-Harassment Policy:</w:t>
      </w:r>
      <w:r>
        <w:rPr>
          <w:rFonts w:ascii="Times New Roman" w:eastAsia="Times New Roman" w:hAnsi="Times New Roman" w:cs="Times New Roman"/>
          <w:b/>
          <w:sz w:val="28"/>
          <w:szCs w:val="28"/>
        </w:rPr>
        <w:br/>
      </w:r>
    </w:p>
    <w:p w14:paraId="7F20B852" w14:textId="53825F42" w:rsidR="00AD42A4" w:rsidRDefault="00000000">
      <w:pPr>
        <w:numPr>
          <w:ilvl w:val="1"/>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Included in employee handbooks.</w:t>
      </w:r>
    </w:p>
    <w:p w14:paraId="254C169B" w14:textId="77777777" w:rsidR="00AD42A4" w:rsidRDefault="00000000">
      <w:pPr>
        <w:numPr>
          <w:ilvl w:val="1"/>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Posters displayed in offices, factories, malls, universities — wherever people work.</w:t>
      </w:r>
      <w:r>
        <w:rPr>
          <w:rFonts w:ascii="Times New Roman" w:eastAsia="Times New Roman" w:hAnsi="Times New Roman" w:cs="Times New Roman"/>
          <w:sz w:val="24"/>
          <w:szCs w:val="24"/>
        </w:rPr>
        <w:br/>
      </w:r>
    </w:p>
    <w:p w14:paraId="730BF2AD" w14:textId="77777777" w:rsidR="00AD42A4" w:rsidRDefault="00000000">
      <w:pPr>
        <w:numPr>
          <w:ilvl w:val="0"/>
          <w:numId w:val="2"/>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Safe Reporting Environment:</w:t>
      </w:r>
      <w:r>
        <w:rPr>
          <w:rFonts w:ascii="Times New Roman" w:eastAsia="Times New Roman" w:hAnsi="Times New Roman" w:cs="Times New Roman"/>
          <w:b/>
          <w:sz w:val="28"/>
          <w:szCs w:val="28"/>
        </w:rPr>
        <w:br/>
      </w:r>
    </w:p>
    <w:p w14:paraId="2C69C3CC" w14:textId="4B8D5532" w:rsidR="00AD42A4" w:rsidRDefault="00000000">
      <w:pPr>
        <w:numPr>
          <w:ilvl w:val="1"/>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Protect complainants from retaliation.</w:t>
      </w:r>
    </w:p>
    <w:p w14:paraId="708920C7" w14:textId="77777777" w:rsidR="00AD42A4" w:rsidRDefault="00000000">
      <w:pPr>
        <w:numPr>
          <w:ilvl w:val="1"/>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Offer psychological counseling services.</w:t>
      </w:r>
      <w:r>
        <w:rPr>
          <w:rFonts w:ascii="Times New Roman" w:eastAsia="Times New Roman" w:hAnsi="Times New Roman" w:cs="Times New Roman"/>
          <w:sz w:val="24"/>
          <w:szCs w:val="24"/>
        </w:rPr>
        <w:br/>
      </w:r>
    </w:p>
    <w:p w14:paraId="57BB70EC" w14:textId="77777777" w:rsidR="00AD42A4" w:rsidRDefault="00000000">
      <w:pPr>
        <w:numPr>
          <w:ilvl w:val="0"/>
          <w:numId w:val="2"/>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Public Awareness:</w:t>
      </w:r>
      <w:r>
        <w:rPr>
          <w:rFonts w:ascii="Times New Roman" w:eastAsia="Times New Roman" w:hAnsi="Times New Roman" w:cs="Times New Roman"/>
          <w:b/>
          <w:sz w:val="28"/>
          <w:szCs w:val="28"/>
        </w:rPr>
        <w:br/>
      </w:r>
    </w:p>
    <w:p w14:paraId="4CE7E6AC" w14:textId="77777777" w:rsidR="00AD42A4" w:rsidRDefault="00000000">
      <w:pPr>
        <w:numPr>
          <w:ilvl w:val="1"/>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Seminars, campaigns, and corporate social responsibility (CSR) initiatives focused on gender sensitivity.</w:t>
      </w:r>
      <w:r>
        <w:rPr>
          <w:rFonts w:ascii="Times New Roman" w:eastAsia="Times New Roman" w:hAnsi="Times New Roman" w:cs="Times New Roman"/>
          <w:sz w:val="24"/>
          <w:szCs w:val="24"/>
        </w:rPr>
        <w:br/>
      </w:r>
    </w:p>
    <w:p w14:paraId="7789459F" w14:textId="77777777" w:rsidR="00AD42A4" w:rsidRDefault="00000000">
      <w:pPr>
        <w:numPr>
          <w:ilvl w:val="0"/>
          <w:numId w:val="2"/>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Periodic Audits:</w:t>
      </w:r>
      <w:r>
        <w:rPr>
          <w:rFonts w:ascii="Times New Roman" w:eastAsia="Times New Roman" w:hAnsi="Times New Roman" w:cs="Times New Roman"/>
          <w:b/>
          <w:sz w:val="28"/>
          <w:szCs w:val="28"/>
        </w:rPr>
        <w:br/>
      </w:r>
    </w:p>
    <w:p w14:paraId="1E34D71E" w14:textId="5AEE08E0" w:rsidR="00AD42A4" w:rsidRDefault="00000000" w:rsidP="00F03C93">
      <w:pPr>
        <w:numPr>
          <w:ilvl w:val="1"/>
          <w:numId w:val="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Organizations were encouraged to assess the effectiveness of their harassment policies and make improvements.</w:t>
      </w:r>
    </w:p>
    <w:p w14:paraId="3FC650BF" w14:textId="77777777" w:rsidR="00F03C93" w:rsidRPr="00F03C93" w:rsidRDefault="00F03C93" w:rsidP="00F03C93">
      <w:pPr>
        <w:spacing w:after="240" w:line="360" w:lineRule="auto"/>
        <w:ind w:left="1440"/>
        <w:rPr>
          <w:rFonts w:ascii="Times New Roman" w:eastAsia="Times New Roman" w:hAnsi="Times New Roman" w:cs="Times New Roman"/>
          <w:sz w:val="24"/>
          <w:szCs w:val="24"/>
        </w:rPr>
      </w:pPr>
    </w:p>
    <w:p w14:paraId="6C2D4A26"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19" w:name="_6sgyp9wkfonu" w:colFirst="0" w:colLast="0"/>
      <w:bookmarkEnd w:id="19"/>
      <w:r>
        <w:rPr>
          <w:rFonts w:ascii="Times New Roman" w:eastAsia="Times New Roman" w:hAnsi="Times New Roman" w:cs="Times New Roman"/>
          <w:b/>
          <w:color w:val="000000"/>
        </w:rPr>
        <w:t>Impact of the Judgment on Indian Legal Framework</w:t>
      </w:r>
    </w:p>
    <w:p w14:paraId="2082931C"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Vishaka Guidelines triggered </w:t>
      </w:r>
      <w:r>
        <w:rPr>
          <w:rFonts w:ascii="Times New Roman" w:eastAsia="Times New Roman" w:hAnsi="Times New Roman" w:cs="Times New Roman"/>
          <w:b/>
          <w:sz w:val="24"/>
          <w:szCs w:val="24"/>
        </w:rPr>
        <w:t>monumental changes</w:t>
      </w:r>
      <w:r>
        <w:rPr>
          <w:rFonts w:ascii="Times New Roman" w:eastAsia="Times New Roman" w:hAnsi="Times New Roman" w:cs="Times New Roman"/>
          <w:sz w:val="24"/>
          <w:szCs w:val="24"/>
        </w:rPr>
        <w:t>:</w:t>
      </w:r>
    </w:p>
    <w:p w14:paraId="4C526406" w14:textId="15640AEF" w:rsidR="00AD42A4" w:rsidRDefault="00000000">
      <w:pPr>
        <w:numPr>
          <w:ilvl w:val="0"/>
          <w:numId w:val="4"/>
        </w:numPr>
        <w:spacing w:before="240"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Sexual Harassment of Women at Workplace (Prevention, Prohibition and Redressal) Act, 2013:</w:t>
      </w:r>
    </w:p>
    <w:p w14:paraId="0FD425A1" w14:textId="78D75409" w:rsidR="00AD42A4" w:rsidRDefault="00000000">
      <w:pPr>
        <w:numPr>
          <w:ilvl w:val="1"/>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Codified Vishaka principles into formal law.</w:t>
      </w:r>
    </w:p>
    <w:p w14:paraId="58B45718" w14:textId="3A0425DA" w:rsidR="00AD42A4" w:rsidRDefault="00000000">
      <w:pPr>
        <w:numPr>
          <w:ilvl w:val="1"/>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Expanded protections to all women — including those employed informally or in domestic settings.</w:t>
      </w:r>
    </w:p>
    <w:p w14:paraId="197E2A1C" w14:textId="77777777" w:rsidR="00AD42A4" w:rsidRDefault="00000000">
      <w:pPr>
        <w:numPr>
          <w:ilvl w:val="1"/>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Introduced penalties (fines, cancellation of licenses) for non-compliant organizations.</w:t>
      </w:r>
      <w:r>
        <w:rPr>
          <w:rFonts w:ascii="Times New Roman" w:eastAsia="Times New Roman" w:hAnsi="Times New Roman" w:cs="Times New Roman"/>
          <w:sz w:val="24"/>
          <w:szCs w:val="24"/>
        </w:rPr>
        <w:br/>
      </w:r>
    </w:p>
    <w:p w14:paraId="1822275A" w14:textId="4C2CEA6C" w:rsidR="00AD42A4" w:rsidRDefault="00000000">
      <w:pPr>
        <w:numPr>
          <w:ilvl w:val="0"/>
          <w:numId w:val="4"/>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Broader Legal Awareness:</w:t>
      </w:r>
    </w:p>
    <w:p w14:paraId="714C5D7E" w14:textId="77BFD53A" w:rsidR="00AD42A4" w:rsidRDefault="00000000">
      <w:pPr>
        <w:numPr>
          <w:ilvl w:val="1"/>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 sensitivity became an essential part of corporate compliance checklists.</w:t>
      </w:r>
    </w:p>
    <w:p w14:paraId="19AB94A6" w14:textId="77777777" w:rsidR="00AD42A4" w:rsidRDefault="00000000">
      <w:pPr>
        <w:numPr>
          <w:ilvl w:val="1"/>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Annual sexual harassment reports made mandatory for many companies.</w:t>
      </w:r>
      <w:r>
        <w:rPr>
          <w:rFonts w:ascii="Times New Roman" w:eastAsia="Times New Roman" w:hAnsi="Times New Roman" w:cs="Times New Roman"/>
          <w:sz w:val="24"/>
          <w:szCs w:val="24"/>
        </w:rPr>
        <w:br/>
      </w:r>
    </w:p>
    <w:p w14:paraId="6672711B" w14:textId="7229FCFC" w:rsidR="00AD42A4" w:rsidRDefault="00000000">
      <w:pPr>
        <w:numPr>
          <w:ilvl w:val="0"/>
          <w:numId w:val="4"/>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Extension to Educational Institutions:</w:t>
      </w:r>
    </w:p>
    <w:p w14:paraId="2F99EFF3" w14:textId="3A0CD367" w:rsidR="00AD42A4" w:rsidRPr="00F03C93" w:rsidRDefault="00000000" w:rsidP="00F03C93">
      <w:pPr>
        <w:numPr>
          <w:ilvl w:val="1"/>
          <w:numId w:val="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Universities, schools, and colleges are also required to form complaints committees under UGC guidelines.</w:t>
      </w:r>
      <w:r>
        <w:rPr>
          <w:rFonts w:ascii="Times New Roman" w:eastAsia="Times New Roman" w:hAnsi="Times New Roman" w:cs="Times New Roman"/>
          <w:sz w:val="24"/>
          <w:szCs w:val="24"/>
        </w:rPr>
        <w:br/>
      </w:r>
    </w:p>
    <w:p w14:paraId="3F97170B"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rPr>
      </w:pPr>
      <w:bookmarkStart w:id="20" w:name="_xhx4vn1kagfu" w:colFirst="0" w:colLast="0"/>
      <w:bookmarkEnd w:id="20"/>
      <w:r>
        <w:rPr>
          <w:rFonts w:ascii="Times New Roman" w:eastAsia="Times New Roman" w:hAnsi="Times New Roman" w:cs="Times New Roman"/>
          <w:b/>
          <w:color w:val="000000"/>
        </w:rPr>
        <w:t>Legacy and Importance in Modern Context</w:t>
      </w:r>
    </w:p>
    <w:p w14:paraId="225BCBB4" w14:textId="77777777" w:rsidR="00AD42A4"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Today, the Vishaka judgment remains a </w:t>
      </w:r>
      <w:r>
        <w:rPr>
          <w:rFonts w:ascii="Times New Roman" w:eastAsia="Times New Roman" w:hAnsi="Times New Roman" w:cs="Times New Roman"/>
          <w:b/>
          <w:sz w:val="24"/>
          <w:szCs w:val="24"/>
        </w:rPr>
        <w:t>beacon of hope and resistance</w:t>
      </w:r>
      <w:r>
        <w:rPr>
          <w:rFonts w:ascii="Times New Roman" w:eastAsia="Times New Roman" w:hAnsi="Times New Roman" w:cs="Times New Roman"/>
          <w:sz w:val="24"/>
          <w:szCs w:val="24"/>
        </w:rPr>
        <w:t xml:space="preserve"> against workplace harassment.</w:t>
      </w:r>
    </w:p>
    <w:p w14:paraId="36A26F8A" w14:textId="77777777" w:rsidR="00AD42A4"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 Legacies:</w:t>
      </w:r>
    </w:p>
    <w:p w14:paraId="109DCEFD" w14:textId="1916E805" w:rsidR="00AD42A4" w:rsidRDefault="00000000">
      <w:pPr>
        <w:numPr>
          <w:ilvl w:val="0"/>
          <w:numId w:val="17"/>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Constitutional Mandate for Safe Workplaces:</w:t>
      </w:r>
      <w:r>
        <w:rPr>
          <w:rFonts w:ascii="Times New Roman" w:eastAsia="Times New Roman" w:hAnsi="Times New Roman" w:cs="Times New Roman"/>
          <w:sz w:val="24"/>
          <w:szCs w:val="24"/>
        </w:rPr>
        <w:t xml:space="preserve"> Reaffirmed women's right to safe employment as a constitutional guarantee.</w:t>
      </w:r>
    </w:p>
    <w:p w14:paraId="111A68D3" w14:textId="1ECFB3E0" w:rsidR="00AD42A4" w:rsidRDefault="00000000">
      <w:pPr>
        <w:numPr>
          <w:ilvl w:val="0"/>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Internationalization of Domestic Law:</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First major judgment to use international treaties like CEDAW as interpretive tools.</w:t>
      </w:r>
    </w:p>
    <w:p w14:paraId="3D3420DF" w14:textId="77777777" w:rsidR="00AD42A4" w:rsidRDefault="00000000">
      <w:pPr>
        <w:numPr>
          <w:ilvl w:val="0"/>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Judicial Leadership:</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Established courts as protectors of human dignity when legislature fails.</w:t>
      </w:r>
      <w:r>
        <w:rPr>
          <w:rFonts w:ascii="Times New Roman" w:eastAsia="Times New Roman" w:hAnsi="Times New Roman" w:cs="Times New Roman"/>
          <w:sz w:val="24"/>
          <w:szCs w:val="24"/>
        </w:rPr>
        <w:br/>
      </w:r>
    </w:p>
    <w:p w14:paraId="13DDEA06" w14:textId="72EF0695" w:rsidR="00AD42A4" w:rsidRDefault="00000000">
      <w:pPr>
        <w:numPr>
          <w:ilvl w:val="0"/>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Cultural Shift:</w:t>
      </w:r>
    </w:p>
    <w:p w14:paraId="4367A7F2" w14:textId="21346AB9" w:rsidR="00AD42A4" w:rsidRDefault="00000000">
      <w:pPr>
        <w:numPr>
          <w:ilvl w:val="1"/>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Companies now talk about "gender-inclusive workplaces," "diversity policies," and "zero-tolerance cultures."</w:t>
      </w:r>
    </w:p>
    <w:p w14:paraId="2B1F9253" w14:textId="660D631A" w:rsidR="002E748D" w:rsidRPr="00F03C93" w:rsidRDefault="00000000" w:rsidP="002E748D">
      <w:pPr>
        <w:numPr>
          <w:ilvl w:val="1"/>
          <w:numId w:val="17"/>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Inspired campaigns like #MeToo in India, leading to further social awakening.</w:t>
      </w:r>
    </w:p>
    <w:p w14:paraId="4F8CA1D9" w14:textId="77777777" w:rsidR="00AD42A4" w:rsidRDefault="00000000">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Contemporary Relevance:</w:t>
      </w:r>
    </w:p>
    <w:p w14:paraId="6129E735" w14:textId="77777777" w:rsidR="00AD42A4" w:rsidRDefault="00000000">
      <w:pPr>
        <w:numPr>
          <w:ilvl w:val="0"/>
          <w:numId w:val="3"/>
        </w:num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Rise in </w:t>
      </w:r>
      <w:r>
        <w:rPr>
          <w:rFonts w:ascii="Times New Roman" w:eastAsia="Times New Roman" w:hAnsi="Times New Roman" w:cs="Times New Roman"/>
          <w:i/>
          <w:sz w:val="24"/>
          <w:szCs w:val="24"/>
        </w:rPr>
        <w:t>remote workplace harassment</w:t>
      </w:r>
      <w:r>
        <w:rPr>
          <w:rFonts w:ascii="Times New Roman" w:eastAsia="Times New Roman" w:hAnsi="Times New Roman" w:cs="Times New Roman"/>
          <w:sz w:val="24"/>
          <w:szCs w:val="24"/>
        </w:rPr>
        <w:t xml:space="preserve"> has brought new challenges; the Vishaka spirit continues to guide how companies adapt their policies to online environments.</w:t>
      </w:r>
      <w:r>
        <w:rPr>
          <w:rFonts w:ascii="Times New Roman" w:eastAsia="Times New Roman" w:hAnsi="Times New Roman" w:cs="Times New Roman"/>
          <w:sz w:val="24"/>
          <w:szCs w:val="24"/>
        </w:rPr>
        <w:br/>
      </w:r>
    </w:p>
    <w:p w14:paraId="0BF45281" w14:textId="77777777" w:rsidR="00F03C93" w:rsidRDefault="00000000" w:rsidP="00F03C93">
      <w:pPr>
        <w:numPr>
          <w:ilvl w:val="0"/>
          <w:numId w:val="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Growing emphasis on </w:t>
      </w:r>
      <w:r>
        <w:rPr>
          <w:rFonts w:ascii="Times New Roman" w:eastAsia="Times New Roman" w:hAnsi="Times New Roman" w:cs="Times New Roman"/>
          <w:i/>
          <w:sz w:val="24"/>
          <w:szCs w:val="24"/>
        </w:rPr>
        <w:t>intersectionality</w:t>
      </w:r>
      <w:r>
        <w:rPr>
          <w:rFonts w:ascii="Times New Roman" w:eastAsia="Times New Roman" w:hAnsi="Times New Roman" w:cs="Times New Roman"/>
          <w:sz w:val="24"/>
          <w:szCs w:val="24"/>
        </w:rPr>
        <w:t xml:space="preserve"> — recognizing that caste, class, disability, and other factors affect women’s workplace experiences differently — is rooted in the inclusive vision first articulated by Vishaka.</w:t>
      </w:r>
      <w:r>
        <w:rPr>
          <w:rFonts w:ascii="Times New Roman" w:eastAsia="Times New Roman" w:hAnsi="Times New Roman" w:cs="Times New Roman"/>
          <w:sz w:val="24"/>
          <w:szCs w:val="24"/>
        </w:rPr>
        <w:br/>
      </w:r>
    </w:p>
    <w:p w14:paraId="4B9F563A" w14:textId="77777777" w:rsidR="00F03C93" w:rsidRDefault="00F03C93" w:rsidP="00F03C93">
      <w:pPr>
        <w:spacing w:after="240" w:line="360" w:lineRule="auto"/>
        <w:ind w:left="720"/>
        <w:rPr>
          <w:rFonts w:ascii="Times New Roman" w:eastAsia="Times New Roman" w:hAnsi="Times New Roman" w:cs="Times New Roman"/>
          <w:sz w:val="24"/>
          <w:szCs w:val="24"/>
        </w:rPr>
      </w:pPr>
    </w:p>
    <w:p w14:paraId="1112581F" w14:textId="380AA8A3" w:rsidR="00F03C93" w:rsidRPr="00F03C93" w:rsidRDefault="00F03C93" w:rsidP="00F03C93">
      <w:pPr>
        <w:spacing w:after="240" w:line="360" w:lineRule="auto"/>
        <w:rPr>
          <w:rFonts w:ascii="Times New Roman" w:eastAsia="Times New Roman" w:hAnsi="Times New Roman" w:cs="Times New Roman"/>
          <w:sz w:val="24"/>
          <w:szCs w:val="24"/>
        </w:rPr>
      </w:pPr>
      <w:r w:rsidRPr="00F03C93">
        <w:rPr>
          <w:rFonts w:ascii="Times New Roman" w:eastAsia="Times New Roman" w:hAnsi="Times New Roman" w:cs="Times New Roman"/>
          <w:b/>
          <w:bCs/>
          <w:sz w:val="32"/>
          <w:szCs w:val="32"/>
          <w:lang w:val="en-IN"/>
        </w:rPr>
        <w:lastRenderedPageBreak/>
        <w:t>Impact Assessment</w:t>
      </w:r>
    </w:p>
    <w:p w14:paraId="07CB4D72" w14:textId="77777777" w:rsidR="00F03C93" w:rsidRPr="00F03C93" w:rsidRDefault="00F03C93" w:rsidP="00F03C93">
      <w:pPr>
        <w:spacing w:after="240" w:line="360" w:lineRule="auto"/>
        <w:ind w:left="360"/>
        <w:rPr>
          <w:rFonts w:ascii="Times New Roman" w:eastAsia="Times New Roman" w:hAnsi="Times New Roman" w:cs="Times New Roman"/>
          <w:sz w:val="24"/>
          <w:szCs w:val="24"/>
          <w:lang w:val="en-IN"/>
        </w:rPr>
      </w:pPr>
      <w:r w:rsidRPr="00F03C93">
        <w:rPr>
          <w:rFonts w:ascii="Times New Roman" w:eastAsia="Times New Roman" w:hAnsi="Times New Roman" w:cs="Times New Roman"/>
          <w:sz w:val="24"/>
          <w:szCs w:val="24"/>
          <w:lang w:val="en-IN"/>
        </w:rPr>
        <w:t xml:space="preserve">The </w:t>
      </w:r>
      <w:r w:rsidRPr="00F03C93">
        <w:rPr>
          <w:rFonts w:ascii="Times New Roman" w:eastAsia="Times New Roman" w:hAnsi="Times New Roman" w:cs="Times New Roman"/>
          <w:b/>
          <w:bCs/>
          <w:sz w:val="24"/>
          <w:szCs w:val="24"/>
          <w:lang w:val="en-IN"/>
        </w:rPr>
        <w:t>Vishaka case</w:t>
      </w:r>
      <w:r w:rsidRPr="00F03C93">
        <w:rPr>
          <w:rFonts w:ascii="Times New Roman" w:eastAsia="Times New Roman" w:hAnsi="Times New Roman" w:cs="Times New Roman"/>
          <w:sz w:val="24"/>
          <w:szCs w:val="24"/>
          <w:lang w:val="en-IN"/>
        </w:rPr>
        <w:t xml:space="preserve"> had a profound and far-reaching impact on both legal frameworks and workplace culture in India. The Supreme Court’s intervention set a precedent for judicial activism, filling a crucial gap in the absence of legislative protection for women against workplace sexual harassment.</w:t>
      </w:r>
    </w:p>
    <w:p w14:paraId="1D66BA06" w14:textId="77777777" w:rsidR="00F03C93" w:rsidRPr="00F03C93" w:rsidRDefault="00F03C93" w:rsidP="00F03C93">
      <w:pPr>
        <w:numPr>
          <w:ilvl w:val="0"/>
          <w:numId w:val="20"/>
        </w:num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8"/>
          <w:szCs w:val="28"/>
          <w:lang w:val="en-IN"/>
        </w:rPr>
        <w:t>Legal and Policy Impact</w:t>
      </w:r>
      <w:r w:rsidRPr="00F03C93">
        <w:rPr>
          <w:rFonts w:ascii="Times New Roman" w:eastAsia="Times New Roman" w:hAnsi="Times New Roman" w:cs="Times New Roman"/>
          <w:sz w:val="28"/>
          <w:szCs w:val="28"/>
          <w:lang w:val="en-IN"/>
        </w:rPr>
        <w:t xml:space="preserve">: </w:t>
      </w:r>
      <w:r w:rsidRPr="00F03C93">
        <w:rPr>
          <w:rFonts w:ascii="Times New Roman" w:eastAsia="Times New Roman" w:hAnsi="Times New Roman" w:cs="Times New Roman"/>
          <w:sz w:val="24"/>
          <w:szCs w:val="24"/>
          <w:lang w:val="en-IN"/>
        </w:rPr>
        <w:t xml:space="preserve">The </w:t>
      </w:r>
      <w:r w:rsidRPr="00F03C93">
        <w:rPr>
          <w:rFonts w:ascii="Times New Roman" w:eastAsia="Times New Roman" w:hAnsi="Times New Roman" w:cs="Times New Roman"/>
          <w:b/>
          <w:bCs/>
          <w:sz w:val="24"/>
          <w:szCs w:val="24"/>
          <w:lang w:val="en-IN"/>
        </w:rPr>
        <w:t>Vishaka Guidelines</w:t>
      </w:r>
      <w:r w:rsidRPr="00F03C93">
        <w:rPr>
          <w:rFonts w:ascii="Times New Roman" w:eastAsia="Times New Roman" w:hAnsi="Times New Roman" w:cs="Times New Roman"/>
          <w:sz w:val="24"/>
          <w:szCs w:val="24"/>
          <w:lang w:val="en-IN"/>
        </w:rPr>
        <w:t xml:space="preserve">, issued by the Supreme Court, became a legally binding framework until the </w:t>
      </w:r>
      <w:r w:rsidRPr="00F03C93">
        <w:rPr>
          <w:rFonts w:ascii="Times New Roman" w:eastAsia="Times New Roman" w:hAnsi="Times New Roman" w:cs="Times New Roman"/>
          <w:b/>
          <w:bCs/>
          <w:sz w:val="24"/>
          <w:szCs w:val="24"/>
          <w:lang w:val="en-IN"/>
        </w:rPr>
        <w:t>Sexual Harassment of Women at Workplace (Prevention, Prohibition, and Redressal) Act, 2013</w:t>
      </w:r>
      <w:r w:rsidRPr="00F03C93">
        <w:rPr>
          <w:rFonts w:ascii="Times New Roman" w:eastAsia="Times New Roman" w:hAnsi="Times New Roman" w:cs="Times New Roman"/>
          <w:sz w:val="24"/>
          <w:szCs w:val="24"/>
          <w:lang w:val="en-IN"/>
        </w:rPr>
        <w:t xml:space="preserve"> was enacted. This law codified the Vishaka Guidelines and extended protection to a wider range of employees, including domestic workers and contract </w:t>
      </w:r>
      <w:proofErr w:type="spellStart"/>
      <w:r w:rsidRPr="00F03C93">
        <w:rPr>
          <w:rFonts w:ascii="Times New Roman" w:eastAsia="Times New Roman" w:hAnsi="Times New Roman" w:cs="Times New Roman"/>
          <w:sz w:val="24"/>
          <w:szCs w:val="24"/>
          <w:lang w:val="en-IN"/>
        </w:rPr>
        <w:t>laborers</w:t>
      </w:r>
      <w:proofErr w:type="spellEnd"/>
      <w:r w:rsidRPr="00F03C93">
        <w:rPr>
          <w:rFonts w:ascii="Times New Roman" w:eastAsia="Times New Roman" w:hAnsi="Times New Roman" w:cs="Times New Roman"/>
          <w:sz w:val="24"/>
          <w:szCs w:val="24"/>
          <w:lang w:val="en-IN"/>
        </w:rPr>
        <w:t xml:space="preserve">. The case </w:t>
      </w:r>
      <w:proofErr w:type="spellStart"/>
      <w:r w:rsidRPr="00F03C93">
        <w:rPr>
          <w:rFonts w:ascii="Times New Roman" w:eastAsia="Times New Roman" w:hAnsi="Times New Roman" w:cs="Times New Roman"/>
          <w:sz w:val="24"/>
          <w:szCs w:val="24"/>
          <w:lang w:val="en-IN"/>
        </w:rPr>
        <w:t>catalyzed</w:t>
      </w:r>
      <w:proofErr w:type="spellEnd"/>
      <w:r w:rsidRPr="00F03C93">
        <w:rPr>
          <w:rFonts w:ascii="Times New Roman" w:eastAsia="Times New Roman" w:hAnsi="Times New Roman" w:cs="Times New Roman"/>
          <w:sz w:val="24"/>
          <w:szCs w:val="24"/>
          <w:lang w:val="en-IN"/>
        </w:rPr>
        <w:t xml:space="preserve"> a more robust legal and institutional framework for protecting women in workplaces.</w:t>
      </w:r>
    </w:p>
    <w:p w14:paraId="08FB4715" w14:textId="77777777" w:rsidR="00F03C93" w:rsidRPr="00F03C93" w:rsidRDefault="00F03C93" w:rsidP="00F03C93">
      <w:pPr>
        <w:numPr>
          <w:ilvl w:val="0"/>
          <w:numId w:val="20"/>
        </w:num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8"/>
          <w:szCs w:val="28"/>
          <w:lang w:val="en-IN"/>
        </w:rPr>
        <w:t>Cultural and Organizational Impact</w:t>
      </w:r>
      <w:r w:rsidRPr="00F03C93">
        <w:rPr>
          <w:rFonts w:ascii="Times New Roman" w:eastAsia="Times New Roman" w:hAnsi="Times New Roman" w:cs="Times New Roman"/>
          <w:sz w:val="28"/>
          <w:szCs w:val="28"/>
          <w:lang w:val="en-IN"/>
        </w:rPr>
        <w:t>:</w:t>
      </w:r>
      <w:r w:rsidRPr="00F03C93">
        <w:rPr>
          <w:rFonts w:ascii="Times New Roman" w:eastAsia="Times New Roman" w:hAnsi="Times New Roman" w:cs="Times New Roman"/>
          <w:sz w:val="24"/>
          <w:szCs w:val="24"/>
          <w:lang w:val="en-IN"/>
        </w:rPr>
        <w:t xml:space="preserve"> The case prompted a significant shift in organizational policies across both public and private sectors. Workplaces were required to establish internal complaints committees, conduct awareness programs, and ensure a safer environment for women employees. The case also encouraged a broader societal conversation about gender discrimination, leading to increased awareness about the importance of a gender-sensitive workplace.</w:t>
      </w:r>
    </w:p>
    <w:p w14:paraId="2AE2AE5F" w14:textId="77777777" w:rsidR="00F03C93" w:rsidRDefault="00F03C93" w:rsidP="00F03C93">
      <w:pPr>
        <w:numPr>
          <w:ilvl w:val="0"/>
          <w:numId w:val="20"/>
        </w:num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8"/>
          <w:szCs w:val="28"/>
          <w:lang w:val="en-IN"/>
        </w:rPr>
        <w:t>International Impact</w:t>
      </w:r>
      <w:r w:rsidRPr="00F03C93">
        <w:rPr>
          <w:rFonts w:ascii="Times New Roman" w:eastAsia="Times New Roman" w:hAnsi="Times New Roman" w:cs="Times New Roman"/>
          <w:sz w:val="28"/>
          <w:szCs w:val="28"/>
          <w:lang w:val="en-IN"/>
        </w:rPr>
        <w:t xml:space="preserve">: </w:t>
      </w:r>
      <w:r w:rsidRPr="00F03C93">
        <w:rPr>
          <w:rFonts w:ascii="Times New Roman" w:eastAsia="Times New Roman" w:hAnsi="Times New Roman" w:cs="Times New Roman"/>
          <w:sz w:val="24"/>
          <w:szCs w:val="24"/>
          <w:lang w:val="en-IN"/>
        </w:rPr>
        <w:t xml:space="preserve">The judgment aligned India’s legal standards with international norms, particularly the </w:t>
      </w:r>
      <w:r w:rsidRPr="00F03C93">
        <w:rPr>
          <w:rFonts w:ascii="Times New Roman" w:eastAsia="Times New Roman" w:hAnsi="Times New Roman" w:cs="Times New Roman"/>
          <w:b/>
          <w:bCs/>
          <w:sz w:val="24"/>
          <w:szCs w:val="24"/>
          <w:lang w:val="en-IN"/>
        </w:rPr>
        <w:t>CEDAW</w:t>
      </w:r>
      <w:r w:rsidRPr="00F03C93">
        <w:rPr>
          <w:rFonts w:ascii="Times New Roman" w:eastAsia="Times New Roman" w:hAnsi="Times New Roman" w:cs="Times New Roman"/>
          <w:sz w:val="24"/>
          <w:szCs w:val="24"/>
          <w:lang w:val="en-IN"/>
        </w:rPr>
        <w:t xml:space="preserve"> and </w:t>
      </w:r>
      <w:r w:rsidRPr="00F03C93">
        <w:rPr>
          <w:rFonts w:ascii="Times New Roman" w:eastAsia="Times New Roman" w:hAnsi="Times New Roman" w:cs="Times New Roman"/>
          <w:b/>
          <w:bCs/>
          <w:sz w:val="24"/>
          <w:szCs w:val="24"/>
          <w:lang w:val="en-IN"/>
        </w:rPr>
        <w:t>U.S. Title VII</w:t>
      </w:r>
      <w:r w:rsidRPr="00F03C93">
        <w:rPr>
          <w:rFonts w:ascii="Times New Roman" w:eastAsia="Times New Roman" w:hAnsi="Times New Roman" w:cs="Times New Roman"/>
          <w:sz w:val="24"/>
          <w:szCs w:val="24"/>
          <w:lang w:val="en-IN"/>
        </w:rPr>
        <w:t xml:space="preserve"> provisions, reinforcing the idea that global human rights frameworks can influence domestic law. The judgment set an example for other countries grappling with similar issues of workplace harassment.</w:t>
      </w:r>
    </w:p>
    <w:p w14:paraId="26F31170" w14:textId="77777777" w:rsidR="00F03C93" w:rsidRPr="00F03C93" w:rsidRDefault="00F03C93" w:rsidP="00F03C93">
      <w:pPr>
        <w:spacing w:after="240" w:line="360" w:lineRule="auto"/>
        <w:rPr>
          <w:rFonts w:ascii="Times New Roman" w:eastAsia="Times New Roman" w:hAnsi="Times New Roman" w:cs="Times New Roman"/>
          <w:sz w:val="24"/>
          <w:szCs w:val="24"/>
          <w:lang w:val="en-IN"/>
        </w:rPr>
      </w:pPr>
    </w:p>
    <w:p w14:paraId="187232AE" w14:textId="77777777" w:rsidR="00F03C93" w:rsidRPr="00F03C93" w:rsidRDefault="00F03C93" w:rsidP="00F03C93">
      <w:pPr>
        <w:spacing w:after="240" w:line="360" w:lineRule="auto"/>
        <w:rPr>
          <w:rFonts w:ascii="Times New Roman" w:eastAsia="Times New Roman" w:hAnsi="Times New Roman" w:cs="Times New Roman"/>
          <w:b/>
          <w:bCs/>
          <w:sz w:val="32"/>
          <w:szCs w:val="32"/>
          <w:lang w:val="en-IN"/>
        </w:rPr>
      </w:pPr>
      <w:r w:rsidRPr="00F03C93">
        <w:rPr>
          <w:rFonts w:ascii="Times New Roman" w:eastAsia="Times New Roman" w:hAnsi="Times New Roman" w:cs="Times New Roman"/>
          <w:b/>
          <w:bCs/>
          <w:sz w:val="32"/>
          <w:szCs w:val="32"/>
          <w:lang w:val="en-IN"/>
        </w:rPr>
        <w:t>Key Learning</w:t>
      </w:r>
    </w:p>
    <w:p w14:paraId="700F0630" w14:textId="77777777" w:rsidR="00F03C93" w:rsidRPr="00F03C93" w:rsidRDefault="00F03C93" w:rsidP="00F03C93">
      <w:p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sz w:val="24"/>
          <w:szCs w:val="24"/>
          <w:lang w:val="en-IN"/>
        </w:rPr>
        <w:t xml:space="preserve">The </w:t>
      </w:r>
      <w:r w:rsidRPr="00F03C93">
        <w:rPr>
          <w:rFonts w:ascii="Times New Roman" w:eastAsia="Times New Roman" w:hAnsi="Times New Roman" w:cs="Times New Roman"/>
          <w:b/>
          <w:bCs/>
          <w:sz w:val="24"/>
          <w:szCs w:val="24"/>
          <w:lang w:val="en-IN"/>
        </w:rPr>
        <w:t>Vishaka case</w:t>
      </w:r>
      <w:r w:rsidRPr="00F03C93">
        <w:rPr>
          <w:rFonts w:ascii="Times New Roman" w:eastAsia="Times New Roman" w:hAnsi="Times New Roman" w:cs="Times New Roman"/>
          <w:sz w:val="24"/>
          <w:szCs w:val="24"/>
          <w:lang w:val="en-IN"/>
        </w:rPr>
        <w:t xml:space="preserve"> offers several valuable lessons in legal advocacy, workplace dynamics, and gender justice:</w:t>
      </w:r>
    </w:p>
    <w:p w14:paraId="0B6D5C7F" w14:textId="77777777" w:rsidR="00F03C93" w:rsidRPr="00F03C93" w:rsidRDefault="00F03C93" w:rsidP="00F03C93">
      <w:pPr>
        <w:numPr>
          <w:ilvl w:val="0"/>
          <w:numId w:val="21"/>
        </w:num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4"/>
          <w:szCs w:val="24"/>
          <w:lang w:val="en-IN"/>
        </w:rPr>
        <w:t>Judicial Activism for Human Rights Protection</w:t>
      </w:r>
      <w:r w:rsidRPr="00F03C93">
        <w:rPr>
          <w:rFonts w:ascii="Times New Roman" w:eastAsia="Times New Roman" w:hAnsi="Times New Roman" w:cs="Times New Roman"/>
          <w:sz w:val="24"/>
          <w:szCs w:val="24"/>
          <w:lang w:val="en-IN"/>
        </w:rPr>
        <w:t xml:space="preserve">: When legislative bodies fail to act, the judiciary can step in to protect fundamental rights. The Vishaka case demonstrates that </w:t>
      </w:r>
      <w:r w:rsidRPr="00F03C93">
        <w:rPr>
          <w:rFonts w:ascii="Times New Roman" w:eastAsia="Times New Roman" w:hAnsi="Times New Roman" w:cs="Times New Roman"/>
          <w:sz w:val="24"/>
          <w:szCs w:val="24"/>
          <w:lang w:val="en-IN"/>
        </w:rPr>
        <w:lastRenderedPageBreak/>
        <w:t>courts have the power to create enforceable guidelines and protect marginalized individuals, particularly in areas where existing laws are lacking or outdated.</w:t>
      </w:r>
    </w:p>
    <w:p w14:paraId="7D822DC1" w14:textId="77777777" w:rsidR="00F03C93" w:rsidRPr="00F03C93" w:rsidRDefault="00F03C93" w:rsidP="00F03C93">
      <w:pPr>
        <w:numPr>
          <w:ilvl w:val="0"/>
          <w:numId w:val="21"/>
        </w:num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4"/>
          <w:szCs w:val="24"/>
          <w:lang w:val="en-IN"/>
        </w:rPr>
        <w:t>Employer Accountability</w:t>
      </w:r>
      <w:r w:rsidRPr="00F03C93">
        <w:rPr>
          <w:rFonts w:ascii="Times New Roman" w:eastAsia="Times New Roman" w:hAnsi="Times New Roman" w:cs="Times New Roman"/>
          <w:sz w:val="24"/>
          <w:szCs w:val="24"/>
          <w:lang w:val="en-IN"/>
        </w:rPr>
        <w:t>: The case highlights the essential role of employers in creating a safe and respectful working environment. It underscores the importance of preventive measures, including policies, awareness programs, and the formation of complaints committees to address harassment.</w:t>
      </w:r>
    </w:p>
    <w:p w14:paraId="0622391B" w14:textId="77777777" w:rsidR="00F03C93" w:rsidRPr="00F03C93" w:rsidRDefault="00F03C93" w:rsidP="00F03C93">
      <w:pPr>
        <w:numPr>
          <w:ilvl w:val="0"/>
          <w:numId w:val="21"/>
        </w:num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4"/>
          <w:szCs w:val="24"/>
          <w:lang w:val="en-IN"/>
        </w:rPr>
        <w:t>Victim-Centric Approach</w:t>
      </w:r>
      <w:r w:rsidRPr="00F03C93">
        <w:rPr>
          <w:rFonts w:ascii="Times New Roman" w:eastAsia="Times New Roman" w:hAnsi="Times New Roman" w:cs="Times New Roman"/>
          <w:sz w:val="24"/>
          <w:szCs w:val="24"/>
          <w:lang w:val="en-IN"/>
        </w:rPr>
        <w:t>: The victim's experience, rather than the perpetrator's intent, should be central when evaluating harassment. This victim-centric perspective ensures that the legal system recognizes the impact of harassment on individuals, which is essential for promoting justice and accountability.</w:t>
      </w:r>
    </w:p>
    <w:p w14:paraId="69F57B2D" w14:textId="77777777" w:rsidR="00F03C93" w:rsidRPr="00F03C93" w:rsidRDefault="00F03C93" w:rsidP="00F03C93">
      <w:pPr>
        <w:numPr>
          <w:ilvl w:val="0"/>
          <w:numId w:val="21"/>
        </w:num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4"/>
          <w:szCs w:val="24"/>
          <w:lang w:val="en-IN"/>
        </w:rPr>
        <w:t>Global Standards in Domestic Law</w:t>
      </w:r>
      <w:r w:rsidRPr="00F03C93">
        <w:rPr>
          <w:rFonts w:ascii="Times New Roman" w:eastAsia="Times New Roman" w:hAnsi="Times New Roman" w:cs="Times New Roman"/>
          <w:sz w:val="24"/>
          <w:szCs w:val="24"/>
          <w:lang w:val="en-IN"/>
        </w:rPr>
        <w:t>: The case demonstrates how international legal standards can be used to shape domestic laws, ensuring that national legal systems remain aligned with evolving global norms and human rights conventions.</w:t>
      </w:r>
    </w:p>
    <w:p w14:paraId="09835A4C" w14:textId="77777777" w:rsidR="00F03C93" w:rsidRPr="00F03C93" w:rsidRDefault="00F03C93" w:rsidP="00F03C93">
      <w:pPr>
        <w:numPr>
          <w:ilvl w:val="0"/>
          <w:numId w:val="21"/>
        </w:num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4"/>
          <w:szCs w:val="24"/>
          <w:lang w:val="en-IN"/>
        </w:rPr>
        <w:t>Gender Sensitivity and Cultural Change</w:t>
      </w:r>
      <w:r w:rsidRPr="00F03C93">
        <w:rPr>
          <w:rFonts w:ascii="Times New Roman" w:eastAsia="Times New Roman" w:hAnsi="Times New Roman" w:cs="Times New Roman"/>
          <w:sz w:val="24"/>
          <w:szCs w:val="24"/>
          <w:lang w:val="en-IN"/>
        </w:rPr>
        <w:t>: It emphasizes the importance of cultivating a workplace culture that values equality, respect, and gender sensitivity. Social attitudes toward harassment and gender roles must change to create more inclusive environments for women.</w:t>
      </w:r>
    </w:p>
    <w:p w14:paraId="2EEAA7B8" w14:textId="77777777" w:rsidR="00F03C93" w:rsidRPr="00F03C93" w:rsidRDefault="00F03C93" w:rsidP="00F03C93">
      <w:pPr>
        <w:spacing w:after="240" w:line="360" w:lineRule="auto"/>
        <w:rPr>
          <w:rFonts w:ascii="Times New Roman" w:eastAsia="Times New Roman" w:hAnsi="Times New Roman" w:cs="Times New Roman"/>
          <w:sz w:val="32"/>
          <w:szCs w:val="32"/>
        </w:rPr>
      </w:pPr>
    </w:p>
    <w:p w14:paraId="058762E7" w14:textId="77777777" w:rsidR="00F03C93" w:rsidRPr="00F03C93" w:rsidRDefault="00F03C93" w:rsidP="00F03C93">
      <w:pPr>
        <w:spacing w:after="240" w:line="360" w:lineRule="auto"/>
        <w:rPr>
          <w:rFonts w:ascii="Times New Roman" w:eastAsia="Times New Roman" w:hAnsi="Times New Roman" w:cs="Times New Roman"/>
          <w:b/>
          <w:bCs/>
          <w:sz w:val="32"/>
          <w:szCs w:val="32"/>
          <w:lang w:val="en-IN"/>
        </w:rPr>
      </w:pPr>
      <w:r w:rsidRPr="00F03C93">
        <w:rPr>
          <w:rFonts w:ascii="Times New Roman" w:eastAsia="Times New Roman" w:hAnsi="Times New Roman" w:cs="Times New Roman"/>
          <w:b/>
          <w:bCs/>
          <w:sz w:val="32"/>
          <w:szCs w:val="32"/>
          <w:lang w:val="en-IN"/>
        </w:rPr>
        <w:t>Suggestions</w:t>
      </w:r>
    </w:p>
    <w:p w14:paraId="35E9E70C" w14:textId="77777777" w:rsidR="00F03C93" w:rsidRPr="00F03C93" w:rsidRDefault="00F03C93" w:rsidP="00F03C93">
      <w:p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sz w:val="24"/>
          <w:szCs w:val="24"/>
          <w:lang w:val="en-IN"/>
        </w:rPr>
        <w:t xml:space="preserve">While the </w:t>
      </w:r>
      <w:r w:rsidRPr="00F03C93">
        <w:rPr>
          <w:rFonts w:ascii="Times New Roman" w:eastAsia="Times New Roman" w:hAnsi="Times New Roman" w:cs="Times New Roman"/>
          <w:b/>
          <w:bCs/>
          <w:sz w:val="24"/>
          <w:szCs w:val="24"/>
          <w:lang w:val="en-IN"/>
        </w:rPr>
        <w:t>Vishaka case</w:t>
      </w:r>
      <w:r w:rsidRPr="00F03C93">
        <w:rPr>
          <w:rFonts w:ascii="Times New Roman" w:eastAsia="Times New Roman" w:hAnsi="Times New Roman" w:cs="Times New Roman"/>
          <w:sz w:val="24"/>
          <w:szCs w:val="24"/>
          <w:lang w:val="en-IN"/>
        </w:rPr>
        <w:t xml:space="preserve"> was a groundbreaking decision, there are still areas for improvement in ensuring gender equality and addressing sexual harassment in Indian workplaces:</w:t>
      </w:r>
    </w:p>
    <w:p w14:paraId="69519ADD" w14:textId="77777777" w:rsidR="00F03C93" w:rsidRPr="00F03C93" w:rsidRDefault="00F03C93" w:rsidP="00F03C93">
      <w:pPr>
        <w:numPr>
          <w:ilvl w:val="0"/>
          <w:numId w:val="22"/>
        </w:num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8"/>
          <w:szCs w:val="28"/>
          <w:lang w:val="en-IN"/>
        </w:rPr>
        <w:t>Strengthen Implementation</w:t>
      </w:r>
      <w:r w:rsidRPr="00F03C93">
        <w:rPr>
          <w:rFonts w:ascii="Times New Roman" w:eastAsia="Times New Roman" w:hAnsi="Times New Roman" w:cs="Times New Roman"/>
          <w:sz w:val="28"/>
          <w:szCs w:val="28"/>
          <w:lang w:val="en-IN"/>
        </w:rPr>
        <w:t xml:space="preserve">: </w:t>
      </w:r>
      <w:r w:rsidRPr="00F03C93">
        <w:rPr>
          <w:rFonts w:ascii="Times New Roman" w:eastAsia="Times New Roman" w:hAnsi="Times New Roman" w:cs="Times New Roman"/>
          <w:sz w:val="24"/>
          <w:szCs w:val="24"/>
          <w:lang w:val="en-IN"/>
        </w:rPr>
        <w:t xml:space="preserve">While the </w:t>
      </w:r>
      <w:r w:rsidRPr="00F03C93">
        <w:rPr>
          <w:rFonts w:ascii="Times New Roman" w:eastAsia="Times New Roman" w:hAnsi="Times New Roman" w:cs="Times New Roman"/>
          <w:b/>
          <w:bCs/>
          <w:sz w:val="24"/>
          <w:szCs w:val="24"/>
          <w:lang w:val="en-IN"/>
        </w:rPr>
        <w:t>Sexual Harassment of Women at Workplace Act, 2013</w:t>
      </w:r>
      <w:r w:rsidRPr="00F03C93">
        <w:rPr>
          <w:rFonts w:ascii="Times New Roman" w:eastAsia="Times New Roman" w:hAnsi="Times New Roman" w:cs="Times New Roman"/>
          <w:sz w:val="24"/>
          <w:szCs w:val="24"/>
          <w:lang w:val="en-IN"/>
        </w:rPr>
        <w:t xml:space="preserve"> is a step forward, the enforcement and implementation of the law can be improved. Employers must be held accountable for non-compliance, and regular audits should be conducted to assess workplace safety.</w:t>
      </w:r>
    </w:p>
    <w:p w14:paraId="7AAEF283" w14:textId="77777777" w:rsidR="00F03C93" w:rsidRPr="00F03C93" w:rsidRDefault="00F03C93" w:rsidP="00F03C93">
      <w:pPr>
        <w:numPr>
          <w:ilvl w:val="0"/>
          <w:numId w:val="22"/>
        </w:num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8"/>
          <w:szCs w:val="28"/>
          <w:lang w:val="en-IN"/>
        </w:rPr>
        <w:t>Increase Awareness and Training</w:t>
      </w:r>
      <w:r w:rsidRPr="00F03C93">
        <w:rPr>
          <w:rFonts w:ascii="Times New Roman" w:eastAsia="Times New Roman" w:hAnsi="Times New Roman" w:cs="Times New Roman"/>
          <w:sz w:val="28"/>
          <w:szCs w:val="28"/>
          <w:lang w:val="en-IN"/>
        </w:rPr>
        <w:t xml:space="preserve">: </w:t>
      </w:r>
      <w:r w:rsidRPr="00F03C93">
        <w:rPr>
          <w:rFonts w:ascii="Times New Roman" w:eastAsia="Times New Roman" w:hAnsi="Times New Roman" w:cs="Times New Roman"/>
          <w:sz w:val="24"/>
          <w:szCs w:val="24"/>
          <w:lang w:val="en-IN"/>
        </w:rPr>
        <w:t xml:space="preserve">More emphasis should be placed on continuous training programs for both male and female employees. This would help foster a deeper </w:t>
      </w:r>
      <w:r w:rsidRPr="00F03C93">
        <w:rPr>
          <w:rFonts w:ascii="Times New Roman" w:eastAsia="Times New Roman" w:hAnsi="Times New Roman" w:cs="Times New Roman"/>
          <w:sz w:val="24"/>
          <w:szCs w:val="24"/>
          <w:lang w:val="en-IN"/>
        </w:rPr>
        <w:lastRenderedPageBreak/>
        <w:t xml:space="preserve">understanding of what constitutes harassment and the long-term consequences of such </w:t>
      </w:r>
      <w:proofErr w:type="spellStart"/>
      <w:r w:rsidRPr="00F03C93">
        <w:rPr>
          <w:rFonts w:ascii="Times New Roman" w:eastAsia="Times New Roman" w:hAnsi="Times New Roman" w:cs="Times New Roman"/>
          <w:sz w:val="24"/>
          <w:szCs w:val="24"/>
          <w:lang w:val="en-IN"/>
        </w:rPr>
        <w:t>behavior</w:t>
      </w:r>
      <w:proofErr w:type="spellEnd"/>
      <w:r w:rsidRPr="00F03C93">
        <w:rPr>
          <w:rFonts w:ascii="Times New Roman" w:eastAsia="Times New Roman" w:hAnsi="Times New Roman" w:cs="Times New Roman"/>
          <w:sz w:val="24"/>
          <w:szCs w:val="24"/>
          <w:lang w:val="en-IN"/>
        </w:rPr>
        <w:t>. Organizations should be proactive in educating employees, especially in rural areas and smaller businesses.</w:t>
      </w:r>
    </w:p>
    <w:p w14:paraId="249A90D0" w14:textId="77777777" w:rsidR="00F03C93" w:rsidRPr="00F03C93" w:rsidRDefault="00F03C93" w:rsidP="00F03C93">
      <w:pPr>
        <w:numPr>
          <w:ilvl w:val="0"/>
          <w:numId w:val="22"/>
        </w:num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8"/>
          <w:szCs w:val="28"/>
          <w:lang w:val="en-IN"/>
        </w:rPr>
        <w:t>Improve Complaint Mechanisms</w:t>
      </w:r>
      <w:r w:rsidRPr="00F03C93">
        <w:rPr>
          <w:rFonts w:ascii="Times New Roman" w:eastAsia="Times New Roman" w:hAnsi="Times New Roman" w:cs="Times New Roman"/>
          <w:sz w:val="28"/>
          <w:szCs w:val="28"/>
          <w:lang w:val="en-IN"/>
        </w:rPr>
        <w:t xml:space="preserve">: </w:t>
      </w:r>
      <w:r w:rsidRPr="00F03C93">
        <w:rPr>
          <w:rFonts w:ascii="Times New Roman" w:eastAsia="Times New Roman" w:hAnsi="Times New Roman" w:cs="Times New Roman"/>
          <w:sz w:val="24"/>
          <w:szCs w:val="24"/>
          <w:lang w:val="en-IN"/>
        </w:rPr>
        <w:t>In many workplaces, complaints about harassment are still underreported due to fear of retaliation. There is a need for stronger confidentiality provisions and independent monitoring bodies to ensure that victims feel safe while reporting incidents.</w:t>
      </w:r>
    </w:p>
    <w:p w14:paraId="58B253E7" w14:textId="77777777" w:rsidR="00F03C93" w:rsidRPr="00F03C93" w:rsidRDefault="00F03C93" w:rsidP="00F03C93">
      <w:pPr>
        <w:numPr>
          <w:ilvl w:val="0"/>
          <w:numId w:val="22"/>
        </w:num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8"/>
          <w:szCs w:val="28"/>
          <w:lang w:val="en-IN"/>
        </w:rPr>
        <w:t>Expand Legal Coverage</w:t>
      </w:r>
      <w:r w:rsidRPr="00F03C93">
        <w:rPr>
          <w:rFonts w:ascii="Times New Roman" w:eastAsia="Times New Roman" w:hAnsi="Times New Roman" w:cs="Times New Roman"/>
          <w:sz w:val="28"/>
          <w:szCs w:val="28"/>
          <w:lang w:val="en-IN"/>
        </w:rPr>
        <w:t>:</w:t>
      </w:r>
      <w:r w:rsidRPr="00F03C93">
        <w:rPr>
          <w:rFonts w:ascii="Times New Roman" w:eastAsia="Times New Roman" w:hAnsi="Times New Roman" w:cs="Times New Roman"/>
          <w:sz w:val="24"/>
          <w:szCs w:val="24"/>
          <w:lang w:val="en-IN"/>
        </w:rPr>
        <w:t xml:space="preserve"> The existing law should be expanded to cover all forms of harassment, including cyber harassment and harassment faced by workers in informal sectors. It is crucial to make workplaces in every industry, including remote and unorganized sectors, safe for women.</w:t>
      </w:r>
    </w:p>
    <w:p w14:paraId="4C49A4AD" w14:textId="77777777" w:rsidR="00F03C93" w:rsidRPr="00F03C93" w:rsidRDefault="00F03C93" w:rsidP="00F03C93">
      <w:pPr>
        <w:numPr>
          <w:ilvl w:val="0"/>
          <w:numId w:val="22"/>
        </w:numPr>
        <w:spacing w:after="240" w:line="360" w:lineRule="auto"/>
        <w:rPr>
          <w:rFonts w:ascii="Times New Roman" w:eastAsia="Times New Roman" w:hAnsi="Times New Roman" w:cs="Times New Roman"/>
          <w:sz w:val="24"/>
          <w:szCs w:val="24"/>
          <w:lang w:val="en-IN"/>
        </w:rPr>
      </w:pPr>
      <w:r w:rsidRPr="00F03C93">
        <w:rPr>
          <w:rFonts w:ascii="Times New Roman" w:eastAsia="Times New Roman" w:hAnsi="Times New Roman" w:cs="Times New Roman"/>
          <w:b/>
          <w:bCs/>
          <w:sz w:val="28"/>
          <w:szCs w:val="28"/>
          <w:lang w:val="en-IN"/>
        </w:rPr>
        <w:t>Promote Gender Diversity in Leadership</w:t>
      </w:r>
      <w:r w:rsidRPr="00F03C93">
        <w:rPr>
          <w:rFonts w:ascii="Times New Roman" w:eastAsia="Times New Roman" w:hAnsi="Times New Roman" w:cs="Times New Roman"/>
          <w:sz w:val="28"/>
          <w:szCs w:val="28"/>
          <w:lang w:val="en-IN"/>
        </w:rPr>
        <w:t xml:space="preserve">: </w:t>
      </w:r>
      <w:r w:rsidRPr="00F03C93">
        <w:rPr>
          <w:rFonts w:ascii="Times New Roman" w:eastAsia="Times New Roman" w:hAnsi="Times New Roman" w:cs="Times New Roman"/>
          <w:sz w:val="24"/>
          <w:szCs w:val="24"/>
          <w:lang w:val="en-IN"/>
        </w:rPr>
        <w:t>Encourage the active participation of women in leadership roles and decision-making positions. Women in leadership can significantly contribute to shaping policies and setting standards that prioritize safety, dignity, and equality in the workplace.</w:t>
      </w:r>
    </w:p>
    <w:p w14:paraId="0DB5F500" w14:textId="77777777" w:rsidR="00F03C93" w:rsidRDefault="00F03C93" w:rsidP="00F03C93">
      <w:pPr>
        <w:spacing w:after="240" w:line="360" w:lineRule="auto"/>
        <w:rPr>
          <w:rFonts w:ascii="Times New Roman" w:eastAsia="Times New Roman" w:hAnsi="Times New Roman" w:cs="Times New Roman"/>
          <w:sz w:val="24"/>
          <w:szCs w:val="24"/>
        </w:rPr>
      </w:pPr>
    </w:p>
    <w:p w14:paraId="1E8FB616" w14:textId="77777777" w:rsidR="00AD42A4" w:rsidRDefault="00000000">
      <w:pPr>
        <w:pStyle w:val="Heading2"/>
        <w:keepNext w:val="0"/>
        <w:keepLines w:val="0"/>
        <w:spacing w:before="360" w:line="360" w:lineRule="auto"/>
        <w:ind w:right="481"/>
        <w:rPr>
          <w:rFonts w:ascii="Times New Roman" w:eastAsia="Times New Roman" w:hAnsi="Times New Roman" w:cs="Times New Roman"/>
          <w:b/>
          <w:color w:val="000000"/>
          <w:sz w:val="34"/>
          <w:szCs w:val="34"/>
        </w:rPr>
      </w:pPr>
      <w:bookmarkStart w:id="21" w:name="_bmhjtfunj8ne" w:colFirst="0" w:colLast="0"/>
      <w:bookmarkEnd w:id="21"/>
      <w:r>
        <w:rPr>
          <w:rFonts w:ascii="Times New Roman" w:eastAsia="Times New Roman" w:hAnsi="Times New Roman" w:cs="Times New Roman"/>
          <w:b/>
          <w:color w:val="000000"/>
          <w:sz w:val="34"/>
          <w:szCs w:val="34"/>
        </w:rPr>
        <w:t>Conclusion</w:t>
      </w:r>
    </w:p>
    <w:p w14:paraId="125D973D" w14:textId="77777777" w:rsidR="00DC7A7C" w:rsidRPr="00DC7A7C" w:rsidRDefault="00DC7A7C" w:rsidP="00DC7A7C">
      <w:pPr>
        <w:spacing w:before="240" w:after="240" w:line="360" w:lineRule="auto"/>
        <w:ind w:firstLine="720"/>
        <w:rPr>
          <w:rFonts w:ascii="Times New Roman" w:eastAsia="Times New Roman" w:hAnsi="Times New Roman" w:cs="Times New Roman"/>
          <w:sz w:val="24"/>
          <w:szCs w:val="24"/>
          <w:lang w:val="en-IN"/>
        </w:rPr>
      </w:pPr>
      <w:r w:rsidRPr="00DC7A7C">
        <w:rPr>
          <w:rFonts w:ascii="Times New Roman" w:eastAsia="Times New Roman" w:hAnsi="Times New Roman" w:cs="Times New Roman"/>
          <w:sz w:val="24"/>
          <w:szCs w:val="24"/>
          <w:lang w:val="en-IN"/>
        </w:rPr>
        <w:t xml:space="preserve">The </w:t>
      </w:r>
      <w:r w:rsidRPr="00DC7A7C">
        <w:rPr>
          <w:rFonts w:ascii="Times New Roman" w:eastAsia="Times New Roman" w:hAnsi="Times New Roman" w:cs="Times New Roman"/>
          <w:b/>
          <w:bCs/>
          <w:sz w:val="24"/>
          <w:szCs w:val="24"/>
          <w:lang w:val="en-IN"/>
        </w:rPr>
        <w:t>Vishaka and Others vs State of Rajasthan (1997)</w:t>
      </w:r>
      <w:r w:rsidRPr="00DC7A7C">
        <w:rPr>
          <w:rFonts w:ascii="Times New Roman" w:eastAsia="Times New Roman" w:hAnsi="Times New Roman" w:cs="Times New Roman"/>
          <w:sz w:val="24"/>
          <w:szCs w:val="24"/>
          <w:lang w:val="en-IN"/>
        </w:rPr>
        <w:t xml:space="preserve"> case stands as a historic milestone in India’s quest for gender justice, marking a transformative shift in both legal frameworks and societal attitudes toward sexual harassment. It exemplified the judiciary’s proactive role in safeguarding fundamental rights, especially when the legislature had failed to address an emerging issue. The Supreme Court’s intervention through the </w:t>
      </w:r>
      <w:r w:rsidRPr="00DC7A7C">
        <w:rPr>
          <w:rFonts w:ascii="Times New Roman" w:eastAsia="Times New Roman" w:hAnsi="Times New Roman" w:cs="Times New Roman"/>
          <w:b/>
          <w:bCs/>
          <w:sz w:val="24"/>
          <w:szCs w:val="24"/>
          <w:lang w:val="en-IN"/>
        </w:rPr>
        <w:t>Vishaka Guidelines</w:t>
      </w:r>
      <w:r w:rsidRPr="00DC7A7C">
        <w:rPr>
          <w:rFonts w:ascii="Times New Roman" w:eastAsia="Times New Roman" w:hAnsi="Times New Roman" w:cs="Times New Roman"/>
          <w:sz w:val="24"/>
          <w:szCs w:val="24"/>
          <w:lang w:val="en-IN"/>
        </w:rPr>
        <w:t xml:space="preserve"> was not just a legal response to a specific case but a broader, more ambitious attempt to establish a comprehensive framework for women's protection in the workplace.</w:t>
      </w:r>
    </w:p>
    <w:p w14:paraId="2B7FCCCA" w14:textId="77777777" w:rsidR="00DC7A7C" w:rsidRPr="00DC7A7C" w:rsidRDefault="00DC7A7C" w:rsidP="00DC7A7C">
      <w:pPr>
        <w:spacing w:before="240" w:after="240" w:line="360" w:lineRule="auto"/>
        <w:rPr>
          <w:rFonts w:ascii="Times New Roman" w:eastAsia="Times New Roman" w:hAnsi="Times New Roman" w:cs="Times New Roman"/>
          <w:sz w:val="24"/>
          <w:szCs w:val="24"/>
          <w:lang w:val="en-IN"/>
        </w:rPr>
      </w:pPr>
      <w:r w:rsidRPr="00DC7A7C">
        <w:rPr>
          <w:rFonts w:ascii="Times New Roman" w:eastAsia="Times New Roman" w:hAnsi="Times New Roman" w:cs="Times New Roman"/>
          <w:sz w:val="24"/>
          <w:szCs w:val="24"/>
          <w:lang w:val="en-IN"/>
        </w:rPr>
        <w:t xml:space="preserve">By laying down these guidelines, the Court set an enforceable legal precedent that emphasized the importance of creating a harassment-free environment for women. This judgment became a beacon of justice, symbolizing the inherent right of women to work with dignity, free from harassment and discrimination. It reinforced the constitutional guarantee of </w:t>
      </w:r>
      <w:r w:rsidRPr="00DC7A7C">
        <w:rPr>
          <w:rFonts w:ascii="Times New Roman" w:eastAsia="Times New Roman" w:hAnsi="Times New Roman" w:cs="Times New Roman"/>
          <w:b/>
          <w:bCs/>
          <w:sz w:val="24"/>
          <w:szCs w:val="24"/>
          <w:lang w:val="en-IN"/>
        </w:rPr>
        <w:t>Article 21</w:t>
      </w:r>
      <w:r w:rsidRPr="00DC7A7C">
        <w:rPr>
          <w:rFonts w:ascii="Times New Roman" w:eastAsia="Times New Roman" w:hAnsi="Times New Roman" w:cs="Times New Roman"/>
          <w:sz w:val="24"/>
          <w:szCs w:val="24"/>
          <w:lang w:val="en-IN"/>
        </w:rPr>
        <w:t xml:space="preserve">, which protects the right to </w:t>
      </w:r>
      <w:r w:rsidRPr="00DC7A7C">
        <w:rPr>
          <w:rFonts w:ascii="Times New Roman" w:eastAsia="Times New Roman" w:hAnsi="Times New Roman" w:cs="Times New Roman"/>
          <w:sz w:val="24"/>
          <w:szCs w:val="24"/>
          <w:lang w:val="en-IN"/>
        </w:rPr>
        <w:lastRenderedPageBreak/>
        <w:t>life and personal liberty, by ensuring that this right includes the freedom from a hostile, unsafe, and abusive work environment.</w:t>
      </w:r>
    </w:p>
    <w:p w14:paraId="60E02740" w14:textId="77777777" w:rsidR="00DC7A7C" w:rsidRPr="00DC7A7C" w:rsidRDefault="00DC7A7C" w:rsidP="00DC7A7C">
      <w:pPr>
        <w:spacing w:before="240" w:after="240" w:line="360" w:lineRule="auto"/>
        <w:rPr>
          <w:rFonts w:ascii="Times New Roman" w:eastAsia="Times New Roman" w:hAnsi="Times New Roman" w:cs="Times New Roman"/>
          <w:sz w:val="24"/>
          <w:szCs w:val="24"/>
          <w:lang w:val="en-IN"/>
        </w:rPr>
      </w:pPr>
      <w:r w:rsidRPr="00DC7A7C">
        <w:rPr>
          <w:rFonts w:ascii="Times New Roman" w:eastAsia="Times New Roman" w:hAnsi="Times New Roman" w:cs="Times New Roman"/>
          <w:sz w:val="24"/>
          <w:szCs w:val="24"/>
          <w:lang w:val="en-IN"/>
        </w:rPr>
        <w:t xml:space="preserve">The </w:t>
      </w:r>
      <w:r w:rsidRPr="00DC7A7C">
        <w:rPr>
          <w:rFonts w:ascii="Times New Roman" w:eastAsia="Times New Roman" w:hAnsi="Times New Roman" w:cs="Times New Roman"/>
          <w:b/>
          <w:bCs/>
          <w:sz w:val="24"/>
          <w:szCs w:val="24"/>
          <w:lang w:val="en-IN"/>
        </w:rPr>
        <w:t>Vishaka case</w:t>
      </w:r>
      <w:r w:rsidRPr="00DC7A7C">
        <w:rPr>
          <w:rFonts w:ascii="Times New Roman" w:eastAsia="Times New Roman" w:hAnsi="Times New Roman" w:cs="Times New Roman"/>
          <w:sz w:val="24"/>
          <w:szCs w:val="24"/>
          <w:lang w:val="en-IN"/>
        </w:rPr>
        <w:t xml:space="preserve"> also illuminated the need for a paradigm shift in how society views gender roles and workplace dynamics. It called for a deep reflection on societal values and attitudes toward women’s rights and empowerment, challenging the traditional norms that </w:t>
      </w:r>
      <w:proofErr w:type="gramStart"/>
      <w:r w:rsidRPr="00DC7A7C">
        <w:rPr>
          <w:rFonts w:ascii="Times New Roman" w:eastAsia="Times New Roman" w:hAnsi="Times New Roman" w:cs="Times New Roman"/>
          <w:sz w:val="24"/>
          <w:szCs w:val="24"/>
          <w:lang w:val="en-IN"/>
        </w:rPr>
        <w:t>often condoned</w:t>
      </w:r>
      <w:proofErr w:type="gramEnd"/>
      <w:r w:rsidRPr="00DC7A7C">
        <w:rPr>
          <w:rFonts w:ascii="Times New Roman" w:eastAsia="Times New Roman" w:hAnsi="Times New Roman" w:cs="Times New Roman"/>
          <w:sz w:val="24"/>
          <w:szCs w:val="24"/>
          <w:lang w:val="en-IN"/>
        </w:rPr>
        <w:t xml:space="preserve"> harassment and exploitation. In a broader sense, the case illustrated the role of the judiciary in interpreting the Constitution dynamically, ensuring that the law remains responsive to changing societal needs, particularly in areas concerning human rights and equality.</w:t>
      </w:r>
    </w:p>
    <w:p w14:paraId="124EBDD9" w14:textId="77777777" w:rsidR="00DC7A7C" w:rsidRPr="00DC7A7C" w:rsidRDefault="00DC7A7C" w:rsidP="00DC7A7C">
      <w:pPr>
        <w:spacing w:before="240" w:after="240" w:line="360" w:lineRule="auto"/>
        <w:rPr>
          <w:rFonts w:ascii="Times New Roman" w:eastAsia="Times New Roman" w:hAnsi="Times New Roman" w:cs="Times New Roman"/>
          <w:sz w:val="24"/>
          <w:szCs w:val="24"/>
          <w:lang w:val="en-IN"/>
        </w:rPr>
      </w:pPr>
      <w:r w:rsidRPr="00DC7A7C">
        <w:rPr>
          <w:rFonts w:ascii="Times New Roman" w:eastAsia="Times New Roman" w:hAnsi="Times New Roman" w:cs="Times New Roman"/>
          <w:sz w:val="24"/>
          <w:szCs w:val="24"/>
          <w:lang w:val="en-IN"/>
        </w:rPr>
        <w:t xml:space="preserve">Even more than two decades later, the </w:t>
      </w:r>
      <w:r w:rsidRPr="00DC7A7C">
        <w:rPr>
          <w:rFonts w:ascii="Times New Roman" w:eastAsia="Times New Roman" w:hAnsi="Times New Roman" w:cs="Times New Roman"/>
          <w:b/>
          <w:bCs/>
          <w:sz w:val="24"/>
          <w:szCs w:val="24"/>
          <w:lang w:val="en-IN"/>
        </w:rPr>
        <w:t>Vishaka judgment</w:t>
      </w:r>
      <w:r w:rsidRPr="00DC7A7C">
        <w:rPr>
          <w:rFonts w:ascii="Times New Roman" w:eastAsia="Times New Roman" w:hAnsi="Times New Roman" w:cs="Times New Roman"/>
          <w:sz w:val="24"/>
          <w:szCs w:val="24"/>
          <w:lang w:val="en-IN"/>
        </w:rPr>
        <w:t xml:space="preserve"> continues to resonate across Indian society. It is a powerful reminder that gender equality requires persistent effort and that the protection of women’s rights must remain at the forefront of both legal and societal reform. It serves as a cornerstone for subsequent legal measures, including the </w:t>
      </w:r>
      <w:r w:rsidRPr="00DC7A7C">
        <w:rPr>
          <w:rFonts w:ascii="Times New Roman" w:eastAsia="Times New Roman" w:hAnsi="Times New Roman" w:cs="Times New Roman"/>
          <w:b/>
          <w:bCs/>
          <w:sz w:val="24"/>
          <w:szCs w:val="24"/>
          <w:lang w:val="en-IN"/>
        </w:rPr>
        <w:t>Sexual Harassment of Women at Workplace Act, 2013</w:t>
      </w:r>
      <w:r w:rsidRPr="00DC7A7C">
        <w:rPr>
          <w:rFonts w:ascii="Times New Roman" w:eastAsia="Times New Roman" w:hAnsi="Times New Roman" w:cs="Times New Roman"/>
          <w:sz w:val="24"/>
          <w:szCs w:val="24"/>
          <w:lang w:val="en-IN"/>
        </w:rPr>
        <w:t>, and remains an essential tool in the ongoing fight for justice, safety, and equality.</w:t>
      </w:r>
    </w:p>
    <w:p w14:paraId="71D5E5BA" w14:textId="77777777" w:rsidR="00DC7A7C" w:rsidRPr="00DC7A7C" w:rsidRDefault="00DC7A7C" w:rsidP="00DC7A7C">
      <w:pPr>
        <w:spacing w:before="240" w:after="240" w:line="360" w:lineRule="auto"/>
        <w:rPr>
          <w:rFonts w:ascii="Times New Roman" w:eastAsia="Times New Roman" w:hAnsi="Times New Roman" w:cs="Times New Roman"/>
          <w:sz w:val="24"/>
          <w:szCs w:val="24"/>
          <w:lang w:val="en-IN"/>
        </w:rPr>
      </w:pPr>
      <w:r w:rsidRPr="00DC7A7C">
        <w:rPr>
          <w:rFonts w:ascii="Times New Roman" w:eastAsia="Times New Roman" w:hAnsi="Times New Roman" w:cs="Times New Roman"/>
          <w:sz w:val="24"/>
          <w:szCs w:val="24"/>
          <w:lang w:val="en-IN"/>
        </w:rPr>
        <w:t xml:space="preserve">The journey that began with </w:t>
      </w:r>
      <w:r w:rsidRPr="00DC7A7C">
        <w:rPr>
          <w:rFonts w:ascii="Times New Roman" w:eastAsia="Times New Roman" w:hAnsi="Times New Roman" w:cs="Times New Roman"/>
          <w:b/>
          <w:bCs/>
          <w:sz w:val="24"/>
          <w:szCs w:val="24"/>
          <w:lang w:val="en-IN"/>
        </w:rPr>
        <w:t>Bhanwari Devi’s</w:t>
      </w:r>
      <w:r w:rsidRPr="00DC7A7C">
        <w:rPr>
          <w:rFonts w:ascii="Times New Roman" w:eastAsia="Times New Roman" w:hAnsi="Times New Roman" w:cs="Times New Roman"/>
          <w:sz w:val="24"/>
          <w:szCs w:val="24"/>
          <w:lang w:val="en-IN"/>
        </w:rPr>
        <w:t xml:space="preserve"> struggle for justice continues to inspire ongoing efforts toward achieving true equality for women in every aspect of life. While much progress has been made, the </w:t>
      </w:r>
      <w:r w:rsidRPr="00DC7A7C">
        <w:rPr>
          <w:rFonts w:ascii="Times New Roman" w:eastAsia="Times New Roman" w:hAnsi="Times New Roman" w:cs="Times New Roman"/>
          <w:b/>
          <w:bCs/>
          <w:sz w:val="24"/>
          <w:szCs w:val="24"/>
          <w:lang w:val="en-IN"/>
        </w:rPr>
        <w:t>Vishaka case</w:t>
      </w:r>
      <w:r w:rsidRPr="00DC7A7C">
        <w:rPr>
          <w:rFonts w:ascii="Times New Roman" w:eastAsia="Times New Roman" w:hAnsi="Times New Roman" w:cs="Times New Roman"/>
          <w:sz w:val="24"/>
          <w:szCs w:val="24"/>
          <w:lang w:val="en-IN"/>
        </w:rPr>
        <w:t xml:space="preserve"> reminds us that the fight for gender justice is ongoing, and there is still much work to be done to ensure that all women can exercise their fundamental rights without fear or discrimination.</w:t>
      </w:r>
    </w:p>
    <w:p w14:paraId="652E364B" w14:textId="77777777" w:rsidR="002E748D" w:rsidRDefault="002E748D">
      <w:pPr>
        <w:spacing w:before="240" w:after="240" w:line="360" w:lineRule="auto"/>
        <w:rPr>
          <w:rFonts w:ascii="Times New Roman" w:eastAsia="Times New Roman" w:hAnsi="Times New Roman" w:cs="Times New Roman"/>
          <w:sz w:val="24"/>
          <w:szCs w:val="24"/>
        </w:rPr>
      </w:pPr>
    </w:p>
    <w:p w14:paraId="63FE4982" w14:textId="77777777" w:rsidR="002E748D" w:rsidRDefault="002E748D">
      <w:pPr>
        <w:spacing w:before="240" w:after="240" w:line="360" w:lineRule="auto"/>
        <w:rPr>
          <w:rFonts w:ascii="Times New Roman" w:eastAsia="Times New Roman" w:hAnsi="Times New Roman" w:cs="Times New Roman"/>
          <w:sz w:val="24"/>
          <w:szCs w:val="24"/>
        </w:rPr>
      </w:pPr>
    </w:p>
    <w:p w14:paraId="7CC9B85D" w14:textId="77777777" w:rsidR="002E748D" w:rsidRDefault="002E748D">
      <w:pPr>
        <w:spacing w:before="240" w:after="240" w:line="360" w:lineRule="auto"/>
        <w:rPr>
          <w:rFonts w:ascii="Times New Roman" w:eastAsia="Times New Roman" w:hAnsi="Times New Roman" w:cs="Times New Roman"/>
          <w:sz w:val="24"/>
          <w:szCs w:val="24"/>
        </w:rPr>
      </w:pPr>
    </w:p>
    <w:p w14:paraId="22222D12" w14:textId="77777777" w:rsidR="002E748D" w:rsidRDefault="002E748D">
      <w:pPr>
        <w:spacing w:before="240" w:after="240" w:line="360" w:lineRule="auto"/>
        <w:rPr>
          <w:rFonts w:ascii="Times New Roman" w:eastAsia="Times New Roman" w:hAnsi="Times New Roman" w:cs="Times New Roman"/>
          <w:sz w:val="24"/>
          <w:szCs w:val="24"/>
        </w:rPr>
      </w:pPr>
    </w:p>
    <w:p w14:paraId="7761C68C" w14:textId="77777777" w:rsidR="002E748D" w:rsidRDefault="002E748D">
      <w:pPr>
        <w:spacing w:before="240" w:after="240" w:line="360" w:lineRule="auto"/>
        <w:rPr>
          <w:rFonts w:ascii="Times New Roman" w:eastAsia="Times New Roman" w:hAnsi="Times New Roman" w:cs="Times New Roman"/>
          <w:sz w:val="24"/>
          <w:szCs w:val="24"/>
        </w:rPr>
      </w:pPr>
    </w:p>
    <w:p w14:paraId="5070AE88" w14:textId="77777777" w:rsidR="00F03C93" w:rsidRDefault="00F03C93">
      <w:pPr>
        <w:spacing w:before="240" w:after="240" w:line="360" w:lineRule="auto"/>
        <w:rPr>
          <w:rFonts w:ascii="Times New Roman" w:eastAsia="Times New Roman" w:hAnsi="Times New Roman" w:cs="Times New Roman"/>
          <w:sz w:val="24"/>
          <w:szCs w:val="24"/>
        </w:rPr>
      </w:pPr>
    </w:p>
    <w:p w14:paraId="0E5820E4" w14:textId="77777777" w:rsidR="00F03C93" w:rsidRDefault="00F03C93">
      <w:pPr>
        <w:spacing w:before="240" w:after="240" w:line="360" w:lineRule="auto"/>
        <w:rPr>
          <w:rFonts w:ascii="Times New Roman" w:eastAsia="Times New Roman" w:hAnsi="Times New Roman" w:cs="Times New Roman"/>
          <w:sz w:val="24"/>
          <w:szCs w:val="24"/>
        </w:rPr>
      </w:pPr>
    </w:p>
    <w:p w14:paraId="2517AEA9" w14:textId="77777777" w:rsidR="00F03C93" w:rsidRDefault="00F03C93">
      <w:pPr>
        <w:spacing w:before="240" w:after="240" w:line="360" w:lineRule="auto"/>
        <w:rPr>
          <w:rFonts w:ascii="Times New Roman" w:eastAsia="Times New Roman" w:hAnsi="Times New Roman" w:cs="Times New Roman"/>
          <w:sz w:val="24"/>
          <w:szCs w:val="24"/>
        </w:rPr>
      </w:pPr>
    </w:p>
    <w:p w14:paraId="16DAE2D5" w14:textId="24FB0F63" w:rsidR="00AD42A4" w:rsidRDefault="002E748D">
      <w:pPr>
        <w:spacing w:after="0" w:line="360" w:lineRule="auto"/>
        <w:ind w:right="481"/>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References: </w:t>
      </w:r>
    </w:p>
    <w:p w14:paraId="663CD3D4" w14:textId="77777777" w:rsidR="00AD42A4" w:rsidRDefault="00000000">
      <w:pPr>
        <w:spacing w:after="0" w:line="276" w:lineRule="auto"/>
        <w:ind w:right="48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Supreme Court of India. (1997). </w:t>
      </w:r>
      <w:r>
        <w:rPr>
          <w:rFonts w:ascii="Times New Roman" w:eastAsia="Times New Roman" w:hAnsi="Times New Roman" w:cs="Times New Roman"/>
          <w:i/>
          <w:sz w:val="24"/>
          <w:szCs w:val="24"/>
        </w:rPr>
        <w:t>Vishaka and Others vs State of Rajasthan</w:t>
      </w:r>
      <w:r>
        <w:rPr>
          <w:rFonts w:ascii="Times New Roman" w:eastAsia="Times New Roman" w:hAnsi="Times New Roman" w:cs="Times New Roman"/>
          <w:sz w:val="24"/>
          <w:szCs w:val="24"/>
        </w:rPr>
        <w:t>, AIR 1997 SC 3011.</w:t>
      </w:r>
      <w:r>
        <w:rPr>
          <w:rFonts w:ascii="Times New Roman" w:eastAsia="Times New Roman" w:hAnsi="Times New Roman" w:cs="Times New Roman"/>
          <w:sz w:val="24"/>
          <w:szCs w:val="24"/>
        </w:rPr>
        <w:br/>
        <w:t xml:space="preserve">Retrieved from: </w:t>
      </w:r>
      <w:hyperlink r:id="rId8">
        <w:r w:rsidR="00AD42A4">
          <w:rPr>
            <w:rFonts w:ascii="Times New Roman" w:eastAsia="Times New Roman" w:hAnsi="Times New Roman" w:cs="Times New Roman"/>
            <w:color w:val="1155CC"/>
            <w:sz w:val="24"/>
            <w:szCs w:val="24"/>
            <w:u w:val="single"/>
          </w:rPr>
          <w:t>https://indiankanoon.org/doc/1031794/</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
    <w:p w14:paraId="46974CAC" w14:textId="77777777" w:rsidR="00AD42A4" w:rsidRDefault="00000000">
      <w:pPr>
        <w:spacing w:after="0" w:line="276" w:lineRule="auto"/>
        <w:ind w:right="48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Women. (n.d.). </w:t>
      </w:r>
      <w:r>
        <w:rPr>
          <w:rFonts w:ascii="Times New Roman" w:eastAsia="Times New Roman" w:hAnsi="Times New Roman" w:cs="Times New Roman"/>
          <w:i/>
          <w:sz w:val="24"/>
          <w:szCs w:val="24"/>
        </w:rPr>
        <w:t>Gender Equality: What does it mean?</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 xml:space="preserve"> Retrieved from: </w:t>
      </w:r>
      <w:hyperlink r:id="rId9">
        <w:r w:rsidR="00AD42A4">
          <w:rPr>
            <w:rFonts w:ascii="Times New Roman" w:eastAsia="Times New Roman" w:hAnsi="Times New Roman" w:cs="Times New Roman"/>
            <w:color w:val="1155CC"/>
            <w:sz w:val="24"/>
            <w:szCs w:val="24"/>
            <w:u w:val="single"/>
          </w:rPr>
          <w:t>https://www.unwomen.org/en/what-we-do/gender-equality</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
    <w:p w14:paraId="35654876" w14:textId="77777777" w:rsidR="00AD42A4" w:rsidRDefault="00000000">
      <w:pPr>
        <w:spacing w:after="0" w:line="276" w:lineRule="auto"/>
        <w:ind w:right="481"/>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United Nations. (n.d.). </w:t>
      </w:r>
      <w:r>
        <w:rPr>
          <w:rFonts w:ascii="Times New Roman" w:eastAsia="Times New Roman" w:hAnsi="Times New Roman" w:cs="Times New Roman"/>
          <w:i/>
          <w:sz w:val="24"/>
          <w:szCs w:val="24"/>
        </w:rPr>
        <w:t>Goal 5: Achieve gender equality and empower all women and girls.</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 xml:space="preserve"> Retrieved from:</w:t>
      </w:r>
      <w:hyperlink r:id="rId10">
        <w:r w:rsidR="00AD42A4">
          <w:rPr>
            <w:rFonts w:ascii="Times New Roman" w:eastAsia="Times New Roman" w:hAnsi="Times New Roman" w:cs="Times New Roman"/>
            <w:sz w:val="24"/>
            <w:szCs w:val="24"/>
          </w:rPr>
          <w:t xml:space="preserve"> </w:t>
        </w:r>
      </w:hyperlink>
      <w:hyperlink r:id="rId11">
        <w:r w:rsidR="00AD42A4">
          <w:rPr>
            <w:rFonts w:ascii="Times New Roman" w:eastAsia="Times New Roman" w:hAnsi="Times New Roman" w:cs="Times New Roman"/>
            <w:color w:val="1155CC"/>
            <w:sz w:val="24"/>
            <w:szCs w:val="24"/>
            <w:u w:val="single"/>
          </w:rPr>
          <w:t>https://sdgs.un.org/goals/goal5</w:t>
        </w:r>
        <w:r w:rsidR="00AD42A4">
          <w:rPr>
            <w:rFonts w:ascii="Times New Roman" w:eastAsia="Times New Roman" w:hAnsi="Times New Roman" w:cs="Times New Roman"/>
            <w:color w:val="1155CC"/>
            <w:sz w:val="24"/>
            <w:szCs w:val="24"/>
            <w:u w:val="single"/>
          </w:rPr>
          <w:br/>
        </w:r>
      </w:hyperlink>
    </w:p>
    <w:p w14:paraId="0999B8E1" w14:textId="77777777" w:rsidR="00AD42A4" w:rsidRDefault="00000000">
      <w:pPr>
        <w:spacing w:after="0" w:line="276" w:lineRule="auto"/>
        <w:ind w:right="481"/>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World Health Organization (WHO). (2023). </w:t>
      </w:r>
      <w:r>
        <w:rPr>
          <w:rFonts w:ascii="Times New Roman" w:eastAsia="Times New Roman" w:hAnsi="Times New Roman" w:cs="Times New Roman"/>
          <w:i/>
          <w:sz w:val="24"/>
          <w:szCs w:val="24"/>
        </w:rPr>
        <w:t>Gender and women's mental health.</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 xml:space="preserve"> Retrieved from:</w:t>
      </w:r>
      <w:hyperlink r:id="rId12">
        <w:r w:rsidR="00AD42A4">
          <w:rPr>
            <w:rFonts w:ascii="Times New Roman" w:eastAsia="Times New Roman" w:hAnsi="Times New Roman" w:cs="Times New Roman"/>
            <w:sz w:val="24"/>
            <w:szCs w:val="24"/>
          </w:rPr>
          <w:t xml:space="preserve"> </w:t>
        </w:r>
      </w:hyperlink>
      <w:hyperlink r:id="rId13">
        <w:r w:rsidR="00AD42A4">
          <w:rPr>
            <w:rFonts w:ascii="Times New Roman" w:eastAsia="Times New Roman" w:hAnsi="Times New Roman" w:cs="Times New Roman"/>
            <w:color w:val="1155CC"/>
            <w:sz w:val="24"/>
            <w:szCs w:val="24"/>
            <w:u w:val="single"/>
          </w:rPr>
          <w:t>https://www.who.int/health-topics/gender</w:t>
        </w:r>
        <w:r w:rsidR="00AD42A4">
          <w:rPr>
            <w:rFonts w:ascii="Times New Roman" w:eastAsia="Times New Roman" w:hAnsi="Times New Roman" w:cs="Times New Roman"/>
            <w:color w:val="1155CC"/>
            <w:sz w:val="24"/>
            <w:szCs w:val="24"/>
            <w:u w:val="single"/>
          </w:rPr>
          <w:br/>
        </w:r>
      </w:hyperlink>
    </w:p>
    <w:p w14:paraId="69563354" w14:textId="77777777" w:rsidR="00AD42A4" w:rsidRDefault="00000000">
      <w:pPr>
        <w:spacing w:after="0" w:line="276" w:lineRule="auto"/>
        <w:ind w:right="481"/>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The World Bank. (2023). </w:t>
      </w:r>
      <w:r>
        <w:rPr>
          <w:rFonts w:ascii="Times New Roman" w:eastAsia="Times New Roman" w:hAnsi="Times New Roman" w:cs="Times New Roman"/>
          <w:i/>
          <w:sz w:val="24"/>
          <w:szCs w:val="24"/>
        </w:rPr>
        <w:t>Gender Equality Overview.</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 xml:space="preserve"> Retrieved from:</w:t>
      </w:r>
      <w:hyperlink r:id="rId14">
        <w:r w:rsidR="00AD42A4">
          <w:rPr>
            <w:rFonts w:ascii="Times New Roman" w:eastAsia="Times New Roman" w:hAnsi="Times New Roman" w:cs="Times New Roman"/>
            <w:sz w:val="24"/>
            <w:szCs w:val="24"/>
          </w:rPr>
          <w:t xml:space="preserve"> </w:t>
        </w:r>
      </w:hyperlink>
      <w:hyperlink r:id="rId15">
        <w:r w:rsidR="00AD42A4">
          <w:rPr>
            <w:rFonts w:ascii="Times New Roman" w:eastAsia="Times New Roman" w:hAnsi="Times New Roman" w:cs="Times New Roman"/>
            <w:color w:val="1155CC"/>
            <w:sz w:val="24"/>
            <w:szCs w:val="24"/>
            <w:u w:val="single"/>
          </w:rPr>
          <w:t>https://www.worldbank.org/en/topic/gender/overview</w:t>
        </w:r>
        <w:r w:rsidR="00AD42A4">
          <w:rPr>
            <w:rFonts w:ascii="Times New Roman" w:eastAsia="Times New Roman" w:hAnsi="Times New Roman" w:cs="Times New Roman"/>
            <w:color w:val="1155CC"/>
            <w:sz w:val="24"/>
            <w:szCs w:val="24"/>
            <w:u w:val="single"/>
          </w:rPr>
          <w:br/>
        </w:r>
      </w:hyperlink>
    </w:p>
    <w:p w14:paraId="2AFC0212" w14:textId="77777777" w:rsidR="00AD42A4" w:rsidRDefault="00000000">
      <w:pPr>
        <w:spacing w:after="0" w:line="276" w:lineRule="auto"/>
        <w:ind w:right="481"/>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United Nations. (1979). </w:t>
      </w:r>
      <w:r>
        <w:rPr>
          <w:rFonts w:ascii="Times New Roman" w:eastAsia="Times New Roman" w:hAnsi="Times New Roman" w:cs="Times New Roman"/>
          <w:i/>
          <w:sz w:val="24"/>
          <w:szCs w:val="24"/>
        </w:rPr>
        <w:t>Convention on the Elimination of All Forms of Discrimination Against Women (CEDAW).</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 xml:space="preserve"> Retrieved from:</w:t>
      </w:r>
      <w:hyperlink r:id="rId16">
        <w:r w:rsidR="00AD42A4">
          <w:rPr>
            <w:rFonts w:ascii="Times New Roman" w:eastAsia="Times New Roman" w:hAnsi="Times New Roman" w:cs="Times New Roman"/>
            <w:sz w:val="24"/>
            <w:szCs w:val="24"/>
          </w:rPr>
          <w:t xml:space="preserve"> </w:t>
        </w:r>
      </w:hyperlink>
      <w:hyperlink r:id="rId17">
        <w:r w:rsidR="00AD42A4">
          <w:rPr>
            <w:rFonts w:ascii="Times New Roman" w:eastAsia="Times New Roman" w:hAnsi="Times New Roman" w:cs="Times New Roman"/>
            <w:color w:val="1155CC"/>
            <w:sz w:val="24"/>
            <w:szCs w:val="24"/>
            <w:u w:val="single"/>
          </w:rPr>
          <w:t>https://www.un.org/womenwatch/daw/cedaw/</w:t>
        </w:r>
        <w:r w:rsidR="00AD42A4">
          <w:rPr>
            <w:rFonts w:ascii="Times New Roman" w:eastAsia="Times New Roman" w:hAnsi="Times New Roman" w:cs="Times New Roman"/>
            <w:color w:val="1155CC"/>
            <w:sz w:val="24"/>
            <w:szCs w:val="24"/>
            <w:u w:val="single"/>
          </w:rPr>
          <w:br/>
        </w:r>
      </w:hyperlink>
    </w:p>
    <w:p w14:paraId="20E83D3D" w14:textId="77777777" w:rsidR="00AD42A4" w:rsidRDefault="00000000">
      <w:pPr>
        <w:spacing w:after="0" w:line="276" w:lineRule="auto"/>
        <w:ind w:right="48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OECD. (2021). </w:t>
      </w:r>
      <w:r>
        <w:rPr>
          <w:rFonts w:ascii="Times New Roman" w:eastAsia="Times New Roman" w:hAnsi="Times New Roman" w:cs="Times New Roman"/>
          <w:i/>
          <w:sz w:val="24"/>
          <w:szCs w:val="24"/>
        </w:rPr>
        <w:t>Gender Equality and Women's Empowerment.</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 xml:space="preserve"> Retrieved from: </w:t>
      </w:r>
      <w:hyperlink r:id="rId18">
        <w:r w:rsidR="00AD42A4">
          <w:rPr>
            <w:rFonts w:ascii="Times New Roman" w:eastAsia="Times New Roman" w:hAnsi="Times New Roman" w:cs="Times New Roman"/>
            <w:color w:val="1155CC"/>
            <w:sz w:val="24"/>
            <w:szCs w:val="24"/>
            <w:u w:val="single"/>
          </w:rPr>
          <w:t>https://www.oecd.org/gender/</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
    <w:p w14:paraId="088218B1" w14:textId="77777777" w:rsidR="00AD42A4" w:rsidRDefault="00000000">
      <w:pPr>
        <w:spacing w:after="0" w:line="276" w:lineRule="auto"/>
        <w:ind w:right="48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Ministry of Women and Child Development, Government of India. (2015). </w:t>
      </w:r>
      <w:r>
        <w:rPr>
          <w:rFonts w:ascii="Times New Roman" w:eastAsia="Times New Roman" w:hAnsi="Times New Roman" w:cs="Times New Roman"/>
          <w:i/>
          <w:sz w:val="24"/>
          <w:szCs w:val="24"/>
        </w:rPr>
        <w:t>Handbook on Sexual Harassment of Women at Workplace (Prevention, Prohibition and Redressal) Act, 2013.</w:t>
      </w:r>
      <w:r>
        <w:rPr>
          <w:rFonts w:ascii="Times New Roman" w:eastAsia="Times New Roman" w:hAnsi="Times New Roman" w:cs="Times New Roman"/>
          <w:i/>
          <w:sz w:val="24"/>
          <w:szCs w:val="24"/>
        </w:rPr>
        <w:br/>
      </w:r>
      <w:r>
        <w:rPr>
          <w:rFonts w:ascii="Times New Roman" w:eastAsia="Times New Roman" w:hAnsi="Times New Roman" w:cs="Times New Roman"/>
          <w:sz w:val="24"/>
          <w:szCs w:val="24"/>
        </w:rPr>
        <w:t xml:space="preserve"> Retrieved from: </w:t>
      </w:r>
      <w:hyperlink r:id="rId19">
        <w:r w:rsidR="00AD42A4">
          <w:rPr>
            <w:rFonts w:ascii="Times New Roman" w:eastAsia="Times New Roman" w:hAnsi="Times New Roman" w:cs="Times New Roman"/>
            <w:color w:val="1155CC"/>
            <w:sz w:val="24"/>
            <w:szCs w:val="24"/>
            <w:u w:val="single"/>
          </w:rPr>
          <w:t>https://wcd.nic.in/sites/default/files/Handbook%20on%20Sexual%20Harassment%20of%20Women%20at%20Workplace.pdf</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
    <w:p w14:paraId="01F9F561" w14:textId="77777777" w:rsidR="00AD42A4" w:rsidRDefault="00000000">
      <w:pPr>
        <w:spacing w:after="0" w:line="276" w:lineRule="auto"/>
        <w:ind w:right="48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Indian Law Institute. (1998). </w:t>
      </w:r>
      <w:r>
        <w:rPr>
          <w:rFonts w:ascii="Times New Roman" w:eastAsia="Times New Roman" w:hAnsi="Times New Roman" w:cs="Times New Roman"/>
          <w:i/>
          <w:sz w:val="24"/>
          <w:szCs w:val="24"/>
        </w:rPr>
        <w:t>Vishaka's Case: A Step Toward Protecting Working Women.</w:t>
      </w:r>
      <w:r>
        <w:rPr>
          <w:rFonts w:ascii="Times New Roman" w:eastAsia="Times New Roman" w:hAnsi="Times New Roman" w:cs="Times New Roman"/>
          <w:sz w:val="24"/>
          <w:szCs w:val="24"/>
        </w:rPr>
        <w:t xml:space="preserve"> Journal of Indian Law Institute, 40(2), 230-242. </w:t>
      </w:r>
    </w:p>
    <w:p w14:paraId="6D472AC1" w14:textId="77777777" w:rsidR="00AD42A4" w:rsidRDefault="00AD42A4">
      <w:pPr>
        <w:spacing w:after="0" w:line="360" w:lineRule="auto"/>
        <w:ind w:right="481"/>
        <w:rPr>
          <w:rFonts w:ascii="Times New Roman" w:eastAsia="Times New Roman" w:hAnsi="Times New Roman" w:cs="Times New Roman"/>
          <w:b/>
          <w:sz w:val="32"/>
          <w:szCs w:val="32"/>
        </w:rPr>
      </w:pPr>
    </w:p>
    <w:sectPr w:rsidR="00AD42A4" w:rsidSect="007E008E">
      <w:headerReference w:type="default" r:id="rId20"/>
      <w:footerReference w:type="default" r:id="rId21"/>
      <w:pgSz w:w="11906" w:h="16838"/>
      <w:pgMar w:top="1440" w:right="849"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7BBE7" w14:textId="77777777" w:rsidR="007D1353" w:rsidRDefault="007D1353">
      <w:pPr>
        <w:spacing w:after="0" w:line="240" w:lineRule="auto"/>
      </w:pPr>
      <w:r>
        <w:separator/>
      </w:r>
    </w:p>
  </w:endnote>
  <w:endnote w:type="continuationSeparator" w:id="0">
    <w:p w14:paraId="1F7B875C" w14:textId="77777777" w:rsidR="007D1353" w:rsidRDefault="007D1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EE168B04-7864-48BB-9983-C7186FEED0B4}"/>
    <w:embedBold r:id="rId2" w:fontKey="{6E599FF9-BE83-4CA7-8A03-D06836987F89}"/>
    <w:embedItalic r:id="rId3" w:fontKey="{C1855998-51A5-4EAA-A910-2590991C65A1}"/>
  </w:font>
  <w:font w:name="Play">
    <w:charset w:val="00"/>
    <w:family w:val="auto"/>
    <w:pitch w:val="default"/>
    <w:embedRegular r:id="rId4" w:fontKey="{2348E596-FF11-4A65-8018-E3431C4DB1C6}"/>
  </w:font>
  <w:font w:name="Calibri">
    <w:panose1 w:val="020F0502020204030204"/>
    <w:charset w:val="00"/>
    <w:family w:val="swiss"/>
    <w:pitch w:val="variable"/>
    <w:sig w:usb0="E4002EFF" w:usb1="C200247B" w:usb2="00000009" w:usb3="00000000" w:csb0="000001FF" w:csb1="00000000"/>
    <w:embedRegular r:id="rId5" w:fontKey="{DCF688B3-1645-436E-B928-B3B04BE0F013}"/>
  </w:font>
  <w:font w:name="Cambria">
    <w:panose1 w:val="02040503050406030204"/>
    <w:charset w:val="00"/>
    <w:family w:val="roman"/>
    <w:pitch w:val="variable"/>
    <w:sig w:usb0="E00006FF" w:usb1="420024FF" w:usb2="02000000" w:usb3="00000000" w:csb0="0000019F" w:csb1="00000000"/>
    <w:embedRegular r:id="rId6" w:fontKey="{401940DD-86FD-4E9F-B4B4-45FDBA353C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9842851"/>
      <w:docPartObj>
        <w:docPartGallery w:val="Page Numbers (Bottom of Page)"/>
        <w:docPartUnique/>
      </w:docPartObj>
    </w:sdtPr>
    <w:sdtEndPr>
      <w:rPr>
        <w:noProof/>
      </w:rPr>
    </w:sdtEndPr>
    <w:sdtContent>
      <w:p w14:paraId="2DD60E76" w14:textId="15487195" w:rsidR="006A07F8" w:rsidRDefault="006A07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9F960A" w14:textId="77777777" w:rsidR="00AD42A4" w:rsidRDefault="00AD42A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2AFA78" w14:textId="77777777" w:rsidR="007D1353" w:rsidRDefault="007D1353">
      <w:pPr>
        <w:spacing w:after="0" w:line="240" w:lineRule="auto"/>
      </w:pPr>
      <w:r>
        <w:separator/>
      </w:r>
    </w:p>
  </w:footnote>
  <w:footnote w:type="continuationSeparator" w:id="0">
    <w:p w14:paraId="2D1A9A3B" w14:textId="77777777" w:rsidR="007D1353" w:rsidRDefault="007D13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E85AC" w14:textId="1365181E" w:rsidR="002E748D" w:rsidRDefault="002E748D">
    <w:pPr>
      <w:pStyle w:val="Header"/>
      <w:jc w:val="right"/>
    </w:pPr>
  </w:p>
  <w:p w14:paraId="1353DFBE" w14:textId="77777777" w:rsidR="002E748D" w:rsidRDefault="002E74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2D3C"/>
    <w:multiLevelType w:val="multilevel"/>
    <w:tmpl w:val="0AAE3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666FD4"/>
    <w:multiLevelType w:val="multilevel"/>
    <w:tmpl w:val="D8ACC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4F59CC"/>
    <w:multiLevelType w:val="multilevel"/>
    <w:tmpl w:val="6DB2B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8D6FBB"/>
    <w:multiLevelType w:val="multilevel"/>
    <w:tmpl w:val="2C867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D12169"/>
    <w:multiLevelType w:val="multilevel"/>
    <w:tmpl w:val="D8528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EC075D0"/>
    <w:multiLevelType w:val="multilevel"/>
    <w:tmpl w:val="FE7A4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70515F"/>
    <w:multiLevelType w:val="multilevel"/>
    <w:tmpl w:val="CABE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FE776A"/>
    <w:multiLevelType w:val="multilevel"/>
    <w:tmpl w:val="E49AA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6D15B2"/>
    <w:multiLevelType w:val="multilevel"/>
    <w:tmpl w:val="1CC05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FE0A39"/>
    <w:multiLevelType w:val="multilevel"/>
    <w:tmpl w:val="D16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8C671E"/>
    <w:multiLevelType w:val="multilevel"/>
    <w:tmpl w:val="6A9C5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5D574BA"/>
    <w:multiLevelType w:val="multilevel"/>
    <w:tmpl w:val="946A2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C86A77"/>
    <w:multiLevelType w:val="multilevel"/>
    <w:tmpl w:val="56AC6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256AC0"/>
    <w:multiLevelType w:val="multilevel"/>
    <w:tmpl w:val="2AC2A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BC5750"/>
    <w:multiLevelType w:val="multilevel"/>
    <w:tmpl w:val="9FC27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160E84"/>
    <w:multiLevelType w:val="multilevel"/>
    <w:tmpl w:val="44AA9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2D64BB"/>
    <w:multiLevelType w:val="multilevel"/>
    <w:tmpl w:val="48183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F431CC"/>
    <w:multiLevelType w:val="multilevel"/>
    <w:tmpl w:val="3EC2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0A0C65"/>
    <w:multiLevelType w:val="multilevel"/>
    <w:tmpl w:val="4A6C9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147D2A"/>
    <w:multiLevelType w:val="multilevel"/>
    <w:tmpl w:val="310C2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3526D2B"/>
    <w:multiLevelType w:val="multilevel"/>
    <w:tmpl w:val="AB487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8B62E29"/>
    <w:multiLevelType w:val="multilevel"/>
    <w:tmpl w:val="1096C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3963701">
    <w:abstractNumId w:val="15"/>
  </w:num>
  <w:num w:numId="2" w16cid:durableId="728117988">
    <w:abstractNumId w:val="14"/>
  </w:num>
  <w:num w:numId="3" w16cid:durableId="1324820583">
    <w:abstractNumId w:val="1"/>
  </w:num>
  <w:num w:numId="4" w16cid:durableId="1565724708">
    <w:abstractNumId w:val="20"/>
  </w:num>
  <w:num w:numId="5" w16cid:durableId="1775057976">
    <w:abstractNumId w:val="13"/>
  </w:num>
  <w:num w:numId="6" w16cid:durableId="1012998592">
    <w:abstractNumId w:val="21"/>
  </w:num>
  <w:num w:numId="7" w16cid:durableId="838814883">
    <w:abstractNumId w:val="12"/>
  </w:num>
  <w:num w:numId="8" w16cid:durableId="653031150">
    <w:abstractNumId w:val="16"/>
  </w:num>
  <w:num w:numId="9" w16cid:durableId="1185286815">
    <w:abstractNumId w:val="4"/>
  </w:num>
  <w:num w:numId="10" w16cid:durableId="1165130900">
    <w:abstractNumId w:val="18"/>
  </w:num>
  <w:num w:numId="11" w16cid:durableId="1903322043">
    <w:abstractNumId w:val="8"/>
  </w:num>
  <w:num w:numId="12" w16cid:durableId="183519303">
    <w:abstractNumId w:val="7"/>
  </w:num>
  <w:num w:numId="13" w16cid:durableId="1787196760">
    <w:abstractNumId w:val="2"/>
  </w:num>
  <w:num w:numId="14" w16cid:durableId="529759695">
    <w:abstractNumId w:val="10"/>
  </w:num>
  <w:num w:numId="15" w16cid:durableId="480584236">
    <w:abstractNumId w:val="3"/>
  </w:num>
  <w:num w:numId="16" w16cid:durableId="985742403">
    <w:abstractNumId w:val="0"/>
  </w:num>
  <w:num w:numId="17" w16cid:durableId="64495817">
    <w:abstractNumId w:val="19"/>
  </w:num>
  <w:num w:numId="18" w16cid:durableId="1817606116">
    <w:abstractNumId w:val="9"/>
  </w:num>
  <w:num w:numId="19" w16cid:durableId="1052579044">
    <w:abstractNumId w:val="5"/>
  </w:num>
  <w:num w:numId="20" w16cid:durableId="236478134">
    <w:abstractNumId w:val="6"/>
  </w:num>
  <w:num w:numId="21" w16cid:durableId="1602447042">
    <w:abstractNumId w:val="11"/>
  </w:num>
  <w:num w:numId="22" w16cid:durableId="380156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2A4"/>
    <w:rsid w:val="000130D1"/>
    <w:rsid w:val="002E748D"/>
    <w:rsid w:val="006A07F8"/>
    <w:rsid w:val="007D1353"/>
    <w:rsid w:val="007E008E"/>
    <w:rsid w:val="00AD42A4"/>
    <w:rsid w:val="00DC7A7C"/>
    <w:rsid w:val="00EE1F05"/>
    <w:rsid w:val="00F03C93"/>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0011C"/>
  <w15:docId w15:val="{F855DF71-9EA7-492E-885B-8BE3238B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E7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748D"/>
  </w:style>
  <w:style w:type="paragraph" w:styleId="Footer">
    <w:name w:val="footer"/>
    <w:basedOn w:val="Normal"/>
    <w:link w:val="FooterChar"/>
    <w:uiPriority w:val="99"/>
    <w:unhideWhenUsed/>
    <w:rsid w:val="002E7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417080">
      <w:bodyDiv w:val="1"/>
      <w:marLeft w:val="0"/>
      <w:marRight w:val="0"/>
      <w:marTop w:val="0"/>
      <w:marBottom w:val="0"/>
      <w:divBdr>
        <w:top w:val="none" w:sz="0" w:space="0" w:color="auto"/>
        <w:left w:val="none" w:sz="0" w:space="0" w:color="auto"/>
        <w:bottom w:val="none" w:sz="0" w:space="0" w:color="auto"/>
        <w:right w:val="none" w:sz="0" w:space="0" w:color="auto"/>
      </w:divBdr>
    </w:div>
    <w:div w:id="484128390">
      <w:bodyDiv w:val="1"/>
      <w:marLeft w:val="0"/>
      <w:marRight w:val="0"/>
      <w:marTop w:val="0"/>
      <w:marBottom w:val="0"/>
      <w:divBdr>
        <w:top w:val="none" w:sz="0" w:space="0" w:color="auto"/>
        <w:left w:val="none" w:sz="0" w:space="0" w:color="auto"/>
        <w:bottom w:val="none" w:sz="0" w:space="0" w:color="auto"/>
        <w:right w:val="none" w:sz="0" w:space="0" w:color="auto"/>
      </w:divBdr>
    </w:div>
    <w:div w:id="669337192">
      <w:bodyDiv w:val="1"/>
      <w:marLeft w:val="0"/>
      <w:marRight w:val="0"/>
      <w:marTop w:val="0"/>
      <w:marBottom w:val="0"/>
      <w:divBdr>
        <w:top w:val="none" w:sz="0" w:space="0" w:color="auto"/>
        <w:left w:val="none" w:sz="0" w:space="0" w:color="auto"/>
        <w:bottom w:val="none" w:sz="0" w:space="0" w:color="auto"/>
        <w:right w:val="none" w:sz="0" w:space="0" w:color="auto"/>
      </w:divBdr>
    </w:div>
    <w:div w:id="677343277">
      <w:bodyDiv w:val="1"/>
      <w:marLeft w:val="0"/>
      <w:marRight w:val="0"/>
      <w:marTop w:val="0"/>
      <w:marBottom w:val="0"/>
      <w:divBdr>
        <w:top w:val="none" w:sz="0" w:space="0" w:color="auto"/>
        <w:left w:val="none" w:sz="0" w:space="0" w:color="auto"/>
        <w:bottom w:val="none" w:sz="0" w:space="0" w:color="auto"/>
        <w:right w:val="none" w:sz="0" w:space="0" w:color="auto"/>
      </w:divBdr>
    </w:div>
    <w:div w:id="682702553">
      <w:bodyDiv w:val="1"/>
      <w:marLeft w:val="0"/>
      <w:marRight w:val="0"/>
      <w:marTop w:val="0"/>
      <w:marBottom w:val="0"/>
      <w:divBdr>
        <w:top w:val="none" w:sz="0" w:space="0" w:color="auto"/>
        <w:left w:val="none" w:sz="0" w:space="0" w:color="auto"/>
        <w:bottom w:val="none" w:sz="0" w:space="0" w:color="auto"/>
        <w:right w:val="none" w:sz="0" w:space="0" w:color="auto"/>
      </w:divBdr>
    </w:div>
    <w:div w:id="728653196">
      <w:bodyDiv w:val="1"/>
      <w:marLeft w:val="0"/>
      <w:marRight w:val="0"/>
      <w:marTop w:val="0"/>
      <w:marBottom w:val="0"/>
      <w:divBdr>
        <w:top w:val="none" w:sz="0" w:space="0" w:color="auto"/>
        <w:left w:val="none" w:sz="0" w:space="0" w:color="auto"/>
        <w:bottom w:val="none" w:sz="0" w:space="0" w:color="auto"/>
        <w:right w:val="none" w:sz="0" w:space="0" w:color="auto"/>
      </w:divBdr>
    </w:div>
    <w:div w:id="1407803141">
      <w:bodyDiv w:val="1"/>
      <w:marLeft w:val="0"/>
      <w:marRight w:val="0"/>
      <w:marTop w:val="0"/>
      <w:marBottom w:val="0"/>
      <w:divBdr>
        <w:top w:val="none" w:sz="0" w:space="0" w:color="auto"/>
        <w:left w:val="none" w:sz="0" w:space="0" w:color="auto"/>
        <w:bottom w:val="none" w:sz="0" w:space="0" w:color="auto"/>
        <w:right w:val="none" w:sz="0" w:space="0" w:color="auto"/>
      </w:divBdr>
    </w:div>
    <w:div w:id="1467702315">
      <w:bodyDiv w:val="1"/>
      <w:marLeft w:val="0"/>
      <w:marRight w:val="0"/>
      <w:marTop w:val="0"/>
      <w:marBottom w:val="0"/>
      <w:divBdr>
        <w:top w:val="none" w:sz="0" w:space="0" w:color="auto"/>
        <w:left w:val="none" w:sz="0" w:space="0" w:color="auto"/>
        <w:bottom w:val="none" w:sz="0" w:space="0" w:color="auto"/>
        <w:right w:val="none" w:sz="0" w:space="0" w:color="auto"/>
      </w:divBdr>
    </w:div>
    <w:div w:id="1621451527">
      <w:bodyDiv w:val="1"/>
      <w:marLeft w:val="0"/>
      <w:marRight w:val="0"/>
      <w:marTop w:val="0"/>
      <w:marBottom w:val="0"/>
      <w:divBdr>
        <w:top w:val="none" w:sz="0" w:space="0" w:color="auto"/>
        <w:left w:val="none" w:sz="0" w:space="0" w:color="auto"/>
        <w:bottom w:val="none" w:sz="0" w:space="0" w:color="auto"/>
        <w:right w:val="none" w:sz="0" w:space="0" w:color="auto"/>
      </w:divBdr>
    </w:div>
    <w:div w:id="1698122301">
      <w:bodyDiv w:val="1"/>
      <w:marLeft w:val="0"/>
      <w:marRight w:val="0"/>
      <w:marTop w:val="0"/>
      <w:marBottom w:val="0"/>
      <w:divBdr>
        <w:top w:val="none" w:sz="0" w:space="0" w:color="auto"/>
        <w:left w:val="none" w:sz="0" w:space="0" w:color="auto"/>
        <w:bottom w:val="none" w:sz="0" w:space="0" w:color="auto"/>
        <w:right w:val="none" w:sz="0" w:space="0" w:color="auto"/>
      </w:divBdr>
    </w:div>
    <w:div w:id="1735346874">
      <w:bodyDiv w:val="1"/>
      <w:marLeft w:val="0"/>
      <w:marRight w:val="0"/>
      <w:marTop w:val="0"/>
      <w:marBottom w:val="0"/>
      <w:divBdr>
        <w:top w:val="none" w:sz="0" w:space="0" w:color="auto"/>
        <w:left w:val="none" w:sz="0" w:space="0" w:color="auto"/>
        <w:bottom w:val="none" w:sz="0" w:space="0" w:color="auto"/>
        <w:right w:val="none" w:sz="0" w:space="0" w:color="auto"/>
      </w:divBdr>
    </w:div>
    <w:div w:id="1800566914">
      <w:bodyDiv w:val="1"/>
      <w:marLeft w:val="0"/>
      <w:marRight w:val="0"/>
      <w:marTop w:val="0"/>
      <w:marBottom w:val="0"/>
      <w:divBdr>
        <w:top w:val="none" w:sz="0" w:space="0" w:color="auto"/>
        <w:left w:val="none" w:sz="0" w:space="0" w:color="auto"/>
        <w:bottom w:val="none" w:sz="0" w:space="0" w:color="auto"/>
        <w:right w:val="none" w:sz="0" w:space="0" w:color="auto"/>
      </w:divBdr>
    </w:div>
    <w:div w:id="1820881809">
      <w:bodyDiv w:val="1"/>
      <w:marLeft w:val="0"/>
      <w:marRight w:val="0"/>
      <w:marTop w:val="0"/>
      <w:marBottom w:val="0"/>
      <w:divBdr>
        <w:top w:val="none" w:sz="0" w:space="0" w:color="auto"/>
        <w:left w:val="none" w:sz="0" w:space="0" w:color="auto"/>
        <w:bottom w:val="none" w:sz="0" w:space="0" w:color="auto"/>
        <w:right w:val="none" w:sz="0" w:space="0" w:color="auto"/>
      </w:divBdr>
    </w:div>
    <w:div w:id="1963029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ndiankanoon.org/doc/1031794/" TargetMode="External"/><Relationship Id="rId13" Type="http://schemas.openxmlformats.org/officeDocument/2006/relationships/hyperlink" Target="https://www.who.int/health-topics/gender" TargetMode="External"/><Relationship Id="rId18" Type="http://schemas.openxmlformats.org/officeDocument/2006/relationships/hyperlink" Target="https://www.oecd.org/gender/"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hyperlink" Target="https://www.who.int/health-topics/gender" TargetMode="External"/><Relationship Id="rId17" Type="http://schemas.openxmlformats.org/officeDocument/2006/relationships/hyperlink" Target="https://www.un.org/womenwatch/daw/cedaw/" TargetMode="External"/><Relationship Id="rId2" Type="http://schemas.openxmlformats.org/officeDocument/2006/relationships/styles" Target="styles.xml"/><Relationship Id="rId16" Type="http://schemas.openxmlformats.org/officeDocument/2006/relationships/hyperlink" Target="https://www.un.org/womenwatch/daw/cedaw/"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dgs.un.org/goals/goal5" TargetMode="External"/><Relationship Id="rId5" Type="http://schemas.openxmlformats.org/officeDocument/2006/relationships/footnotes" Target="footnotes.xml"/><Relationship Id="rId15" Type="http://schemas.openxmlformats.org/officeDocument/2006/relationships/hyperlink" Target="https://www.worldbank.org/en/topic/gender/overview" TargetMode="External"/><Relationship Id="rId23" Type="http://schemas.openxmlformats.org/officeDocument/2006/relationships/theme" Target="theme/theme1.xml"/><Relationship Id="rId10" Type="http://schemas.openxmlformats.org/officeDocument/2006/relationships/hyperlink" Target="https://sdgs.un.org/goals/goal5" TargetMode="External"/><Relationship Id="rId19" Type="http://schemas.openxmlformats.org/officeDocument/2006/relationships/hyperlink" Target="https://wcd.nic.in/sites/default/files/Handbook%20on%20Sexual%20Harassment%20of%20Women%20at%20Workplace.pdf" TargetMode="External"/><Relationship Id="rId4" Type="http://schemas.openxmlformats.org/officeDocument/2006/relationships/webSettings" Target="webSettings.xml"/><Relationship Id="rId9" Type="http://schemas.openxmlformats.org/officeDocument/2006/relationships/hyperlink" Target="https://www.unwomen.org/en/what-we-do/gender-equality" TargetMode="External"/><Relationship Id="rId14" Type="http://schemas.openxmlformats.org/officeDocument/2006/relationships/hyperlink" Target="https://www.worldbank.org/en/topic/gender/overview"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25</Pages>
  <Words>5912</Words>
  <Characters>33699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Shasmitha Ramkumar</cp:lastModifiedBy>
  <cp:revision>4</cp:revision>
  <dcterms:created xsi:type="dcterms:W3CDTF">2025-04-27T16:16:00Z</dcterms:created>
  <dcterms:modified xsi:type="dcterms:W3CDTF">2025-04-27T16:54:00Z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63d018dc-5f00-4eeb-baf4-69db03dc5284</vt:lpwstr>
  </property>
</Properties>
</file>