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BEE8F3" w14:textId="77777777" w:rsidR="00F773D6" w:rsidRDefault="00800698">
      <w:pPr>
        <w:spacing w:after="110" w:line="240" w:lineRule="auto"/>
        <w:jc w:val="center"/>
      </w:pPr>
      <w:r>
        <w:rPr>
          <w:sz w:val="48"/>
          <w:szCs w:val="48"/>
        </w:rPr>
        <w:t>Emotion-Aware and Explainable AI for Scripture-Grounded Guidance: A Critical Literature Review</w:t>
      </w:r>
    </w:p>
    <w:p w14:paraId="17FB90C4" w14:textId="77777777" w:rsidR="00F773D6" w:rsidRDefault="00800698">
      <w:pPr>
        <w:spacing w:after="0" w:line="240" w:lineRule="auto"/>
        <w:jc w:val="center"/>
      </w:pPr>
      <w:r>
        <w:rPr>
          <w:szCs w:val="22"/>
        </w:rPr>
        <w:t xml:space="preserve">Harikrishna Panchal, Suresh </w:t>
      </w:r>
      <w:proofErr w:type="spellStart"/>
      <w:r>
        <w:rPr>
          <w:szCs w:val="22"/>
        </w:rPr>
        <w:t>Kurmbanshi</w:t>
      </w:r>
      <w:proofErr w:type="spellEnd"/>
    </w:p>
    <w:p w14:paraId="28ED648E" w14:textId="77777777" w:rsidR="00F773D6" w:rsidRDefault="00800698">
      <w:pPr>
        <w:spacing w:after="0" w:line="240" w:lineRule="auto"/>
        <w:jc w:val="center"/>
      </w:pPr>
      <w:r>
        <w:rPr>
          <w:i/>
          <w:iCs/>
          <w:sz w:val="20"/>
        </w:rPr>
        <w:t xml:space="preserve">Department of Computer Engineering, MPSTME, SVKM’s NMIMS University, </w:t>
      </w:r>
      <w:proofErr w:type="spellStart"/>
      <w:r>
        <w:rPr>
          <w:i/>
          <w:iCs/>
          <w:sz w:val="20"/>
        </w:rPr>
        <w:t>Shirpur</w:t>
      </w:r>
      <w:proofErr w:type="spellEnd"/>
      <w:r>
        <w:rPr>
          <w:i/>
          <w:iCs/>
          <w:sz w:val="20"/>
        </w:rPr>
        <w:t xml:space="preserve"> Campus, India</w:t>
      </w:r>
    </w:p>
    <w:p w14:paraId="36375BA7" w14:textId="77777777" w:rsidR="00F773D6" w:rsidRDefault="00800698">
      <w:pPr>
        <w:spacing w:after="60" w:line="240" w:lineRule="auto"/>
        <w:jc w:val="center"/>
      </w:pPr>
      <w:r>
        <w:rPr>
          <w:sz w:val="20"/>
        </w:rPr>
        <w:t>Harikrishna.Panchal505@nmims.in</w:t>
      </w:r>
    </w:p>
    <w:p w14:paraId="04C3D4C3" w14:textId="77777777" w:rsidR="00F773D6" w:rsidRDefault="00800698">
      <w:pPr>
        <w:spacing w:after="0" w:line="240" w:lineRule="auto"/>
        <w:jc w:val="center"/>
      </w:pPr>
      <w:r>
        <w:rPr>
          <w:sz w:val="18"/>
          <w:szCs w:val="18"/>
        </w:rPr>
        <w:t>Suresh.Kurumbanshi@nmims.edu</w:t>
      </w:r>
    </w:p>
    <w:p w14:paraId="67C5EE11" w14:textId="77777777" w:rsidR="00F773D6" w:rsidRDefault="00F773D6">
      <w:pPr>
        <w:sectPr w:rsidR="00F773D6">
          <w:pgSz w:w="12240" w:h="15840"/>
          <w:pgMar w:top="1440" w:right="1080" w:bottom="1080" w:left="1080" w:header="720" w:footer="720" w:gutter="0"/>
          <w:cols w:space="720"/>
        </w:sectPr>
      </w:pPr>
    </w:p>
    <w:p w14:paraId="2F4AE8FB" w14:textId="77777777" w:rsidR="00F773D6" w:rsidRDefault="00800698">
      <w:pPr>
        <w:spacing w:after="120" w:line="240" w:lineRule="auto"/>
        <w:ind w:firstLine="200"/>
        <w:jc w:val="both"/>
      </w:pPr>
      <w:r>
        <w:rPr>
          <w:b/>
          <w:bCs/>
          <w:i/>
          <w:iCs/>
          <w:sz w:val="18"/>
          <w:szCs w:val="18"/>
        </w:rPr>
        <w:t>Abstract—</w:t>
      </w:r>
      <w:r>
        <w:rPr>
          <w:i/>
          <w:iCs/>
          <w:sz w:val="18"/>
          <w:szCs w:val="18"/>
        </w:rPr>
        <w:t xml:space="preserve">User emotion detection, grounded knowledge retrieval, and explanation of the resulting response are often studied as separate problems. This review considers all three within an emotion-aware guidance system based on the Bhagavad Gita and the </w:t>
      </w:r>
      <w:proofErr w:type="spellStart"/>
      <w:r>
        <w:rPr>
          <w:i/>
          <w:iCs/>
          <w:sz w:val="18"/>
          <w:szCs w:val="18"/>
        </w:rPr>
        <w:t>Arthashastra</w:t>
      </w:r>
      <w:proofErr w:type="spellEnd"/>
      <w:r>
        <w:rPr>
          <w:i/>
          <w:iCs/>
          <w:sz w:val="18"/>
          <w:szCs w:val="18"/>
        </w:rPr>
        <w:t xml:space="preserve">, covering 34 sources from 2023 to 2026 across scripture-grounded AI, safety-focused LLM applications, knowledge-graph </w:t>
      </w:r>
      <w:proofErr w:type="spellStart"/>
      <w:r>
        <w:rPr>
          <w:i/>
          <w:iCs/>
          <w:sz w:val="18"/>
          <w:szCs w:val="18"/>
        </w:rPr>
        <w:t>explainability</w:t>
      </w:r>
      <w:proofErr w:type="spellEnd"/>
      <w:r>
        <w:rPr>
          <w:i/>
          <w:iCs/>
          <w:sz w:val="18"/>
          <w:szCs w:val="18"/>
        </w:rPr>
        <w:t>, and critical research on religion-based chatbots. The nearest precedents each cover only part of the task: a Gita retrieval chatbot [5], a Gita-inspired support system [6], a citation-grounded Quran assistant [28], and a graph-enhanced counselling framework [27]. None combines emotion-intensity scoring, dual-scripture retrieval, knowledge-graph explanations, and safety gating in one pipeline. Documented failures, including chatbots that condoned violence [34], and critical work on bias, hallucination, and dependency [29], [30], [31], show this gap is real but narrow, and any system built to fill it must design around these risks.</w:t>
      </w:r>
    </w:p>
    <w:p w14:paraId="67D8A0C0" w14:textId="77777777" w:rsidR="00F773D6" w:rsidRDefault="00800698">
      <w:pPr>
        <w:spacing w:line="240" w:lineRule="auto"/>
        <w:ind w:firstLine="200"/>
        <w:jc w:val="both"/>
      </w:pPr>
      <w:r>
        <w:rPr>
          <w:b/>
          <w:bCs/>
          <w:i/>
          <w:iCs/>
          <w:sz w:val="18"/>
          <w:szCs w:val="18"/>
        </w:rPr>
        <w:t>Keywords—</w:t>
      </w:r>
      <w:r>
        <w:rPr>
          <w:i/>
          <w:iCs/>
          <w:sz w:val="18"/>
          <w:szCs w:val="18"/>
        </w:rPr>
        <w:t>Emotion-Aware AI; Explainable AI; RAG; Knowledge Graphs; Large Language Models.</w:t>
      </w:r>
    </w:p>
    <w:p w14:paraId="7C9BCF19" w14:textId="77777777" w:rsidR="00F773D6" w:rsidRDefault="00800698">
      <w:pPr>
        <w:keepNext/>
        <w:spacing w:before="110" w:after="50" w:line="240" w:lineRule="auto"/>
        <w:jc w:val="center"/>
      </w:pPr>
      <w:r>
        <w:rPr>
          <w:b/>
          <w:bCs/>
          <w:sz w:val="20"/>
        </w:rPr>
        <w:t>I. INTRODUCTION</w:t>
      </w:r>
    </w:p>
    <w:p w14:paraId="0064DAC3" w14:textId="77777777" w:rsidR="00F773D6" w:rsidRDefault="00800698">
      <w:pPr>
        <w:spacing w:after="60" w:line="240" w:lineRule="auto"/>
        <w:ind w:firstLine="200"/>
        <w:jc w:val="both"/>
      </w:pPr>
      <w:r>
        <w:rPr>
          <w:sz w:val="20"/>
        </w:rPr>
        <w:t>Guidance from a religious text, mentor, or counsellor is personal, but it is hard to offer to many people at once. An AI system can respond to large numbers of users, which may help explain the recent interest in AI guidance drawn from texts such as the Bhagavad Gita. The basic idea is simple: wisdom shaped by a particular culture may produce more useful answers than general advice.</w:t>
      </w:r>
    </w:p>
    <w:p w14:paraId="382914E0" w14:textId="77777777" w:rsidR="00F773D6" w:rsidRDefault="00800698">
      <w:pPr>
        <w:spacing w:after="60" w:line="240" w:lineRule="auto"/>
        <w:ind w:firstLine="200"/>
        <w:jc w:val="both"/>
      </w:pPr>
      <w:r>
        <w:rPr>
          <w:sz w:val="20"/>
        </w:rPr>
        <w:t>The harder question is how to build such a system safely. It must read a person’s language, judge their emotional state and intent, find useful material in a large knowledge base, and produce a fitting reply. Every step needs to work well. When something goes wrong, the system also needs to explain its reasoning. This is not a hypothetical risk: in 2023, journalists reported that several Gita-based chatbots gave answers that seemed to support violence when users asked unclear or provocative questions. The systems pointed to the Gita’s battlefield setting as support [34]. A scripture-based system can quote real verses and still produce harmful content. A system combining emotion detection, retrieval, and safety checks exists to catch exactly this kind of failure. Safety therefore has to be part of the design from day one, not bolted on afterward. This review makes three contributions: it tests, rather than assumes, the claimed research gap through a second, bias-checking search; it positions the proposed system precisely against the closest technical and deployed precedents; and it turns the critical literature into explicit design risks the project must address, not background reading.</w:t>
      </w:r>
    </w:p>
    <w:p w14:paraId="1B12AB66" w14:textId="77777777" w:rsidR="00F773D6" w:rsidRDefault="00800698">
      <w:pPr>
        <w:spacing w:after="60" w:line="240" w:lineRule="auto"/>
        <w:ind w:firstLine="200"/>
        <w:jc w:val="both"/>
      </w:pPr>
      <w:r>
        <w:rPr>
          <w:sz w:val="20"/>
        </w:rPr>
        <w:t>This review draws on 34 sources to find the main gaps and useful earlier work. It does more than list the weaknesses of current systems. It looks for two kinds of material: systems most similar to the proposed design, so its novelty can be stated clearly, and critical or opposing studies, so the review does not turn into a defence of the project. Section II describes the review method, including the second search, which was designed to challenge the project. Section III groups the literature by theme. Section IV looks at research methods across the selected studies. Section V states the research gap precisely and sets out the proposed research direction. Section VI reviews its benefits, limits, and possible uses. Section VII gives the conclusions and points to areas for future work.</w:t>
      </w:r>
    </w:p>
    <w:p w14:paraId="364617A3" w14:textId="77777777" w:rsidR="00F773D6" w:rsidRDefault="00800698">
      <w:pPr>
        <w:keepNext/>
        <w:spacing w:before="110" w:after="50" w:line="240" w:lineRule="auto"/>
        <w:jc w:val="center"/>
      </w:pPr>
      <w:r>
        <w:rPr>
          <w:b/>
          <w:bCs/>
          <w:sz w:val="20"/>
        </w:rPr>
        <w:t>II. REVIEW METHODOLOGY</w:t>
      </w:r>
    </w:p>
    <w:p w14:paraId="3A0588CE" w14:textId="77777777" w:rsidR="00F773D6" w:rsidRDefault="00800698">
      <w:pPr>
        <w:keepNext/>
        <w:spacing w:before="80" w:after="40" w:line="240" w:lineRule="auto"/>
      </w:pPr>
      <w:r>
        <w:rPr>
          <w:i/>
          <w:iCs/>
          <w:sz w:val="20"/>
        </w:rPr>
        <w:t>A. Search Strategy</w:t>
      </w:r>
    </w:p>
    <w:p w14:paraId="015E1058" w14:textId="77777777" w:rsidR="00F773D6" w:rsidRDefault="00800698">
      <w:pPr>
        <w:spacing w:after="60" w:line="240" w:lineRule="auto"/>
        <w:ind w:firstLine="200"/>
        <w:jc w:val="both"/>
      </w:pPr>
      <w:r>
        <w:rPr>
          <w:sz w:val="20"/>
        </w:rPr>
        <w:t xml:space="preserve">Papers came from a range of venues, including Artificial Intelligence Review, Frontiers in Psychology, NPJ Mental Health Research, JMIR Mental Health, World Psychiatry, The Lancet Digital Health, Discover Computing, Philosophies, Computers in Biology and Medicine, IJRASET, the ACL Anthology, EACL proceedings, and </w:t>
      </w:r>
      <w:proofErr w:type="spellStart"/>
      <w:r>
        <w:rPr>
          <w:sz w:val="20"/>
        </w:rPr>
        <w:t>arXiv</w:t>
      </w:r>
      <w:proofErr w:type="spellEnd"/>
      <w:r>
        <w:rPr>
          <w:sz w:val="20"/>
        </w:rPr>
        <w:t xml:space="preserve"> preprints from Microsoft Research, Alibaba Group, Ben-Gurion University, and independent groups. The review also included investigative journalism from Scientific American, CBC News, and Rest of World, which records the real-world behaviour of deployed religious chatbots. That was a deliberate choice — peer-reviewed audits of scripture chatbots barely exist, so right now journalism is more or less the only public record of how these systems actually fail once people start using them. Drop it, and the review loses its single most relevant safety precedent [34].</w:t>
      </w:r>
    </w:p>
    <w:p w14:paraId="10A5BAB7" w14:textId="510D44E1" w:rsidR="00F773D6" w:rsidRDefault="00800698">
      <w:pPr>
        <w:spacing w:after="60" w:line="240" w:lineRule="auto"/>
        <w:ind w:firstLine="200"/>
        <w:jc w:val="both"/>
      </w:pPr>
      <w:r>
        <w:rPr>
          <w:sz w:val="20"/>
        </w:rPr>
        <w:t>The first pass used terms like “Bhagavad Gita AI”, “scripture chatbot”, “emotion-aware LLM”, “knowledge graph RAG”, “</w:t>
      </w:r>
      <w:proofErr w:type="spellStart"/>
      <w:r>
        <w:rPr>
          <w:sz w:val="20"/>
        </w:rPr>
        <w:t>GraphRAG</w:t>
      </w:r>
      <w:proofErr w:type="spellEnd"/>
      <w:r>
        <w:rPr>
          <w:sz w:val="20"/>
        </w:rPr>
        <w:t xml:space="preserve">”, and “LLM safety guardrails”. But a search built entirely around a review own claimed gap will tend to find whatever supports that gap, so a second pass </w:t>
      </w:r>
      <w:proofErr w:type="gramStart"/>
      <w:r>
        <w:rPr>
          <w:sz w:val="20"/>
        </w:rPr>
        <w:t>followed  “</w:t>
      </w:r>
      <w:proofErr w:type="gramEnd"/>
      <w:r>
        <w:rPr>
          <w:sz w:val="20"/>
        </w:rPr>
        <w:t>religious chatbot bias”, “AI chatbot dependency”, “scripture-grounded AI risk”, “</w:t>
      </w:r>
      <w:proofErr w:type="spellStart"/>
      <w:r>
        <w:rPr>
          <w:sz w:val="20"/>
        </w:rPr>
        <w:t>GraphRAG</w:t>
      </w:r>
      <w:proofErr w:type="spellEnd"/>
      <w:r>
        <w:rPr>
          <w:sz w:val="20"/>
        </w:rPr>
        <w:t xml:space="preserve"> limitations”  specifically  check</w:t>
      </w:r>
      <w:r w:rsidR="007A0BC2">
        <w:rPr>
          <w:sz w:val="20"/>
        </w:rPr>
        <w:t xml:space="preserve">ing </w:t>
      </w:r>
      <w:r>
        <w:rPr>
          <w:sz w:val="20"/>
        </w:rPr>
        <w:t xml:space="preserve"> whether the gap was real or just an artefact of how the first search was framed. It turned up five sources the first pass had missed: a graph-and-safety counselling framework [27], a citation-grounded Quran assistant [28], a feminist critique of religion-based chatbots [29], work on the psychological harm caused by abrupt AI safety refusals [30], and an empirical study of chatbot dependency risk [31]. None of these were minor additions — </w:t>
      </w:r>
      <w:r>
        <w:rPr>
          <w:sz w:val="20"/>
        </w:rPr>
        <w:lastRenderedPageBreak/>
        <w:t>every one of them forced a rewording of some claim already in the draft.</w:t>
      </w:r>
    </w:p>
    <w:p w14:paraId="40F8C18B" w14:textId="77777777" w:rsidR="00F773D6" w:rsidRDefault="00800698">
      <w:pPr>
        <w:keepNext/>
        <w:spacing w:before="80" w:after="40" w:line="240" w:lineRule="auto"/>
      </w:pPr>
      <w:r>
        <w:rPr>
          <w:i/>
          <w:iCs/>
          <w:sz w:val="20"/>
        </w:rPr>
        <w:t>B. Selection Criteria</w:t>
      </w:r>
    </w:p>
    <w:p w14:paraId="2225C648" w14:textId="436C939D" w:rsidR="00F773D6" w:rsidRDefault="00800698">
      <w:pPr>
        <w:spacing w:after="60" w:line="240" w:lineRule="auto"/>
        <w:ind w:firstLine="200"/>
        <w:jc w:val="both"/>
      </w:pPr>
      <w:r>
        <w:rPr>
          <w:sz w:val="20"/>
        </w:rPr>
        <w:t xml:space="preserve">The window is 2023 to </w:t>
      </w:r>
      <w:proofErr w:type="gramStart"/>
      <w:r>
        <w:rPr>
          <w:sz w:val="20"/>
        </w:rPr>
        <w:t>2026  broad</w:t>
      </w:r>
      <w:proofErr w:type="gramEnd"/>
      <w:r>
        <w:rPr>
          <w:sz w:val="20"/>
        </w:rPr>
        <w:t xml:space="preserve"> enough to be useful, recent enough to matter, given how fast the underlying LLM and retrieval methods keep changing. A handful of 2023 sources stayed in only because nothing newer covers the same ground. In the end, 34 sources made the cut: nine anchor the main comparison in Table I, and the remaining 25 fill in supporting methods, precedent, and critique across the subsections below.</w:t>
      </w:r>
    </w:p>
    <w:p w14:paraId="1E346C9C" w14:textId="77777777" w:rsidR="00F773D6" w:rsidRDefault="00800698">
      <w:pPr>
        <w:keepNext/>
        <w:spacing w:before="80" w:after="40" w:line="240" w:lineRule="auto"/>
      </w:pPr>
      <w:r>
        <w:rPr>
          <w:i/>
          <w:iCs/>
          <w:sz w:val="20"/>
        </w:rPr>
        <w:t>C. Critical Analysis</w:t>
      </w:r>
    </w:p>
    <w:p w14:paraId="5C3755D7" w14:textId="77777777" w:rsidR="00F773D6" w:rsidRDefault="00800698">
      <w:pPr>
        <w:spacing w:after="60" w:line="240" w:lineRule="auto"/>
        <w:ind w:firstLine="200"/>
        <w:jc w:val="both"/>
      </w:pPr>
      <w:r>
        <w:rPr>
          <w:sz w:val="20"/>
        </w:rPr>
        <w:t>Each source in Table I and Section III is read against the same three questions: whether its evidence is self-reported or independently validated, what sample or benchmark it rests on, and whether it describes a working system or only a proposal. Table I's “Reported Evidence Basis” column records the answer for the nine core sources, and the same standard is applied narratively to the remaining twenty-five.</w:t>
      </w:r>
    </w:p>
    <w:p w14:paraId="51E509A6" w14:textId="77777777" w:rsidR="00F773D6" w:rsidRDefault="00800698">
      <w:pPr>
        <w:keepNext/>
        <w:spacing w:before="80" w:after="40" w:line="240" w:lineRule="auto"/>
      </w:pPr>
      <w:r>
        <w:rPr>
          <w:i/>
          <w:iCs/>
          <w:sz w:val="20"/>
        </w:rPr>
        <w:t>D. Limitations</w:t>
      </w:r>
    </w:p>
    <w:p w14:paraId="5AAFF866" w14:textId="3456A22F" w:rsidR="00F773D6" w:rsidRDefault="00800698">
      <w:pPr>
        <w:spacing w:after="60" w:line="240" w:lineRule="auto"/>
        <w:ind w:firstLine="200"/>
        <w:jc w:val="both"/>
      </w:pPr>
      <w:r>
        <w:rPr>
          <w:sz w:val="20"/>
        </w:rPr>
        <w:t xml:space="preserve">None of this makes the review complete. One person picked every source, with no second </w:t>
      </w:r>
      <w:proofErr w:type="spellStart"/>
      <w:r>
        <w:rPr>
          <w:sz w:val="20"/>
        </w:rPr>
        <w:t>rater</w:t>
      </w:r>
      <w:proofErr w:type="spellEnd"/>
      <w:r>
        <w:rPr>
          <w:sz w:val="20"/>
        </w:rPr>
        <w:t xml:space="preserve"> checking the choices. English-only search terms almost certainly leave Hindi- and Sanskrit-language Gita and </w:t>
      </w:r>
      <w:proofErr w:type="spellStart"/>
      <w:r>
        <w:rPr>
          <w:sz w:val="20"/>
        </w:rPr>
        <w:t>Arthashastra</w:t>
      </w:r>
      <w:proofErr w:type="spellEnd"/>
      <w:r>
        <w:rPr>
          <w:sz w:val="20"/>
        </w:rPr>
        <w:t xml:space="preserve"> scholarship underrepresented. And because this field moves so fast, the newest </w:t>
      </w:r>
      <w:proofErr w:type="gramStart"/>
      <w:r>
        <w:rPr>
          <w:sz w:val="20"/>
        </w:rPr>
        <w:t>preprints  especially</w:t>
      </w:r>
      <w:proofErr w:type="gramEnd"/>
      <w:r>
        <w:rPr>
          <w:sz w:val="20"/>
        </w:rPr>
        <w:t xml:space="preserve"> anything posted in the final weeks of writing  are probably underrepresented too.</w:t>
      </w:r>
    </w:p>
    <w:p w14:paraId="2BD94BC1" w14:textId="77777777" w:rsidR="00F773D6" w:rsidRDefault="00800698">
      <w:pPr>
        <w:keepNext/>
        <w:spacing w:before="110" w:after="50" w:line="240" w:lineRule="auto"/>
        <w:jc w:val="center"/>
      </w:pPr>
      <w:r>
        <w:rPr>
          <w:b/>
          <w:bCs/>
          <w:sz w:val="20"/>
        </w:rPr>
        <w:t>III. LITERATURE REVIEW</w:t>
      </w:r>
    </w:p>
    <w:p w14:paraId="4A3BF7C4" w14:textId="77777777" w:rsidR="00F773D6" w:rsidRDefault="00800698">
      <w:pPr>
        <w:keepNext/>
        <w:spacing w:before="80" w:after="40" w:line="240" w:lineRule="auto"/>
      </w:pPr>
      <w:r>
        <w:rPr>
          <w:i/>
          <w:iCs/>
          <w:sz w:val="20"/>
        </w:rPr>
        <w:t>A. Scripture-Grounded AI Approaches</w:t>
      </w:r>
    </w:p>
    <w:p w14:paraId="799CED12" w14:textId="77777777" w:rsidR="00F773D6" w:rsidRDefault="00800698">
      <w:pPr>
        <w:spacing w:after="60" w:line="240" w:lineRule="auto"/>
        <w:ind w:firstLine="200"/>
        <w:jc w:val="both"/>
      </w:pPr>
      <w:r>
        <w:rPr>
          <w:sz w:val="20"/>
        </w:rPr>
        <w:t xml:space="preserve">Three of the academic studies here go further than analysis and actually build AI systems on top of the Gita. The most complete of the three is </w:t>
      </w:r>
      <w:proofErr w:type="spellStart"/>
      <w:r>
        <w:rPr>
          <w:sz w:val="20"/>
        </w:rPr>
        <w:t>Dhokane</w:t>
      </w:r>
      <w:proofErr w:type="spellEnd"/>
      <w:r>
        <w:rPr>
          <w:sz w:val="20"/>
        </w:rPr>
        <w:t xml:space="preserve"> et al.'s [5] full-stack chatbot, which pairs FAISS semantic search with BERT and GPT-2 and reports 91.4% retrieval accuracy. The paper gives no details about the benchmark set, whether the score came from human review or an automated test, or how it compares with a non-hybrid baseline. That figure should therefore be read with caution. It is a self-reported number from the same team that built the system, and no one outside that team has checked it. The system also lacks emotion detection, intent modelling, a safety layer, and any coverage of the </w:t>
      </w:r>
      <w:proofErr w:type="spellStart"/>
      <w:r>
        <w:rPr>
          <w:sz w:val="20"/>
        </w:rPr>
        <w:t>Arthashastra</w:t>
      </w:r>
      <w:proofErr w:type="spellEnd"/>
      <w:r>
        <w:rPr>
          <w:sz w:val="20"/>
        </w:rPr>
        <w:t>. Chandra et al. [9], in Discover Computing, take a linguistic approach. They apply multilingual NLP to the Gita and examine how meaning changes between translations. That is useful groundwork, but it is not something a user could actually talk to.</w:t>
      </w:r>
    </w:p>
    <w:p w14:paraId="143FC7B3" w14:textId="1A7421C9" w:rsidR="00F773D6" w:rsidRDefault="00800698">
      <w:pPr>
        <w:spacing w:after="60" w:line="240" w:lineRule="auto"/>
        <w:ind w:firstLine="200"/>
        <w:jc w:val="both"/>
      </w:pPr>
      <w:proofErr w:type="spellStart"/>
      <w:r>
        <w:rPr>
          <w:sz w:val="20"/>
        </w:rPr>
        <w:t>Gannamraju</w:t>
      </w:r>
      <w:proofErr w:type="spellEnd"/>
      <w:r>
        <w:rPr>
          <w:sz w:val="20"/>
        </w:rPr>
        <w:t xml:space="preserve"> and </w:t>
      </w:r>
      <w:proofErr w:type="spellStart"/>
      <w:r>
        <w:rPr>
          <w:sz w:val="20"/>
        </w:rPr>
        <w:t>Chembrolu</w:t>
      </w:r>
      <w:proofErr w:type="spellEnd"/>
      <w:r>
        <w:rPr>
          <w:sz w:val="20"/>
        </w:rPr>
        <w:t xml:space="preserve"> [4] come at similar questions from psychology instead of engineering, proposing a Spiritual Emotional Intelligence model grounded in the Gita and testing it through qualitative interviews rather than code. With such a small, qualitative sample, this reads more as a conceptual contribution than a tested system. Nandan and colleagues [10] run topic modelling and sentence embeddings across the Gita, the Bible, and the Quran </w:t>
      </w:r>
      <w:proofErr w:type="gramStart"/>
      <w:r>
        <w:rPr>
          <w:sz w:val="20"/>
        </w:rPr>
        <w:t>together  one</w:t>
      </w:r>
      <w:proofErr w:type="gramEnd"/>
      <w:r>
        <w:rPr>
          <w:sz w:val="20"/>
        </w:rPr>
        <w:t xml:space="preserve"> of the only papers here that puts the Gita inside </w:t>
      </w:r>
      <w:r>
        <w:rPr>
          <w:sz w:val="20"/>
        </w:rPr>
        <w:t>a broader comparative study of religious NLP rather than treating it in isolation.</w:t>
      </w:r>
    </w:p>
    <w:p w14:paraId="6DDCD0C0" w14:textId="0F6E6DBA" w:rsidR="00F773D6" w:rsidRDefault="00800698">
      <w:pPr>
        <w:spacing w:after="60" w:line="240" w:lineRule="auto"/>
        <w:ind w:firstLine="200"/>
        <w:jc w:val="both"/>
      </w:pPr>
      <w:r>
        <w:rPr>
          <w:sz w:val="20"/>
        </w:rPr>
        <w:t xml:space="preserve">Two deployed products outside academic research matter here too, and an earlier draft of this review left both out. One is Quran Chat [28], which pulls from the Quran, tafsir, and authentic Sunnah before it generates an answer, and claims roughly 86% </w:t>
      </w:r>
      <w:proofErr w:type="gramStart"/>
      <w:r>
        <w:rPr>
          <w:sz w:val="20"/>
        </w:rPr>
        <w:t>accuracy  its</w:t>
      </w:r>
      <w:proofErr w:type="gramEnd"/>
      <w:r>
        <w:rPr>
          <w:sz w:val="20"/>
        </w:rPr>
        <w:t xml:space="preserve"> own internal benchmark against other Islamic chatbots. This is a citation-grounded scripture retrieval system already in use, although its benchmark is self-reported and non-adversarial. The system also lacks emotion detection and an explicit safety gate beyond a general disclaimer. Its existence undercuts any claim that citation-grounded scripture retrieval is a new idea. The less studied area is the combination of retrieval with emotion detection and a dual-text structure covering the Gita and </w:t>
      </w:r>
      <w:proofErr w:type="spellStart"/>
      <w:r>
        <w:rPr>
          <w:sz w:val="20"/>
        </w:rPr>
        <w:t>Arthashastra</w:t>
      </w:r>
      <w:proofErr w:type="spellEnd"/>
      <w:r>
        <w:rPr>
          <w:sz w:val="20"/>
        </w:rPr>
        <w:t xml:space="preserve">. On the Gita side, the evidence is worse: CBC News found that several deployed </w:t>
      </w:r>
      <w:proofErr w:type="gramStart"/>
      <w:r>
        <w:rPr>
          <w:sz w:val="20"/>
        </w:rPr>
        <w:t xml:space="preserve">chatbots  </w:t>
      </w:r>
      <w:proofErr w:type="spellStart"/>
      <w:r>
        <w:rPr>
          <w:sz w:val="20"/>
        </w:rPr>
        <w:t>GitaGPT</w:t>
      </w:r>
      <w:proofErr w:type="spellEnd"/>
      <w:proofErr w:type="gramEnd"/>
      <w:r>
        <w:rPr>
          <w:sz w:val="20"/>
        </w:rPr>
        <w:t xml:space="preserve"> and Bhagavad Gita AI among them  kept answering that killing is fine as long as it fulfils someone's dharma. Three of the five bots tested gave this answer to ambiguous moral questions [34]. It is the clearest domain-specific evidence available that a scripture-grounded system without a dedicated safety layer can still produce harmful answers while quoting real verses. It is also the strongest empirical reason, in this whole review, to treat safety gating as mandatory rather than optional in this domain.</w:t>
      </w:r>
    </w:p>
    <w:p w14:paraId="4B4154D4" w14:textId="77777777" w:rsidR="00F773D6" w:rsidRDefault="00800698">
      <w:pPr>
        <w:keepNext/>
        <w:spacing w:before="80" w:after="40" w:line="240" w:lineRule="auto"/>
      </w:pPr>
      <w:r>
        <w:rPr>
          <w:i/>
          <w:iCs/>
          <w:sz w:val="20"/>
        </w:rPr>
        <w:t>B. Emotion-Aware and Safety-Conscious LLM Systems</w:t>
      </w:r>
    </w:p>
    <w:p w14:paraId="24602541" w14:textId="77777777" w:rsidR="00F773D6" w:rsidRDefault="00800698">
      <w:pPr>
        <w:spacing w:after="60" w:line="240" w:lineRule="auto"/>
        <w:ind w:firstLine="200"/>
        <w:jc w:val="both"/>
      </w:pPr>
      <w:r>
        <w:rPr>
          <w:sz w:val="20"/>
        </w:rPr>
        <w:t xml:space="preserve">Stade et al. [1] and Guo et al.'s JMIR systematic review [2] both look at LLMs in mental healthcare, but at a fairly broad level. Stade’s article is a position paper that proposes principles, rather than an empirical study, so its evidence should be treated accordingly. Guo’s team reviewed emotion classification across the field and found that it is only partly addressed. They found virtually no overlap with knowledge-graph methods or scripture grounding. A more recent scoping review, covering work through 2026, reaches a similar conclusion: coverage of LLM mental-health applications keeps growing, but scripture-grounded and knowledge-graph approaches remain absent from it [26]. In a survey of the same area, </w:t>
      </w:r>
      <w:proofErr w:type="spellStart"/>
      <w:r>
        <w:rPr>
          <w:sz w:val="20"/>
        </w:rPr>
        <w:t>Ghorbian</w:t>
      </w:r>
      <w:proofErr w:type="spellEnd"/>
      <w:r>
        <w:rPr>
          <w:sz w:val="20"/>
        </w:rPr>
        <w:t xml:space="preserve"> and </w:t>
      </w:r>
      <w:proofErr w:type="spellStart"/>
      <w:r>
        <w:rPr>
          <w:sz w:val="20"/>
        </w:rPr>
        <w:t>Ghobaei</w:t>
      </w:r>
      <w:proofErr w:type="spellEnd"/>
      <w:r>
        <w:rPr>
          <w:sz w:val="20"/>
        </w:rPr>
        <w:t>-Arani [7] report that LLMs improved early-diagnosis accuracy by about one third across the studies reviewed. That figure pools studies with very different designs, so it cannot be verified from the survey alone.</w:t>
      </w:r>
    </w:p>
    <w:p w14:paraId="1781F918" w14:textId="77777777" w:rsidR="00F773D6" w:rsidRDefault="00800698">
      <w:pPr>
        <w:spacing w:after="60" w:line="240" w:lineRule="auto"/>
        <w:ind w:firstLine="200"/>
        <w:jc w:val="both"/>
      </w:pPr>
      <w:r>
        <w:rPr>
          <w:sz w:val="20"/>
        </w:rPr>
        <w:t xml:space="preserve">Of everyone reviewed here, </w:t>
      </w:r>
      <w:proofErr w:type="spellStart"/>
      <w:r>
        <w:rPr>
          <w:sz w:val="20"/>
        </w:rPr>
        <w:t>Kapuriya</w:t>
      </w:r>
      <w:proofErr w:type="spellEnd"/>
      <w:r>
        <w:rPr>
          <w:sz w:val="20"/>
        </w:rPr>
        <w:t xml:space="preserve"> et al. [6] come closest to this project's aim. Their system is a Gita-inspired LLM designed for emotional-support dialogue. It includes emotion grounding but lacks a knowledge graph, cross-turn memory, </w:t>
      </w:r>
      <w:proofErr w:type="spellStart"/>
      <w:r>
        <w:rPr>
          <w:sz w:val="20"/>
        </w:rPr>
        <w:t>explainability</w:t>
      </w:r>
      <w:proofErr w:type="spellEnd"/>
      <w:r>
        <w:rPr>
          <w:sz w:val="20"/>
        </w:rPr>
        <w:t>, and a safety filter. Two reviews published in 2025 reach a similar conclusion from different perspectives. Hua et al.’s scoping review of generative tasks in mental health [19], and their companion review of chatbots from rule-based systems to LLMs [20], both find inconsistent evaluation standards across the field. Safety is also commonly added after development rather than built into the system.</w:t>
      </w:r>
    </w:p>
    <w:p w14:paraId="703DD652" w14:textId="77777777" w:rsidR="00F773D6" w:rsidRDefault="00800698">
      <w:pPr>
        <w:spacing w:after="60" w:line="240" w:lineRule="auto"/>
        <w:ind w:firstLine="200"/>
        <w:jc w:val="both"/>
      </w:pPr>
      <w:r>
        <w:rPr>
          <w:sz w:val="20"/>
        </w:rPr>
        <w:t xml:space="preserve">An earlier version of this review missed SAGE [27] entirely, a 2026 framework built for online mental-health </w:t>
      </w:r>
      <w:r>
        <w:rPr>
          <w:sz w:val="20"/>
        </w:rPr>
        <w:lastRenderedPageBreak/>
        <w:t>counselling. SAGE builds a heterogeneous knowledge graph that links conversational dynamics with clinically grounded crisis-risk indicators. It then combines a Next Strategy Classifier with graph-derived soft prompts to guide the LLM towards theory-consistent, safety-aware responses. Expert human evaluation has already tested this knowledge-graph and safety combination. SAGE is not scripture-grounded or dual-text, and it has no explicit emotion-intensity score. The review therefore cannot claim that no system combines a knowledge graph with safety-aware reasoning. The more accurate claim is that no reviewed system applies this combination to scripture-grounded, dual-text guidance.</w:t>
      </w:r>
    </w:p>
    <w:p w14:paraId="0F54085F" w14:textId="77777777" w:rsidR="00F773D6" w:rsidRDefault="00800698">
      <w:pPr>
        <w:keepNext/>
        <w:spacing w:before="80" w:after="40" w:line="240" w:lineRule="auto"/>
      </w:pPr>
      <w:r>
        <w:rPr>
          <w:i/>
          <w:iCs/>
          <w:sz w:val="20"/>
        </w:rPr>
        <w:t>C. Knowledge Graphs and Retrieval-Augmented Methods</w:t>
      </w:r>
    </w:p>
    <w:p w14:paraId="25D1CC4D" w14:textId="77777777" w:rsidR="00F773D6" w:rsidRDefault="00800698">
      <w:pPr>
        <w:spacing w:after="60" w:line="240" w:lineRule="auto"/>
        <w:ind w:firstLine="200"/>
        <w:jc w:val="both"/>
      </w:pPr>
      <w:proofErr w:type="spellStart"/>
      <w:r>
        <w:rPr>
          <w:sz w:val="20"/>
        </w:rPr>
        <w:t>GraphRAG</w:t>
      </w:r>
      <w:proofErr w:type="spellEnd"/>
      <w:r>
        <w:rPr>
          <w:sz w:val="20"/>
        </w:rPr>
        <w:t xml:space="preserve"> [3] is probably the most influential method here, and it comes out of Microsoft Research. Rather than relying on basic vector similarity, it builds a knowledge graph out of the source corpus and produces community-level summaries. That lets it answer broad, corpus-spanning questions that plain vector retrieval tends to miss. Pan et al. [11] put the wider relationship simply: LLMs and knowledge graphs complement each other, since one gives fluent language and the other gives factual grounding.</w:t>
      </w:r>
    </w:p>
    <w:p w14:paraId="7C976AC1" w14:textId="1251D705" w:rsidR="00F773D6" w:rsidRDefault="00800698">
      <w:pPr>
        <w:spacing w:after="60" w:line="240" w:lineRule="auto"/>
        <w:ind w:firstLine="200"/>
        <w:jc w:val="both"/>
      </w:pPr>
      <w:proofErr w:type="spellStart"/>
      <w:r>
        <w:rPr>
          <w:sz w:val="20"/>
        </w:rPr>
        <w:t>GraphRAG</w:t>
      </w:r>
      <w:proofErr w:type="spellEnd"/>
      <w:r>
        <w:rPr>
          <w:sz w:val="20"/>
        </w:rPr>
        <w:t xml:space="preserve"> is not free, though. Zhang et al. [32], who propose an alternative entity-event graph design, flag three practical problems that later studies keep running into. First, extracting entities and relations in multiple stages, then generating community summaries on top, makes </w:t>
      </w:r>
      <w:proofErr w:type="spellStart"/>
      <w:r>
        <w:rPr>
          <w:sz w:val="20"/>
        </w:rPr>
        <w:t>preprocessing</w:t>
      </w:r>
      <w:proofErr w:type="spellEnd"/>
      <w:r>
        <w:rPr>
          <w:sz w:val="20"/>
        </w:rPr>
        <w:t xml:space="preserve"> expensive in both tokens and compute. Second, at inference time, graph traversal and summarisation push end-to-end latency up by roughly two to three times compared with vector-only retrieval. Third, the graph index grows faster than the corpus it indexes, which makes incremental updates harder to manage. The authors also point out that most KG-RAG systems collapse every mention of an entity down to one fixed node. That strips out the shifting narrative context a text like the Gita actually needs, where the same people and duties mean different things in different chapters. For a scripture-grounded system working across both texts, these are not side </w:t>
      </w:r>
      <w:proofErr w:type="gramStart"/>
      <w:r>
        <w:rPr>
          <w:sz w:val="20"/>
        </w:rPr>
        <w:t>issues  they</w:t>
      </w:r>
      <w:proofErr w:type="gramEnd"/>
      <w:r>
        <w:rPr>
          <w:sz w:val="20"/>
        </w:rPr>
        <w:t xml:space="preserve"> are central engineering concerns.</w:t>
      </w:r>
    </w:p>
    <w:p w14:paraId="57E76493" w14:textId="77777777" w:rsidR="00F773D6" w:rsidRDefault="00800698">
      <w:pPr>
        <w:spacing w:after="60" w:line="240" w:lineRule="auto"/>
        <w:ind w:firstLine="200"/>
        <w:jc w:val="both"/>
      </w:pPr>
      <w:r>
        <w:rPr>
          <w:sz w:val="20"/>
        </w:rPr>
        <w:t xml:space="preserve">A few 2024–2025 papers try to pin down how much practical value combining KGs with LLMs actually delivers. Rajabi and </w:t>
      </w:r>
      <w:proofErr w:type="spellStart"/>
      <w:r>
        <w:rPr>
          <w:sz w:val="20"/>
        </w:rPr>
        <w:t>Etminani</w:t>
      </w:r>
      <w:proofErr w:type="spellEnd"/>
      <w:r>
        <w:rPr>
          <w:sz w:val="20"/>
        </w:rPr>
        <w:t xml:space="preserve"> [12] survey knowledge graphs inside explainable-AI pipelines specifically; Ibrahim et al. [13] cast a wider net over KG-LLM enhancement, evaluation measures and benchmarks included; and Dehal, Sharma, and Rajabi [15] go the furthest, systematically working through 77 studies on how LLMs and graphs shape one another. Across the systems they examined, </w:t>
      </w:r>
      <w:proofErr w:type="spellStart"/>
      <w:r>
        <w:rPr>
          <w:sz w:val="20"/>
        </w:rPr>
        <w:t>explainability</w:t>
      </w:r>
      <w:proofErr w:type="spellEnd"/>
      <w:r>
        <w:rPr>
          <w:sz w:val="20"/>
        </w:rPr>
        <w:t xml:space="preserve"> came out as the weakest area by far. None of them touch scripture guidance directly, but between them, and with their own stated limits in mind, they support a hybrid vector-and-graph design as a reasonable, evidence-based choice rather than a proven one.</w:t>
      </w:r>
    </w:p>
    <w:p w14:paraId="630A3BFC" w14:textId="77777777" w:rsidR="00F773D6" w:rsidRDefault="00800698">
      <w:pPr>
        <w:keepNext/>
        <w:spacing w:before="80" w:after="40" w:line="240" w:lineRule="auto"/>
      </w:pPr>
      <w:r>
        <w:rPr>
          <w:i/>
          <w:iCs/>
          <w:sz w:val="20"/>
        </w:rPr>
        <w:t>D. AI Safety and Guardrails</w:t>
      </w:r>
    </w:p>
    <w:p w14:paraId="1AAC118F" w14:textId="77777777" w:rsidR="00F773D6" w:rsidRDefault="00800698">
      <w:pPr>
        <w:spacing w:after="60" w:line="240" w:lineRule="auto"/>
        <w:ind w:firstLine="200"/>
        <w:jc w:val="both"/>
      </w:pPr>
      <w:r>
        <w:rPr>
          <w:sz w:val="20"/>
        </w:rPr>
        <w:t xml:space="preserve">Safety research did not sit still over this period, either. Riedemann, Labonne, and Gilbert [8] push for open, </w:t>
      </w:r>
      <w:r>
        <w:rPr>
          <w:sz w:val="20"/>
        </w:rPr>
        <w:t>reproducible safety testing instead of closed benchmarks; Asgari et al. [16] built a framework just for measuring hallucination and clinical-safety risk in LLM medical summaries; and Teferra et al. [23], somewhat unusually, used irritability measures to test how guardrails hold up once a model is under pressure.</w:t>
      </w:r>
    </w:p>
    <w:p w14:paraId="562A5AB6" w14:textId="7440CBBF" w:rsidR="00F773D6" w:rsidRDefault="00800698">
      <w:pPr>
        <w:spacing w:after="60" w:line="240" w:lineRule="auto"/>
        <w:ind w:firstLine="200"/>
        <w:jc w:val="both"/>
      </w:pPr>
      <w:r>
        <w:rPr>
          <w:sz w:val="20"/>
        </w:rPr>
        <w:t xml:space="preserve">Two 2026 preprints are worth flagging here, though neither has been through peer review yet. Weber et al. [24] tested an LLM-based crisis-risk detector against transcripts that clinicians had annotated by hand. Bentley et al. [25] put out VERA-MH, an open evaluation suite built for AI safety in mental-health settings. Tan and Leo [17] asked a sharper question: can LLM guardrails hold up against younger users trying to manipulate retail chatbots? Their answer, broadly, was </w:t>
      </w:r>
      <w:proofErr w:type="gramStart"/>
      <w:r>
        <w:rPr>
          <w:sz w:val="20"/>
        </w:rPr>
        <w:t>no  these</w:t>
      </w:r>
      <w:proofErr w:type="gramEnd"/>
      <w:r>
        <w:rPr>
          <w:sz w:val="20"/>
        </w:rPr>
        <w:t xml:space="preserve"> controls are less reliable than vendors say they are.</w:t>
      </w:r>
    </w:p>
    <w:p w14:paraId="31E6E810" w14:textId="36E88C0E" w:rsidR="00F773D6" w:rsidRDefault="00800698">
      <w:pPr>
        <w:spacing w:after="60" w:line="240" w:lineRule="auto"/>
        <w:ind w:firstLine="200"/>
        <w:jc w:val="both"/>
      </w:pPr>
      <w:r>
        <w:rPr>
          <w:sz w:val="20"/>
        </w:rPr>
        <w:t xml:space="preserve">An earlier draft of this review missed something important: safety gating itself can cause harm. Ni and Yang [30] call this Abrupt Refusal Secondary Harm (ARSH) what happens when a safety protocol cuts off an emotionally charged conversation with no transition at all. A user who has formed a </w:t>
      </w:r>
      <w:proofErr w:type="spellStart"/>
      <w:r>
        <w:rPr>
          <w:sz w:val="20"/>
        </w:rPr>
        <w:t>parasocial</w:t>
      </w:r>
      <w:proofErr w:type="spellEnd"/>
      <w:r>
        <w:rPr>
          <w:sz w:val="20"/>
        </w:rPr>
        <w:t xml:space="preserve"> or attachment-like bond with the system can experience that kind of refusal as outright rejection. That, in turn, can damage trust and make someone less likely to seek help again. Their proposed Compassionate Completion Standard treats a refusal as a staged, relational closing rather than a hard stop. This pushes back on the assumption, made in Section VI, that “safety-first design” is automatically an advantage. A safety gate that is handled badly can itself cause harm, so the goal should be a well-designed handoff, not maximum restriction.</w:t>
      </w:r>
    </w:p>
    <w:p w14:paraId="02616F87" w14:textId="77777777" w:rsidR="00F773D6" w:rsidRDefault="00800698">
      <w:pPr>
        <w:keepNext/>
        <w:spacing w:before="80" w:after="40" w:line="240" w:lineRule="auto"/>
      </w:pPr>
      <w:r>
        <w:rPr>
          <w:i/>
          <w:iCs/>
          <w:sz w:val="20"/>
        </w:rPr>
        <w:t>E. Critical and Dissenting Perspectives</w:t>
      </w:r>
    </w:p>
    <w:p w14:paraId="6F004CFB" w14:textId="77777777" w:rsidR="00F773D6" w:rsidRDefault="00800698">
      <w:pPr>
        <w:spacing w:after="60" w:line="240" w:lineRule="auto"/>
        <w:ind w:firstLine="200"/>
        <w:jc w:val="both"/>
      </w:pPr>
      <w:r>
        <w:rPr>
          <w:sz w:val="20"/>
        </w:rPr>
        <w:t>This subsection turns to literature that pushes back on, or complicates, the case for scripture-grounded emotionally responsive AI, rather than studies that support it. Biana [29], writing in Philosophies, reviews deployed religious chatbots based on the Quran, Bible, Torah, and Bhagavad Gita. The study finds that, without deliberate correction, these systems provide inaccurate answers and spread simplified, bias-laden versions of the religions they present. This includes gender bias, particularly in responses to questions about women. That criticism lands on the type of system this project is building, not just on the earlier systems it reviews.</w:t>
      </w:r>
    </w:p>
    <w:p w14:paraId="79962933" w14:textId="28F84421" w:rsidR="00F773D6" w:rsidRDefault="00800698">
      <w:pPr>
        <w:spacing w:after="60" w:line="240" w:lineRule="auto"/>
        <w:ind w:firstLine="200"/>
        <w:jc w:val="both"/>
      </w:pPr>
      <w:r>
        <w:rPr>
          <w:sz w:val="20"/>
        </w:rPr>
        <w:t xml:space="preserve">Wright [33], writing for Scientific American, goes straight to theologians and AI researchers who doubt the whole premise. The theologian Noreen Herzfeld puts it bluntly: scripture chatbots “carry some of the same defects that all large language models have”, hallucination above all, so a user can easily mistake something invented for actual scripture. The anthropologist Beth Singler calls these systems “a correlation </w:t>
      </w:r>
      <w:proofErr w:type="gramStart"/>
      <w:r>
        <w:rPr>
          <w:sz w:val="20"/>
        </w:rPr>
        <w:t>machine”  they</w:t>
      </w:r>
      <w:proofErr w:type="gramEnd"/>
      <w:r>
        <w:rPr>
          <w:sz w:val="20"/>
        </w:rPr>
        <w:t xml:space="preserve"> remix text by statistical likelihood, not by understanding doctrine and her advice is to treat their output with real interpretive suspicion. Alongside CBC reporting on </w:t>
      </w:r>
      <w:proofErr w:type="spellStart"/>
      <w:r>
        <w:rPr>
          <w:sz w:val="20"/>
        </w:rPr>
        <w:t>GitaGPT</w:t>
      </w:r>
      <w:proofErr w:type="spellEnd"/>
      <w:r>
        <w:rPr>
          <w:sz w:val="20"/>
        </w:rPr>
        <w:t>-family chatbots that condoned violence [34], discussed in Section III-A, these sources make clear that the risks of this kind of system are documented, not speculative.</w:t>
      </w:r>
    </w:p>
    <w:p w14:paraId="10B78F94" w14:textId="77777777" w:rsidR="00F773D6" w:rsidRDefault="00800698">
      <w:pPr>
        <w:spacing w:after="60" w:line="240" w:lineRule="auto"/>
        <w:ind w:firstLine="200"/>
        <w:jc w:val="both"/>
      </w:pPr>
      <w:r>
        <w:rPr>
          <w:sz w:val="20"/>
        </w:rPr>
        <w:lastRenderedPageBreak/>
        <w:t xml:space="preserve">Zhu, Coifman, and </w:t>
      </w:r>
      <w:proofErr w:type="spellStart"/>
      <w:r>
        <w:rPr>
          <w:sz w:val="20"/>
        </w:rPr>
        <w:t>Jin</w:t>
      </w:r>
      <w:proofErr w:type="spellEnd"/>
      <w:r>
        <w:rPr>
          <w:sz w:val="20"/>
        </w:rPr>
        <w:t xml:space="preserve"> [31] offer empirical evidence for a related concern. Their large-scale thematic analysis of Reddit communities focused on AI-related harm identifies difficulties with self-regulation and emotional dependency as the most common psychological risks reported by users of emotionally responsive chatbots. A system designed to answer emotional distress with warm, scripture-grounded language falls within the group of systems examined in their study. Their findings support including dependency and over-reliance in the project’s future evaluation plan, alongside retrieval accuracy and safety-gate precision.</w:t>
      </w:r>
    </w:p>
    <w:p w14:paraId="6D0BD297" w14:textId="77777777" w:rsidR="00F773D6" w:rsidRDefault="00800698">
      <w:pPr>
        <w:keepNext/>
        <w:spacing w:before="80" w:after="40" w:line="240" w:lineRule="auto"/>
      </w:pPr>
      <w:r>
        <w:rPr>
          <w:i/>
          <w:iCs/>
          <w:sz w:val="20"/>
        </w:rPr>
        <w:t>F. Broader Emotion-Aware and Comparative Religious Research</w:t>
      </w:r>
    </w:p>
    <w:p w14:paraId="799AE30A" w14:textId="77777777" w:rsidR="00F773D6" w:rsidRDefault="00800698">
      <w:pPr>
        <w:spacing w:after="60" w:line="240" w:lineRule="auto"/>
        <w:ind w:firstLine="200"/>
        <w:jc w:val="both"/>
      </w:pPr>
      <w:r>
        <w:rPr>
          <w:sz w:val="20"/>
        </w:rPr>
        <w:t>Several sources add to the discussion without fitting neatly into the categories above. Dong et al. [18] examined whether GPT-4 could offer emotional support that an ML-based assessment framework judged to be at a human level. That is a useful data point on what a general-purpose LLM can do without any task-specific tuning. Malgaroli et al. [21] proposed a framework for turning LLM capacity into mental-health care provision. It is focused on deployment rather than system design, but the project should still take it into account when planning a rollout.</w:t>
      </w:r>
    </w:p>
    <w:p w14:paraId="4604DDF5" w14:textId="77777777" w:rsidR="00F773D6" w:rsidRDefault="00800698">
      <w:pPr>
        <w:spacing w:after="60" w:line="240" w:lineRule="auto"/>
        <w:ind w:firstLine="200"/>
        <w:jc w:val="both"/>
      </w:pPr>
      <w:r>
        <w:rPr>
          <w:sz w:val="20"/>
        </w:rPr>
        <w:t>Regarding religious texts, Putrawan [14] and Papakostas [22] examine AI’s effects on theology and religious practice rather than on a particular chatbot. Putrawan presents an interdisciplinary literature review, while Papakostas focuses on religious education. Neither of these two studies is technical. Alongside Biana [29] and Wright [33], though, they make the point that using AI to interpret sacred texts raises questions of authority and sensitivity an engineering-focused review could easily miss.</w:t>
      </w:r>
    </w:p>
    <w:p w14:paraId="43C3EC6D" w14:textId="77777777" w:rsidR="00F773D6" w:rsidRDefault="00800698">
      <w:pPr>
        <w:keepNext/>
        <w:spacing w:before="80" w:after="40" w:line="240" w:lineRule="auto"/>
      </w:pPr>
      <w:r>
        <w:rPr>
          <w:i/>
          <w:iCs/>
          <w:sz w:val="20"/>
        </w:rPr>
        <w:t>G. Literature Review Summary</w:t>
      </w:r>
    </w:p>
    <w:p w14:paraId="4E51E511" w14:textId="77777777" w:rsidR="00F773D6" w:rsidRDefault="00800698">
      <w:pPr>
        <w:spacing w:after="60" w:line="240" w:lineRule="auto"/>
        <w:ind w:firstLine="200"/>
        <w:jc w:val="both"/>
      </w:pPr>
      <w:r>
        <w:rPr>
          <w:sz w:val="20"/>
        </w:rPr>
        <w:t xml:space="preserve">Taken as a whole, the nine core papers and the twenty-five supporting and critical studies point to something more precise than a simple feature checklist. </w:t>
      </w:r>
      <w:proofErr w:type="spellStart"/>
      <w:r>
        <w:rPr>
          <w:sz w:val="20"/>
        </w:rPr>
        <w:t>Dhokane</w:t>
      </w:r>
      <w:proofErr w:type="spellEnd"/>
      <w:r>
        <w:rPr>
          <w:sz w:val="20"/>
        </w:rPr>
        <w:t xml:space="preserve"> et al. [5] show that accurate Gita retrieval is possible, based on their own reported measure. </w:t>
      </w:r>
      <w:proofErr w:type="spellStart"/>
      <w:r>
        <w:rPr>
          <w:sz w:val="20"/>
        </w:rPr>
        <w:t>GraphRAG</w:t>
      </w:r>
      <w:proofErr w:type="spellEnd"/>
      <w:r>
        <w:rPr>
          <w:sz w:val="20"/>
        </w:rPr>
        <w:t xml:space="preserve"> and research on knowledge graphs with large language models from 2024–2025 show that graph-based reasoning can work in general, although it carries a documented computational cost [3], [11]</w:t>
      </w:r>
      <w:proofErr w:type="gramStart"/>
      <w:r>
        <w:rPr>
          <w:sz w:val="20"/>
        </w:rPr>
        <w:t>–[</w:t>
      </w:r>
      <w:proofErr w:type="gramEnd"/>
      <w:r>
        <w:rPr>
          <w:sz w:val="20"/>
        </w:rPr>
        <w:t xml:space="preserve">13], [15], [32]. SAGE [27] combines a knowledge graph with crisis-aware safety reasoning, but applies this to general counselling rather than scripture. Quran Chat [28] provides deployed, citation-grounded scripture retrieval, though it covers the Quran rather than the Gita and </w:t>
      </w:r>
      <w:proofErr w:type="spellStart"/>
      <w:r>
        <w:rPr>
          <w:sz w:val="20"/>
        </w:rPr>
        <w:t>Arthashastra</w:t>
      </w:r>
      <w:proofErr w:type="spellEnd"/>
      <w:r>
        <w:rPr>
          <w:sz w:val="20"/>
        </w:rPr>
        <w:t xml:space="preserve"> together. Safety and mental-health evaluation </w:t>
      </w:r>
      <w:proofErr w:type="gramStart"/>
      <w:r>
        <w:rPr>
          <w:sz w:val="20"/>
        </w:rPr>
        <w:t>remains</w:t>
      </w:r>
      <w:proofErr w:type="gramEnd"/>
      <w:r>
        <w:rPr>
          <w:sz w:val="20"/>
        </w:rPr>
        <w:t xml:space="preserve"> an active field, with recent work also examining the cost of safety measures themselves [30]. Critical studies [29], [31], [33], [34] show that scripture-grounded and emotionally responsive AI can cause real harm when these safeguards are absent. The reviewed literature still lacks a system that brings together emotion-intensity scoring, structured retrieval across two scriptures, </w:t>
      </w:r>
      <w:proofErr w:type="spellStart"/>
      <w:r>
        <w:rPr>
          <w:sz w:val="20"/>
        </w:rPr>
        <w:t>explainability</w:t>
      </w:r>
      <w:proofErr w:type="spellEnd"/>
      <w:r>
        <w:rPr>
          <w:sz w:val="20"/>
        </w:rPr>
        <w:t xml:space="preserve"> through a knowledge graph, and a safety gate that accounts for relational context. That is a narrower, more honest gap than simply claiming none of these elements has ever been </w:t>
      </w:r>
      <w:r>
        <w:rPr>
          <w:sz w:val="20"/>
        </w:rPr>
        <w:t>combined. The critical literature is also a reminder that this gap needs to be closed carefully, not quickly.</w:t>
      </w:r>
    </w:p>
    <w:p w14:paraId="36CDA45A" w14:textId="77777777" w:rsidR="00F773D6" w:rsidRDefault="00800698">
      <w:pPr>
        <w:keepNext/>
        <w:spacing w:before="80" w:after="40" w:line="240" w:lineRule="auto"/>
      </w:pPr>
      <w:r>
        <w:rPr>
          <w:i/>
          <w:iCs/>
          <w:sz w:val="20"/>
        </w:rPr>
        <w:t>TABLE I</w:t>
      </w:r>
    </w:p>
    <w:p w14:paraId="0A26EF1C" w14:textId="77777777" w:rsidR="00F773D6" w:rsidRDefault="00800698">
      <w:pPr>
        <w:spacing w:after="100" w:line="240" w:lineRule="auto"/>
        <w:jc w:val="center"/>
      </w:pPr>
      <w:r>
        <w:rPr>
          <w:b/>
          <w:bCs/>
          <w:sz w:val="20"/>
        </w:rPr>
        <w:t>Comparative Analysis of Core and Closest-Precedent Literature</w:t>
      </w:r>
    </w:p>
    <w:tbl>
      <w:tblPr>
        <w:tblStyle w:val="TableGrid"/>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8"/>
        <w:gridCol w:w="777"/>
        <w:gridCol w:w="1310"/>
        <w:gridCol w:w="1243"/>
        <w:gridCol w:w="964"/>
      </w:tblGrid>
      <w:tr w:rsidR="00F773D6" w14:paraId="0F9752D0" w14:textId="77777777">
        <w:trPr>
          <w:cantSplit/>
        </w:trPr>
        <w:tc>
          <w:tcPr>
            <w:tcW w:w="800" w:type="dxa"/>
          </w:tcPr>
          <w:p w14:paraId="12AFB38E" w14:textId="77777777" w:rsidR="00F773D6" w:rsidRDefault="00800698">
            <w:pPr>
              <w:spacing w:after="0" w:line="216" w:lineRule="auto"/>
            </w:pPr>
            <w:r>
              <w:rPr>
                <w:b/>
                <w:bCs/>
                <w:sz w:val="15"/>
                <w:szCs w:val="15"/>
              </w:rPr>
              <w:t>Authors</w:t>
            </w:r>
          </w:p>
        </w:tc>
        <w:tc>
          <w:tcPr>
            <w:tcW w:w="760" w:type="dxa"/>
          </w:tcPr>
          <w:p w14:paraId="798812C4" w14:textId="77777777" w:rsidR="00F773D6" w:rsidRDefault="00800698">
            <w:pPr>
              <w:spacing w:after="0" w:line="216" w:lineRule="auto"/>
            </w:pPr>
            <w:r>
              <w:rPr>
                <w:b/>
                <w:bCs/>
                <w:sz w:val="15"/>
                <w:szCs w:val="15"/>
              </w:rPr>
              <w:t>Year / Venue</w:t>
            </w:r>
          </w:p>
        </w:tc>
        <w:tc>
          <w:tcPr>
            <w:tcW w:w="760" w:type="dxa"/>
          </w:tcPr>
          <w:p w14:paraId="7444F4A4" w14:textId="77777777" w:rsidR="00F773D6" w:rsidRDefault="00800698">
            <w:pPr>
              <w:spacing w:after="0" w:line="216" w:lineRule="auto"/>
            </w:pPr>
            <w:r>
              <w:rPr>
                <w:b/>
                <w:bCs/>
                <w:sz w:val="15"/>
                <w:szCs w:val="15"/>
              </w:rPr>
              <w:t>Method</w:t>
            </w:r>
          </w:p>
        </w:tc>
        <w:tc>
          <w:tcPr>
            <w:tcW w:w="1330" w:type="dxa"/>
          </w:tcPr>
          <w:p w14:paraId="146A3922" w14:textId="77777777" w:rsidR="00F773D6" w:rsidRDefault="00800698">
            <w:pPr>
              <w:spacing w:after="0" w:line="216" w:lineRule="auto"/>
            </w:pPr>
            <w:r>
              <w:rPr>
                <w:b/>
                <w:bCs/>
                <w:sz w:val="15"/>
                <w:szCs w:val="15"/>
              </w:rPr>
              <w:t>Reported Evidence Basis</w:t>
            </w:r>
          </w:p>
        </w:tc>
        <w:tc>
          <w:tcPr>
            <w:tcW w:w="1230" w:type="dxa"/>
          </w:tcPr>
          <w:p w14:paraId="4A1E8313" w14:textId="77777777" w:rsidR="00F773D6" w:rsidRDefault="00800698">
            <w:pPr>
              <w:spacing w:after="0" w:line="216" w:lineRule="auto"/>
            </w:pPr>
            <w:r>
              <w:rPr>
                <w:b/>
                <w:bCs/>
                <w:sz w:val="15"/>
                <w:szCs w:val="15"/>
              </w:rPr>
              <w:t>Relation to This Project</w:t>
            </w:r>
          </w:p>
        </w:tc>
      </w:tr>
      <w:tr w:rsidR="00F773D6" w14:paraId="02086E7E" w14:textId="77777777">
        <w:trPr>
          <w:cantSplit/>
        </w:trPr>
        <w:tc>
          <w:tcPr>
            <w:tcW w:w="800" w:type="dxa"/>
          </w:tcPr>
          <w:p w14:paraId="3B50A00C" w14:textId="77777777" w:rsidR="00F773D6" w:rsidRDefault="00800698">
            <w:pPr>
              <w:spacing w:after="0" w:line="216" w:lineRule="auto"/>
            </w:pPr>
            <w:r>
              <w:rPr>
                <w:sz w:val="15"/>
                <w:szCs w:val="15"/>
              </w:rPr>
              <w:t>Zhu et al. [31]</w:t>
            </w:r>
          </w:p>
        </w:tc>
        <w:tc>
          <w:tcPr>
            <w:tcW w:w="760" w:type="dxa"/>
          </w:tcPr>
          <w:p w14:paraId="1F18C5D3" w14:textId="77777777" w:rsidR="00F773D6" w:rsidRDefault="00800698">
            <w:pPr>
              <w:spacing w:after="0" w:line="216" w:lineRule="auto"/>
            </w:pPr>
            <w:r>
              <w:rPr>
                <w:sz w:val="15"/>
                <w:szCs w:val="15"/>
              </w:rPr>
              <w:t xml:space="preserve">2026 — </w:t>
            </w:r>
            <w:proofErr w:type="spellStart"/>
            <w:r>
              <w:rPr>
                <w:sz w:val="15"/>
                <w:szCs w:val="15"/>
              </w:rPr>
              <w:t>arXiv</w:t>
            </w:r>
            <w:proofErr w:type="spellEnd"/>
            <w:r>
              <w:rPr>
                <w:sz w:val="15"/>
                <w:szCs w:val="15"/>
              </w:rPr>
              <w:t xml:space="preserve"> (Kent State Univ.)</w:t>
            </w:r>
          </w:p>
        </w:tc>
        <w:tc>
          <w:tcPr>
            <w:tcW w:w="760" w:type="dxa"/>
          </w:tcPr>
          <w:p w14:paraId="146A04D9" w14:textId="77777777" w:rsidR="00F773D6" w:rsidRDefault="00800698">
            <w:pPr>
              <w:spacing w:after="0" w:line="216" w:lineRule="auto"/>
            </w:pPr>
            <w:r>
              <w:rPr>
                <w:sz w:val="15"/>
                <w:szCs w:val="15"/>
              </w:rPr>
              <w:t>Thematic + BERT emotion analysis</w:t>
            </w:r>
          </w:p>
        </w:tc>
        <w:tc>
          <w:tcPr>
            <w:tcW w:w="1330" w:type="dxa"/>
          </w:tcPr>
          <w:p w14:paraId="4248C077" w14:textId="77777777" w:rsidR="00F773D6" w:rsidRDefault="00800698">
            <w:pPr>
              <w:spacing w:after="0" w:line="216" w:lineRule="auto"/>
            </w:pPr>
            <w:r>
              <w:rPr>
                <w:sz w:val="15"/>
                <w:szCs w:val="15"/>
              </w:rPr>
              <w:t xml:space="preserve">Large-scale Reddit discourse study; real emotion </w:t>
            </w:r>
            <w:proofErr w:type="spellStart"/>
            <w:r>
              <w:rPr>
                <w:sz w:val="15"/>
                <w:szCs w:val="15"/>
              </w:rPr>
              <w:t>labeling</w:t>
            </w:r>
            <w:proofErr w:type="spellEnd"/>
            <w:r>
              <w:rPr>
                <w:sz w:val="15"/>
                <w:szCs w:val="15"/>
              </w:rPr>
              <w:t xml:space="preserve"> on user data</w:t>
            </w:r>
          </w:p>
        </w:tc>
        <w:tc>
          <w:tcPr>
            <w:tcW w:w="1230" w:type="dxa"/>
          </w:tcPr>
          <w:p w14:paraId="7C0C6194" w14:textId="77777777" w:rsidR="00F773D6" w:rsidRDefault="00800698">
            <w:pPr>
              <w:spacing w:after="0" w:line="216" w:lineRule="auto"/>
            </w:pPr>
            <w:r>
              <w:rPr>
                <w:sz w:val="15"/>
                <w:szCs w:val="15"/>
              </w:rPr>
              <w:t>Real emotion-signal extraction, but discourse analysis, not a guidance system</w:t>
            </w:r>
          </w:p>
        </w:tc>
      </w:tr>
      <w:tr w:rsidR="00F773D6" w14:paraId="0686F5CA" w14:textId="77777777">
        <w:trPr>
          <w:cantSplit/>
        </w:trPr>
        <w:tc>
          <w:tcPr>
            <w:tcW w:w="800" w:type="dxa"/>
          </w:tcPr>
          <w:p w14:paraId="188397D7" w14:textId="77777777" w:rsidR="00F773D6" w:rsidRDefault="00800698">
            <w:pPr>
              <w:spacing w:after="0" w:line="216" w:lineRule="auto"/>
            </w:pPr>
            <w:r>
              <w:rPr>
                <w:sz w:val="15"/>
                <w:szCs w:val="15"/>
              </w:rPr>
              <w:t>Guo et al. [2]</w:t>
            </w:r>
          </w:p>
        </w:tc>
        <w:tc>
          <w:tcPr>
            <w:tcW w:w="760" w:type="dxa"/>
          </w:tcPr>
          <w:p w14:paraId="0B64D233" w14:textId="77777777" w:rsidR="00F773D6" w:rsidRDefault="00800698">
            <w:pPr>
              <w:spacing w:after="0" w:line="216" w:lineRule="auto"/>
            </w:pPr>
            <w:r>
              <w:rPr>
                <w:sz w:val="15"/>
                <w:szCs w:val="15"/>
              </w:rPr>
              <w:t>2024 — JMIR Mental Health</w:t>
            </w:r>
          </w:p>
        </w:tc>
        <w:tc>
          <w:tcPr>
            <w:tcW w:w="760" w:type="dxa"/>
          </w:tcPr>
          <w:p w14:paraId="35E0B6C2" w14:textId="77777777" w:rsidR="00F773D6" w:rsidRDefault="00800698">
            <w:pPr>
              <w:spacing w:after="0" w:line="216" w:lineRule="auto"/>
            </w:pPr>
            <w:r>
              <w:rPr>
                <w:sz w:val="15"/>
                <w:szCs w:val="15"/>
              </w:rPr>
              <w:t>Systematic review</w:t>
            </w:r>
          </w:p>
        </w:tc>
        <w:tc>
          <w:tcPr>
            <w:tcW w:w="1330" w:type="dxa"/>
          </w:tcPr>
          <w:p w14:paraId="08D00E37" w14:textId="77777777" w:rsidR="00F773D6" w:rsidRDefault="00800698">
            <w:pPr>
              <w:spacing w:after="0" w:line="216" w:lineRule="auto"/>
            </w:pPr>
            <w:r>
              <w:rPr>
                <w:sz w:val="15"/>
                <w:szCs w:val="15"/>
              </w:rPr>
              <w:t>Reviews existing LLM mental-health studies</w:t>
            </w:r>
          </w:p>
        </w:tc>
        <w:tc>
          <w:tcPr>
            <w:tcW w:w="1230" w:type="dxa"/>
          </w:tcPr>
          <w:p w14:paraId="30BE1060" w14:textId="77777777" w:rsidR="00F773D6" w:rsidRDefault="00800698">
            <w:pPr>
              <w:spacing w:after="0" w:line="216" w:lineRule="auto"/>
            </w:pPr>
            <w:r>
              <w:rPr>
                <w:sz w:val="15"/>
                <w:szCs w:val="15"/>
              </w:rPr>
              <w:t>No scripture grounding or knowledge graph</w:t>
            </w:r>
          </w:p>
        </w:tc>
      </w:tr>
      <w:tr w:rsidR="00F773D6" w14:paraId="180E435D" w14:textId="77777777">
        <w:trPr>
          <w:cantSplit/>
        </w:trPr>
        <w:tc>
          <w:tcPr>
            <w:tcW w:w="800" w:type="dxa"/>
          </w:tcPr>
          <w:p w14:paraId="029001BB" w14:textId="77777777" w:rsidR="00F773D6" w:rsidRDefault="00800698">
            <w:pPr>
              <w:spacing w:after="0" w:line="216" w:lineRule="auto"/>
            </w:pPr>
            <w:r>
              <w:rPr>
                <w:sz w:val="15"/>
                <w:szCs w:val="15"/>
              </w:rPr>
              <w:t>Edge et al. [3]</w:t>
            </w:r>
          </w:p>
        </w:tc>
        <w:tc>
          <w:tcPr>
            <w:tcW w:w="760" w:type="dxa"/>
          </w:tcPr>
          <w:p w14:paraId="699F1103" w14:textId="77777777" w:rsidR="00F773D6" w:rsidRDefault="00800698">
            <w:pPr>
              <w:spacing w:after="0" w:line="216" w:lineRule="auto"/>
            </w:pPr>
            <w:r>
              <w:rPr>
                <w:sz w:val="15"/>
                <w:szCs w:val="15"/>
              </w:rPr>
              <w:t xml:space="preserve">2024 — </w:t>
            </w:r>
            <w:proofErr w:type="spellStart"/>
            <w:r>
              <w:rPr>
                <w:sz w:val="15"/>
                <w:szCs w:val="15"/>
              </w:rPr>
              <w:t>arXiv</w:t>
            </w:r>
            <w:proofErr w:type="spellEnd"/>
            <w:r>
              <w:rPr>
                <w:sz w:val="15"/>
                <w:szCs w:val="15"/>
              </w:rPr>
              <w:t xml:space="preserve"> / Microsoft Research</w:t>
            </w:r>
          </w:p>
        </w:tc>
        <w:tc>
          <w:tcPr>
            <w:tcW w:w="760" w:type="dxa"/>
          </w:tcPr>
          <w:p w14:paraId="165C9522" w14:textId="77777777" w:rsidR="00F773D6" w:rsidRDefault="00800698">
            <w:pPr>
              <w:spacing w:after="0" w:line="216" w:lineRule="auto"/>
            </w:pPr>
            <w:proofErr w:type="spellStart"/>
            <w:r>
              <w:rPr>
                <w:sz w:val="15"/>
                <w:szCs w:val="15"/>
              </w:rPr>
              <w:t>GraphRAG</w:t>
            </w:r>
            <w:proofErr w:type="spellEnd"/>
          </w:p>
        </w:tc>
        <w:tc>
          <w:tcPr>
            <w:tcW w:w="1330" w:type="dxa"/>
          </w:tcPr>
          <w:p w14:paraId="78D1F930" w14:textId="77777777" w:rsidR="00F773D6" w:rsidRDefault="00800698">
            <w:pPr>
              <w:spacing w:after="0" w:line="216" w:lineRule="auto"/>
            </w:pPr>
            <w:r>
              <w:rPr>
                <w:sz w:val="15"/>
                <w:szCs w:val="15"/>
              </w:rPr>
              <w:t>Outperforms vector RAG on comprehensiveness, at 2–3× latency cost [32]</w:t>
            </w:r>
          </w:p>
        </w:tc>
        <w:tc>
          <w:tcPr>
            <w:tcW w:w="1230" w:type="dxa"/>
          </w:tcPr>
          <w:p w14:paraId="2A519D5A" w14:textId="77777777" w:rsidR="00F773D6" w:rsidRDefault="00800698">
            <w:pPr>
              <w:spacing w:after="0" w:line="216" w:lineRule="auto"/>
            </w:pPr>
            <w:r>
              <w:rPr>
                <w:sz w:val="15"/>
                <w:szCs w:val="15"/>
              </w:rPr>
              <w:t>Not applied to emotion or scripture domain</w:t>
            </w:r>
          </w:p>
        </w:tc>
      </w:tr>
      <w:tr w:rsidR="00F773D6" w14:paraId="3DD8C2C0" w14:textId="77777777">
        <w:trPr>
          <w:cantSplit/>
        </w:trPr>
        <w:tc>
          <w:tcPr>
            <w:tcW w:w="800" w:type="dxa"/>
          </w:tcPr>
          <w:p w14:paraId="763B0D11" w14:textId="77777777" w:rsidR="00F773D6" w:rsidRDefault="00800698">
            <w:pPr>
              <w:spacing w:after="0" w:line="216" w:lineRule="auto"/>
            </w:pPr>
            <w:r>
              <w:rPr>
                <w:sz w:val="15"/>
                <w:szCs w:val="15"/>
              </w:rPr>
              <w:t>Weber et al. [24]</w:t>
            </w:r>
          </w:p>
        </w:tc>
        <w:tc>
          <w:tcPr>
            <w:tcW w:w="760" w:type="dxa"/>
          </w:tcPr>
          <w:p w14:paraId="52712D8D" w14:textId="77777777" w:rsidR="00F773D6" w:rsidRDefault="00800698">
            <w:pPr>
              <w:spacing w:after="0" w:line="216" w:lineRule="auto"/>
            </w:pPr>
            <w:r>
              <w:rPr>
                <w:sz w:val="15"/>
                <w:szCs w:val="15"/>
              </w:rPr>
              <w:t xml:space="preserve">2026 — </w:t>
            </w:r>
            <w:proofErr w:type="spellStart"/>
            <w:r>
              <w:rPr>
                <w:sz w:val="15"/>
                <w:szCs w:val="15"/>
              </w:rPr>
              <w:t>medRxiv</w:t>
            </w:r>
            <w:proofErr w:type="spellEnd"/>
          </w:p>
        </w:tc>
        <w:tc>
          <w:tcPr>
            <w:tcW w:w="760" w:type="dxa"/>
          </w:tcPr>
          <w:p w14:paraId="5AED551C" w14:textId="77777777" w:rsidR="00F773D6" w:rsidRDefault="00800698">
            <w:pPr>
              <w:spacing w:after="0" w:line="216" w:lineRule="auto"/>
            </w:pPr>
            <w:r>
              <w:rPr>
                <w:sz w:val="15"/>
                <w:szCs w:val="15"/>
              </w:rPr>
              <w:t>LLM crisis-risk classifier</w:t>
            </w:r>
          </w:p>
        </w:tc>
        <w:tc>
          <w:tcPr>
            <w:tcW w:w="1330" w:type="dxa"/>
          </w:tcPr>
          <w:p w14:paraId="5DE6F9AC" w14:textId="77777777" w:rsidR="00F773D6" w:rsidRDefault="00800698">
            <w:pPr>
              <w:spacing w:after="0" w:line="216" w:lineRule="auto"/>
            </w:pPr>
            <w:r>
              <w:rPr>
                <w:sz w:val="15"/>
                <w:szCs w:val="15"/>
              </w:rPr>
              <w:t>Validated against clinician-annotated transcripts (preprint)</w:t>
            </w:r>
          </w:p>
        </w:tc>
        <w:tc>
          <w:tcPr>
            <w:tcW w:w="1230" w:type="dxa"/>
          </w:tcPr>
          <w:p w14:paraId="010527E9" w14:textId="77777777" w:rsidR="00F773D6" w:rsidRDefault="00800698">
            <w:pPr>
              <w:spacing w:after="0" w:line="216" w:lineRule="auto"/>
            </w:pPr>
            <w:r>
              <w:rPr>
                <w:sz w:val="15"/>
                <w:szCs w:val="15"/>
              </w:rPr>
              <w:t>Real, tested safety detection; no scripture grounding or KG</w:t>
            </w:r>
          </w:p>
        </w:tc>
      </w:tr>
      <w:tr w:rsidR="00F773D6" w14:paraId="22BFC69A" w14:textId="77777777">
        <w:trPr>
          <w:cantSplit/>
        </w:trPr>
        <w:tc>
          <w:tcPr>
            <w:tcW w:w="800" w:type="dxa"/>
          </w:tcPr>
          <w:p w14:paraId="3FB426EE" w14:textId="77777777" w:rsidR="00F773D6" w:rsidRDefault="00800698">
            <w:pPr>
              <w:spacing w:after="0" w:line="216" w:lineRule="auto"/>
            </w:pPr>
            <w:proofErr w:type="spellStart"/>
            <w:r>
              <w:rPr>
                <w:sz w:val="15"/>
                <w:szCs w:val="15"/>
              </w:rPr>
              <w:t>Dhokane</w:t>
            </w:r>
            <w:proofErr w:type="spellEnd"/>
            <w:r>
              <w:rPr>
                <w:sz w:val="15"/>
                <w:szCs w:val="15"/>
              </w:rPr>
              <w:t xml:space="preserve"> et al. [5]</w:t>
            </w:r>
          </w:p>
        </w:tc>
        <w:tc>
          <w:tcPr>
            <w:tcW w:w="760" w:type="dxa"/>
          </w:tcPr>
          <w:p w14:paraId="7D463BF8" w14:textId="77777777" w:rsidR="00F773D6" w:rsidRDefault="00800698">
            <w:pPr>
              <w:spacing w:after="0" w:line="216" w:lineRule="auto"/>
            </w:pPr>
            <w:r>
              <w:rPr>
                <w:sz w:val="15"/>
                <w:szCs w:val="15"/>
              </w:rPr>
              <w:t>2026 — IJRASET</w:t>
            </w:r>
          </w:p>
        </w:tc>
        <w:tc>
          <w:tcPr>
            <w:tcW w:w="760" w:type="dxa"/>
          </w:tcPr>
          <w:p w14:paraId="0A778C30" w14:textId="77777777" w:rsidR="00F773D6" w:rsidRDefault="00800698">
            <w:pPr>
              <w:spacing w:after="0" w:line="216" w:lineRule="auto"/>
            </w:pPr>
            <w:r>
              <w:rPr>
                <w:sz w:val="15"/>
                <w:szCs w:val="15"/>
              </w:rPr>
              <w:t>FAISS + BERT/GPT-2</w:t>
            </w:r>
          </w:p>
        </w:tc>
        <w:tc>
          <w:tcPr>
            <w:tcW w:w="1330" w:type="dxa"/>
          </w:tcPr>
          <w:p w14:paraId="2749C0EA" w14:textId="77777777" w:rsidR="00F773D6" w:rsidRDefault="00800698">
            <w:pPr>
              <w:spacing w:after="0" w:line="216" w:lineRule="auto"/>
            </w:pPr>
            <w:r>
              <w:rPr>
                <w:sz w:val="15"/>
                <w:szCs w:val="15"/>
              </w:rPr>
              <w:t>91.4% accuracy, self-reported, benchmark unspecified</w:t>
            </w:r>
          </w:p>
        </w:tc>
        <w:tc>
          <w:tcPr>
            <w:tcW w:w="1230" w:type="dxa"/>
          </w:tcPr>
          <w:p w14:paraId="537AA2AE" w14:textId="77777777" w:rsidR="00F773D6" w:rsidRDefault="00800698">
            <w:pPr>
              <w:spacing w:after="0" w:line="216" w:lineRule="auto"/>
            </w:pPr>
            <w:r>
              <w:rPr>
                <w:sz w:val="15"/>
                <w:szCs w:val="15"/>
              </w:rPr>
              <w:t xml:space="preserve">No emotion, intent, safety, or </w:t>
            </w:r>
            <w:proofErr w:type="spellStart"/>
            <w:r>
              <w:rPr>
                <w:sz w:val="15"/>
                <w:szCs w:val="15"/>
              </w:rPr>
              <w:t>Arthashastra</w:t>
            </w:r>
            <w:proofErr w:type="spellEnd"/>
          </w:p>
        </w:tc>
      </w:tr>
      <w:tr w:rsidR="00F773D6" w14:paraId="458F6776" w14:textId="77777777">
        <w:trPr>
          <w:cantSplit/>
        </w:trPr>
        <w:tc>
          <w:tcPr>
            <w:tcW w:w="800" w:type="dxa"/>
          </w:tcPr>
          <w:p w14:paraId="3232D02C" w14:textId="77777777" w:rsidR="00F773D6" w:rsidRDefault="00800698">
            <w:pPr>
              <w:spacing w:after="0" w:line="216" w:lineRule="auto"/>
            </w:pPr>
            <w:proofErr w:type="spellStart"/>
            <w:r>
              <w:rPr>
                <w:sz w:val="15"/>
                <w:szCs w:val="15"/>
              </w:rPr>
              <w:t>Kapuriya</w:t>
            </w:r>
            <w:proofErr w:type="spellEnd"/>
            <w:r>
              <w:rPr>
                <w:sz w:val="15"/>
                <w:szCs w:val="15"/>
              </w:rPr>
              <w:t xml:space="preserve"> et al. [6]</w:t>
            </w:r>
          </w:p>
        </w:tc>
        <w:tc>
          <w:tcPr>
            <w:tcW w:w="760" w:type="dxa"/>
          </w:tcPr>
          <w:p w14:paraId="6268F3BC" w14:textId="77777777" w:rsidR="00F773D6" w:rsidRDefault="00800698">
            <w:pPr>
              <w:spacing w:after="0" w:line="216" w:lineRule="auto"/>
            </w:pPr>
            <w:r>
              <w:rPr>
                <w:sz w:val="15"/>
                <w:szCs w:val="15"/>
              </w:rPr>
              <w:t xml:space="preserve">2025 — </w:t>
            </w:r>
            <w:proofErr w:type="spellStart"/>
            <w:r>
              <w:rPr>
                <w:sz w:val="15"/>
                <w:szCs w:val="15"/>
              </w:rPr>
              <w:t>arXiv</w:t>
            </w:r>
            <w:proofErr w:type="spellEnd"/>
          </w:p>
        </w:tc>
        <w:tc>
          <w:tcPr>
            <w:tcW w:w="760" w:type="dxa"/>
          </w:tcPr>
          <w:p w14:paraId="6F5B65A3" w14:textId="77777777" w:rsidR="00F773D6" w:rsidRDefault="00800698">
            <w:pPr>
              <w:spacing w:after="0" w:line="216" w:lineRule="auto"/>
            </w:pPr>
            <w:r>
              <w:rPr>
                <w:sz w:val="15"/>
                <w:szCs w:val="15"/>
              </w:rPr>
              <w:t>Gita-inspired LLM</w:t>
            </w:r>
          </w:p>
        </w:tc>
        <w:tc>
          <w:tcPr>
            <w:tcW w:w="1330" w:type="dxa"/>
          </w:tcPr>
          <w:p w14:paraId="2056FF19" w14:textId="77777777" w:rsidR="00F773D6" w:rsidRDefault="00800698">
            <w:pPr>
              <w:spacing w:after="0" w:line="216" w:lineRule="auto"/>
            </w:pPr>
            <w:r>
              <w:rPr>
                <w:sz w:val="15"/>
                <w:szCs w:val="15"/>
              </w:rPr>
              <w:t xml:space="preserve">Demonstrated dialogue </w:t>
            </w:r>
            <w:proofErr w:type="spellStart"/>
            <w:r>
              <w:rPr>
                <w:sz w:val="15"/>
                <w:szCs w:val="15"/>
              </w:rPr>
              <w:t>behavior</w:t>
            </w:r>
            <w:proofErr w:type="spellEnd"/>
            <w:r>
              <w:rPr>
                <w:sz w:val="15"/>
                <w:szCs w:val="15"/>
              </w:rPr>
              <w:t>, no formal metric reported</w:t>
            </w:r>
          </w:p>
        </w:tc>
        <w:tc>
          <w:tcPr>
            <w:tcW w:w="1230" w:type="dxa"/>
          </w:tcPr>
          <w:p w14:paraId="448536AD" w14:textId="77777777" w:rsidR="00F773D6" w:rsidRDefault="00800698">
            <w:pPr>
              <w:spacing w:after="0" w:line="216" w:lineRule="auto"/>
            </w:pPr>
            <w:r>
              <w:rPr>
                <w:sz w:val="15"/>
                <w:szCs w:val="15"/>
              </w:rPr>
              <w:t xml:space="preserve">No memory, </w:t>
            </w:r>
            <w:proofErr w:type="spellStart"/>
            <w:r>
              <w:rPr>
                <w:sz w:val="15"/>
                <w:szCs w:val="15"/>
              </w:rPr>
              <w:t>explainability</w:t>
            </w:r>
            <w:proofErr w:type="spellEnd"/>
            <w:r>
              <w:rPr>
                <w:sz w:val="15"/>
                <w:szCs w:val="15"/>
              </w:rPr>
              <w:t>, or safety filter</w:t>
            </w:r>
          </w:p>
        </w:tc>
      </w:tr>
      <w:tr w:rsidR="00F773D6" w14:paraId="5212A339" w14:textId="77777777">
        <w:trPr>
          <w:cantSplit/>
        </w:trPr>
        <w:tc>
          <w:tcPr>
            <w:tcW w:w="800" w:type="dxa"/>
          </w:tcPr>
          <w:p w14:paraId="2980E0D3" w14:textId="77777777" w:rsidR="00F773D6" w:rsidRDefault="00800698">
            <w:pPr>
              <w:spacing w:after="0" w:line="216" w:lineRule="auto"/>
            </w:pPr>
            <w:r>
              <w:rPr>
                <w:sz w:val="15"/>
                <w:szCs w:val="15"/>
              </w:rPr>
              <w:t>SAGE (Aharon et al.) [27]</w:t>
            </w:r>
          </w:p>
        </w:tc>
        <w:tc>
          <w:tcPr>
            <w:tcW w:w="760" w:type="dxa"/>
          </w:tcPr>
          <w:p w14:paraId="503DD904" w14:textId="77777777" w:rsidR="00F773D6" w:rsidRDefault="00800698">
            <w:pPr>
              <w:spacing w:after="0" w:line="216" w:lineRule="auto"/>
            </w:pPr>
            <w:r>
              <w:rPr>
                <w:sz w:val="15"/>
                <w:szCs w:val="15"/>
              </w:rPr>
              <w:t xml:space="preserve">2026 — </w:t>
            </w:r>
            <w:proofErr w:type="spellStart"/>
            <w:r>
              <w:rPr>
                <w:sz w:val="15"/>
                <w:szCs w:val="15"/>
              </w:rPr>
              <w:t>arXiv</w:t>
            </w:r>
            <w:proofErr w:type="spellEnd"/>
          </w:p>
        </w:tc>
        <w:tc>
          <w:tcPr>
            <w:tcW w:w="760" w:type="dxa"/>
          </w:tcPr>
          <w:p w14:paraId="6FBB4A8A" w14:textId="77777777" w:rsidR="00F773D6" w:rsidRDefault="00800698">
            <w:pPr>
              <w:spacing w:after="0" w:line="216" w:lineRule="auto"/>
            </w:pPr>
            <w:r>
              <w:rPr>
                <w:sz w:val="15"/>
                <w:szCs w:val="15"/>
              </w:rPr>
              <w:t>Graph-enhanced + strategy classifier</w:t>
            </w:r>
          </w:p>
        </w:tc>
        <w:tc>
          <w:tcPr>
            <w:tcW w:w="1330" w:type="dxa"/>
          </w:tcPr>
          <w:p w14:paraId="7F277309" w14:textId="77777777" w:rsidR="00F773D6" w:rsidRDefault="00800698">
            <w:pPr>
              <w:spacing w:after="0" w:line="216" w:lineRule="auto"/>
            </w:pPr>
            <w:r>
              <w:rPr>
                <w:sz w:val="15"/>
                <w:szCs w:val="15"/>
              </w:rPr>
              <w:t>Outperforms baselines; validated with expert human evaluation</w:t>
            </w:r>
          </w:p>
        </w:tc>
        <w:tc>
          <w:tcPr>
            <w:tcW w:w="1230" w:type="dxa"/>
          </w:tcPr>
          <w:p w14:paraId="2775177B" w14:textId="77777777" w:rsidR="00F773D6" w:rsidRDefault="00800698">
            <w:pPr>
              <w:spacing w:after="0" w:line="216" w:lineRule="auto"/>
            </w:pPr>
            <w:r>
              <w:rPr>
                <w:sz w:val="15"/>
                <w:szCs w:val="15"/>
              </w:rPr>
              <w:t>Combines KG + safety, but not scripture-grounded</w:t>
            </w:r>
          </w:p>
        </w:tc>
      </w:tr>
      <w:tr w:rsidR="00F773D6" w14:paraId="24CCF6B8" w14:textId="77777777">
        <w:trPr>
          <w:cantSplit/>
        </w:trPr>
        <w:tc>
          <w:tcPr>
            <w:tcW w:w="800" w:type="dxa"/>
          </w:tcPr>
          <w:p w14:paraId="300C9DDF" w14:textId="77777777" w:rsidR="00F773D6" w:rsidRDefault="00800698">
            <w:pPr>
              <w:spacing w:after="0" w:line="216" w:lineRule="auto"/>
            </w:pPr>
            <w:r>
              <w:rPr>
                <w:sz w:val="15"/>
                <w:szCs w:val="15"/>
              </w:rPr>
              <w:t>Quran Chat [28]</w:t>
            </w:r>
          </w:p>
        </w:tc>
        <w:tc>
          <w:tcPr>
            <w:tcW w:w="760" w:type="dxa"/>
          </w:tcPr>
          <w:p w14:paraId="6F113785" w14:textId="77777777" w:rsidR="00F773D6" w:rsidRDefault="00800698">
            <w:pPr>
              <w:spacing w:after="0" w:line="216" w:lineRule="auto"/>
            </w:pPr>
            <w:r>
              <w:rPr>
                <w:sz w:val="15"/>
                <w:szCs w:val="15"/>
              </w:rPr>
              <w:t>2026 — product / internal benchmark</w:t>
            </w:r>
          </w:p>
        </w:tc>
        <w:tc>
          <w:tcPr>
            <w:tcW w:w="760" w:type="dxa"/>
          </w:tcPr>
          <w:p w14:paraId="028BDC69" w14:textId="77777777" w:rsidR="00F773D6" w:rsidRDefault="00800698">
            <w:pPr>
              <w:spacing w:after="0" w:line="216" w:lineRule="auto"/>
            </w:pPr>
            <w:r>
              <w:rPr>
                <w:sz w:val="15"/>
                <w:szCs w:val="15"/>
              </w:rPr>
              <w:t>Citation-grounded RAG</w:t>
            </w:r>
          </w:p>
        </w:tc>
        <w:tc>
          <w:tcPr>
            <w:tcW w:w="1330" w:type="dxa"/>
          </w:tcPr>
          <w:p w14:paraId="4A935B9F" w14:textId="77777777" w:rsidR="00F773D6" w:rsidRDefault="00800698">
            <w:pPr>
              <w:spacing w:after="0" w:line="216" w:lineRule="auto"/>
            </w:pPr>
            <w:r>
              <w:rPr>
                <w:sz w:val="15"/>
                <w:szCs w:val="15"/>
              </w:rPr>
              <w:t>~86% on internal, non-adversarial Q&amp;A benchmark</w:t>
            </w:r>
          </w:p>
        </w:tc>
        <w:tc>
          <w:tcPr>
            <w:tcW w:w="1230" w:type="dxa"/>
          </w:tcPr>
          <w:p w14:paraId="122EB470" w14:textId="77777777" w:rsidR="00F773D6" w:rsidRDefault="00800698">
            <w:pPr>
              <w:spacing w:after="0" w:line="216" w:lineRule="auto"/>
            </w:pPr>
            <w:r>
              <w:rPr>
                <w:sz w:val="15"/>
                <w:szCs w:val="15"/>
              </w:rPr>
              <w:t>Scripture + citation, but no emotion or safety layer</w:t>
            </w:r>
          </w:p>
        </w:tc>
      </w:tr>
      <w:tr w:rsidR="00F773D6" w14:paraId="5F2EFAE9" w14:textId="77777777">
        <w:trPr>
          <w:cantSplit/>
        </w:trPr>
        <w:tc>
          <w:tcPr>
            <w:tcW w:w="800" w:type="dxa"/>
          </w:tcPr>
          <w:p w14:paraId="6621B600" w14:textId="77777777" w:rsidR="00F773D6" w:rsidRDefault="00800698">
            <w:pPr>
              <w:spacing w:after="0" w:line="216" w:lineRule="auto"/>
            </w:pPr>
            <w:r>
              <w:rPr>
                <w:sz w:val="15"/>
                <w:szCs w:val="15"/>
              </w:rPr>
              <w:t>Biana [29]</w:t>
            </w:r>
          </w:p>
        </w:tc>
        <w:tc>
          <w:tcPr>
            <w:tcW w:w="760" w:type="dxa"/>
          </w:tcPr>
          <w:p w14:paraId="365010F1" w14:textId="77777777" w:rsidR="00F773D6" w:rsidRDefault="00800698">
            <w:pPr>
              <w:spacing w:after="0" w:line="216" w:lineRule="auto"/>
            </w:pPr>
            <w:r>
              <w:rPr>
                <w:sz w:val="15"/>
                <w:szCs w:val="15"/>
              </w:rPr>
              <w:t>2024 — Philosophies</w:t>
            </w:r>
          </w:p>
        </w:tc>
        <w:tc>
          <w:tcPr>
            <w:tcW w:w="760" w:type="dxa"/>
          </w:tcPr>
          <w:p w14:paraId="38A6B974" w14:textId="77777777" w:rsidR="00F773D6" w:rsidRDefault="00800698">
            <w:pPr>
              <w:spacing w:after="0" w:line="216" w:lineRule="auto"/>
            </w:pPr>
            <w:r>
              <w:rPr>
                <w:sz w:val="15"/>
                <w:szCs w:val="15"/>
              </w:rPr>
              <w:t>Critical/philosophical analysis</w:t>
            </w:r>
          </w:p>
        </w:tc>
        <w:tc>
          <w:tcPr>
            <w:tcW w:w="1330" w:type="dxa"/>
          </w:tcPr>
          <w:p w14:paraId="6F25710D" w14:textId="77777777" w:rsidR="00F773D6" w:rsidRDefault="00800698">
            <w:pPr>
              <w:spacing w:after="0" w:line="216" w:lineRule="auto"/>
            </w:pPr>
            <w:r>
              <w:rPr>
                <w:sz w:val="15"/>
                <w:szCs w:val="15"/>
              </w:rPr>
              <w:t>Case-based critique of deployed religion-chatbots</w:t>
            </w:r>
          </w:p>
        </w:tc>
        <w:tc>
          <w:tcPr>
            <w:tcW w:w="1230" w:type="dxa"/>
          </w:tcPr>
          <w:p w14:paraId="0A6EFEBB" w14:textId="77777777" w:rsidR="00F773D6" w:rsidRDefault="00800698">
            <w:pPr>
              <w:spacing w:after="0" w:line="216" w:lineRule="auto"/>
            </w:pPr>
            <w:r>
              <w:rPr>
                <w:sz w:val="15"/>
                <w:szCs w:val="15"/>
              </w:rPr>
              <w:t>Documents bias risk this project must design against</w:t>
            </w:r>
          </w:p>
        </w:tc>
      </w:tr>
    </w:tbl>
    <w:p w14:paraId="285CB894" w14:textId="77777777" w:rsidR="00F773D6" w:rsidRDefault="00800698">
      <w:pPr>
        <w:spacing w:line="240" w:lineRule="auto"/>
        <w:jc w:val="both"/>
      </w:pPr>
      <w:r>
        <w:rPr>
          <w:sz w:val="18"/>
          <w:szCs w:val="18"/>
        </w:rPr>
        <w:t> </w:t>
      </w:r>
    </w:p>
    <w:p w14:paraId="0821C9E1" w14:textId="77777777" w:rsidR="00F773D6" w:rsidRDefault="00800698">
      <w:pPr>
        <w:keepNext/>
        <w:spacing w:before="110" w:after="50" w:line="240" w:lineRule="auto"/>
        <w:jc w:val="center"/>
      </w:pPr>
      <w:r>
        <w:rPr>
          <w:b/>
          <w:bCs/>
          <w:sz w:val="20"/>
        </w:rPr>
        <w:t>IV. METHODOLOGICAL TRENDS</w:t>
      </w:r>
    </w:p>
    <w:p w14:paraId="134A747D" w14:textId="64ABD1A3" w:rsidR="00F773D6" w:rsidRDefault="00800698">
      <w:pPr>
        <w:spacing w:after="60" w:line="240" w:lineRule="auto"/>
        <w:ind w:firstLine="200"/>
        <w:jc w:val="both"/>
      </w:pPr>
      <w:r>
        <w:rPr>
          <w:sz w:val="20"/>
        </w:rPr>
        <w:t xml:space="preserve">Line the sources up by year and a shift jumps out immediately. The earliest scripture-analysis work is mostly linguistic and theoretical, no working system in sight [9], [10], [14], [22]. A technically complete retrieval system does not show up until much later [5], and a second one independently deployed, this time in the Quran </w:t>
      </w:r>
      <w:proofErr w:type="gramStart"/>
      <w:r>
        <w:rPr>
          <w:sz w:val="20"/>
        </w:rPr>
        <w:t>domain  follows</w:t>
      </w:r>
      <w:proofErr w:type="gramEnd"/>
      <w:r>
        <w:rPr>
          <w:sz w:val="20"/>
        </w:rPr>
        <w:t xml:space="preserve"> not long after [28]. Meanwhile mental-health LLM research starts with broad, principle-level statements about responsible development [1] and only later hardens into stricter, safety-focused evaluation [2], [7], [8], [16], [19], [20], [23]; the newest work goes a step further and asks whether the safety measures themselves can do harm [30]. Knowledge-graph research follows a similar </w:t>
      </w:r>
      <w:proofErr w:type="gramStart"/>
      <w:r>
        <w:rPr>
          <w:sz w:val="20"/>
        </w:rPr>
        <w:t>arc  LLMs</w:t>
      </w:r>
      <w:proofErr w:type="gramEnd"/>
      <w:r>
        <w:rPr>
          <w:sz w:val="20"/>
        </w:rPr>
        <w:t xml:space="preserve"> and KGs treated as separate tools at first, now studied as things that support each other [3], [11]–[13], [15], with a side literature tracking exactly how expensive that interaction gets, computationally and structurally [32]. And critical, dissenting work on religion-based AI [29], [33], [34] is not a late arrival either; it grows up next to the technical literature, at the same time, which says risk-awareness was never </w:t>
      </w:r>
      <w:r>
        <w:rPr>
          <w:sz w:val="20"/>
        </w:rPr>
        <w:lastRenderedPageBreak/>
        <w:t xml:space="preserve">something this field could safely bolt on afterward. What stands out is how rarely these four strands actually cite each </w:t>
      </w:r>
      <w:proofErr w:type="gramStart"/>
      <w:r>
        <w:rPr>
          <w:sz w:val="20"/>
        </w:rPr>
        <w:t>other  SAGE</w:t>
      </w:r>
      <w:proofErr w:type="gramEnd"/>
      <w:r>
        <w:rPr>
          <w:sz w:val="20"/>
        </w:rPr>
        <w:t xml:space="preserve"> [27] is close to the only paper that ties the safety strand to the knowledge-graph strand at all. This indicates that the combination proposed here has probably not been fully attempted, even though the literature already contains the components needed to attempt it responsibly.</w:t>
      </w:r>
    </w:p>
    <w:p w14:paraId="2A639848" w14:textId="77777777" w:rsidR="00F773D6" w:rsidRDefault="00800698">
      <w:pPr>
        <w:keepNext/>
        <w:spacing w:before="110" w:after="50" w:line="240" w:lineRule="auto"/>
        <w:jc w:val="center"/>
      </w:pPr>
      <w:r>
        <w:rPr>
          <w:b/>
          <w:bCs/>
          <w:sz w:val="20"/>
        </w:rPr>
        <w:t>V. RESEARCH GAP AND PROPOSED RESEARCH DIRECTION</w:t>
      </w:r>
    </w:p>
    <w:p w14:paraId="49D5D6D3" w14:textId="77777777" w:rsidR="00F773D6" w:rsidRDefault="00800698">
      <w:pPr>
        <w:spacing w:after="40"/>
        <w:jc w:val="center"/>
      </w:pPr>
      <w:r>
        <w:rPr>
          <w:noProof/>
        </w:rPr>
        <w:drawing>
          <wp:inline distT="0" distB="0" distL="0" distR="0" wp14:anchorId="62137B0D" wp14:editId="20647D4A">
            <wp:extent cx="3017520" cy="641231"/>
            <wp:effectExtent l="0" t="0" r="0" b="0"/>
            <wp:docPr id="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pic:cNvPicPr/>
                  </pic:nvPicPr>
                  <pic:blipFill>
                    <a:blip r:embed="rId4"/>
                    <a:stretch>
                      <a:fillRect/>
                    </a:stretch>
                  </pic:blipFill>
                  <pic:spPr>
                    <a:xfrm>
                      <a:off x="0" y="0"/>
                      <a:ext cx="3017520" cy="641231"/>
                    </a:xfrm>
                    <a:prstGeom prst="rect">
                      <a:avLst/>
                    </a:prstGeom>
                  </pic:spPr>
                </pic:pic>
              </a:graphicData>
            </a:graphic>
          </wp:inline>
        </w:drawing>
      </w:r>
    </w:p>
    <w:p w14:paraId="2B9F403C" w14:textId="77777777" w:rsidR="00F773D6" w:rsidRDefault="00800698">
      <w:pPr>
        <w:spacing w:before="40" w:after="100"/>
        <w:jc w:val="center"/>
      </w:pPr>
      <w:r>
        <w:rPr>
          <w:sz w:val="18"/>
          <w:szCs w:val="18"/>
        </w:rPr>
        <w:t>Fig. 1. Proposed conceptual pipeline for scripture-grounded guidance: emotion detection and a safety gate run before retrieval, so that scripture RAG and the knowledge graph feed the LLM only once a message has passed the gate, and the response is explainable back to its retrieved source.</w:t>
      </w:r>
    </w:p>
    <w:p w14:paraId="177000A3" w14:textId="77777777" w:rsidR="00F773D6" w:rsidRDefault="00800698">
      <w:pPr>
        <w:spacing w:after="60" w:line="240" w:lineRule="auto"/>
        <w:ind w:firstLine="200"/>
        <w:jc w:val="both"/>
      </w:pPr>
      <w:r>
        <w:rPr>
          <w:sz w:val="20"/>
        </w:rPr>
        <w:t xml:space="preserve">Table I lays out this project’s position most clearly, and Fig. 1 sketches the conceptual pipeline this review argues for. </w:t>
      </w:r>
      <w:proofErr w:type="spellStart"/>
      <w:r>
        <w:rPr>
          <w:sz w:val="20"/>
        </w:rPr>
        <w:t>Dhokane</w:t>
      </w:r>
      <w:proofErr w:type="spellEnd"/>
      <w:r>
        <w:rPr>
          <w:sz w:val="20"/>
        </w:rPr>
        <w:t xml:space="preserve"> et al. [5] report strong retrieval accuracy, but the validation is narrow and there is no emotion, intent, or safety layer at all. The safety and mental-health studies [1], [2], [7], [8], [16], [17], [23]</w:t>
      </w:r>
      <w:proofErr w:type="gramStart"/>
      <w:r>
        <w:rPr>
          <w:sz w:val="20"/>
        </w:rPr>
        <w:t>–[</w:t>
      </w:r>
      <w:proofErr w:type="gramEnd"/>
      <w:r>
        <w:rPr>
          <w:sz w:val="20"/>
        </w:rPr>
        <w:t xml:space="preserve">25], [30] apply careful safety measures and evaluation, but give limited attention to scripture grounding or structured retrieval. They are also increasingly willing to admit that safety measures carry costs of their own. </w:t>
      </w:r>
      <w:proofErr w:type="spellStart"/>
      <w:r>
        <w:rPr>
          <w:sz w:val="20"/>
        </w:rPr>
        <w:t>GraphRAG</w:t>
      </w:r>
      <w:proofErr w:type="spellEnd"/>
      <w:r>
        <w:rPr>
          <w:sz w:val="20"/>
        </w:rPr>
        <w:t xml:space="preserve"> [3] and the KG-</w:t>
      </w:r>
      <w:proofErr w:type="spellStart"/>
      <w:r>
        <w:rPr>
          <w:sz w:val="20"/>
        </w:rPr>
        <w:t>explainability</w:t>
      </w:r>
      <w:proofErr w:type="spellEnd"/>
      <w:r>
        <w:rPr>
          <w:sz w:val="20"/>
        </w:rPr>
        <w:t xml:space="preserve"> studies [11]</w:t>
      </w:r>
      <w:proofErr w:type="gramStart"/>
      <w:r>
        <w:rPr>
          <w:sz w:val="20"/>
        </w:rPr>
        <w:t>–[</w:t>
      </w:r>
      <w:proofErr w:type="gramEnd"/>
      <w:r>
        <w:rPr>
          <w:sz w:val="20"/>
        </w:rPr>
        <w:t>13], [15], [32] address retrieval and reasoning well, though with substantial computational demands. Neither one was built with emotion or safety in mind.</w:t>
      </w:r>
    </w:p>
    <w:p w14:paraId="3ED52197" w14:textId="77777777" w:rsidR="00F773D6" w:rsidRDefault="00800698">
      <w:pPr>
        <w:spacing w:after="60" w:line="240" w:lineRule="auto"/>
        <w:ind w:firstLine="200"/>
        <w:jc w:val="both"/>
      </w:pPr>
      <w:r>
        <w:rPr>
          <w:sz w:val="20"/>
        </w:rPr>
        <w:t xml:space="preserve">Two systems in particular sit closer to this project than a feature-by-feature comparison would suggest. SAGE [27] shows that a knowledge graph and a crisis-aware safety layer can work together in counselling, but it does not address scripture, include an explicit emotion-intensity score, or use a dual-text structure. Quran Chat [28] shows that citation-grounded scripture retrieval can operate at scale. Its scope is limited to one text, with no emotion detection and no dedicated safety gate beyond a general disclaimer. Put these two systems next to the documented, real-world failure of unguarded Gita chatbots [34], and the precise claim becomes this: no source reviewed here combines emotion-intensity modelling, structured retrieval across both the Gita and the </w:t>
      </w:r>
      <w:proofErr w:type="spellStart"/>
      <w:r>
        <w:rPr>
          <w:sz w:val="20"/>
        </w:rPr>
        <w:t>Arthashastra</w:t>
      </w:r>
      <w:proofErr w:type="spellEnd"/>
      <w:r>
        <w:rPr>
          <w:sz w:val="20"/>
        </w:rPr>
        <w:t xml:space="preserve">, knowledge-graph </w:t>
      </w:r>
      <w:proofErr w:type="spellStart"/>
      <w:r>
        <w:rPr>
          <w:sz w:val="20"/>
        </w:rPr>
        <w:t>explainability</w:t>
      </w:r>
      <w:proofErr w:type="spellEnd"/>
      <w:r>
        <w:rPr>
          <w:sz w:val="20"/>
        </w:rPr>
        <w:t>, a relation-aware safety gate, and conversational memory into one pipeline for scripture-grounded guidance. Section III-E’s literature also shows that these components address distinct requirements identified in the reviewed literature.</w:t>
      </w:r>
    </w:p>
    <w:p w14:paraId="1176766D" w14:textId="77777777" w:rsidR="00F773D6" w:rsidRDefault="00800698">
      <w:pPr>
        <w:keepNext/>
        <w:spacing w:before="110" w:after="50" w:line="240" w:lineRule="auto"/>
        <w:jc w:val="center"/>
      </w:pPr>
      <w:r>
        <w:rPr>
          <w:b/>
          <w:bCs/>
          <w:sz w:val="20"/>
        </w:rPr>
        <w:t>VI. ADVANTAGES, LIMITATIONS, AND APPLICATIONS</w:t>
      </w:r>
    </w:p>
    <w:p w14:paraId="08A9DB8A" w14:textId="77777777" w:rsidR="00F773D6" w:rsidRDefault="00800698">
      <w:pPr>
        <w:keepNext/>
        <w:spacing w:before="80" w:after="40" w:line="240" w:lineRule="auto"/>
      </w:pPr>
      <w:r>
        <w:rPr>
          <w:i/>
          <w:iCs/>
          <w:sz w:val="20"/>
        </w:rPr>
        <w:t>A. Advantages Over the Reviewed Precedents</w:t>
      </w:r>
    </w:p>
    <w:p w14:paraId="7757E97D" w14:textId="77777777" w:rsidR="00F773D6" w:rsidRDefault="00800698">
      <w:pPr>
        <w:spacing w:after="60" w:line="240" w:lineRule="auto"/>
        <w:ind w:left="360" w:hanging="300"/>
        <w:jc w:val="both"/>
      </w:pPr>
      <w:r>
        <w:rPr>
          <w:sz w:val="20"/>
        </w:rPr>
        <w:t xml:space="preserve">1. Early Emotional Support — Scoring emotional intensity, rather than only its category, follows the approach proposed but not adopted in [2] and [6]. This allows the </w:t>
      </w:r>
      <w:r>
        <w:rPr>
          <w:sz w:val="20"/>
        </w:rPr>
        <w:t>system to distinguish mild concern from genuine distress and tailor its response accordingly.</w:t>
      </w:r>
    </w:p>
    <w:p w14:paraId="02A54EA2" w14:textId="58FDADB5" w:rsidR="00F773D6" w:rsidRDefault="00800698">
      <w:pPr>
        <w:spacing w:after="60" w:line="240" w:lineRule="auto"/>
        <w:ind w:left="360" w:hanging="300"/>
        <w:jc w:val="both"/>
      </w:pPr>
      <w:r>
        <w:rPr>
          <w:sz w:val="20"/>
        </w:rPr>
        <w:t xml:space="preserve">2. Structured, Explainable </w:t>
      </w:r>
      <w:proofErr w:type="gramStart"/>
      <w:r>
        <w:rPr>
          <w:sz w:val="20"/>
        </w:rPr>
        <w:t xml:space="preserve">Reasoning </w:t>
      </w:r>
      <w:r w:rsidR="007A0BC2">
        <w:rPr>
          <w:sz w:val="20"/>
        </w:rPr>
        <w:t>:</w:t>
      </w:r>
      <w:proofErr w:type="gramEnd"/>
      <w:r>
        <w:rPr>
          <w:sz w:val="20"/>
        </w:rPr>
        <w:t xml:space="preserve"> Combining vector search with a knowledge graph, as proposed in [3], [15], and [27], while accounting for the latency and indexing costs reported in [32], enables each response to identify the exact verse on which it is based.</w:t>
      </w:r>
    </w:p>
    <w:p w14:paraId="1AC657D3" w14:textId="2242C5DE" w:rsidR="00F773D6" w:rsidRDefault="00800698">
      <w:pPr>
        <w:spacing w:after="60" w:line="240" w:lineRule="auto"/>
        <w:ind w:left="360" w:hanging="300"/>
        <w:jc w:val="both"/>
      </w:pPr>
      <w:r>
        <w:rPr>
          <w:sz w:val="20"/>
        </w:rPr>
        <w:t xml:space="preserve">3. Dual-Scripture </w:t>
      </w:r>
      <w:proofErr w:type="gramStart"/>
      <w:r>
        <w:rPr>
          <w:sz w:val="20"/>
        </w:rPr>
        <w:t xml:space="preserve">Reasoning </w:t>
      </w:r>
      <w:r w:rsidR="007A0BC2">
        <w:rPr>
          <w:sz w:val="20"/>
        </w:rPr>
        <w:t>:</w:t>
      </w:r>
      <w:proofErr w:type="gramEnd"/>
      <w:r>
        <w:rPr>
          <w:sz w:val="20"/>
        </w:rPr>
        <w:t xml:space="preserve"> Using the Bhagavad Gita alongside the </w:t>
      </w:r>
      <w:proofErr w:type="spellStart"/>
      <w:r>
        <w:rPr>
          <w:sz w:val="20"/>
        </w:rPr>
        <w:t>Arthashastra</w:t>
      </w:r>
      <w:proofErr w:type="spellEnd"/>
      <w:r>
        <w:rPr>
          <w:sz w:val="20"/>
        </w:rPr>
        <w:t xml:space="preserve"> provides both personal and professional guidance. Neither the academic Gita systems [5], [6] nor the deployed Quran system [28] covers both areas.</w:t>
      </w:r>
    </w:p>
    <w:p w14:paraId="4623EB42" w14:textId="4BD50B61" w:rsidR="00F773D6" w:rsidRDefault="00800698">
      <w:pPr>
        <w:spacing w:after="60" w:line="240" w:lineRule="auto"/>
        <w:ind w:left="360" w:hanging="300"/>
        <w:jc w:val="both"/>
      </w:pPr>
      <w:r>
        <w:rPr>
          <w:sz w:val="20"/>
        </w:rPr>
        <w:t xml:space="preserve">4. Relationally Aware Safety </w:t>
      </w:r>
      <w:proofErr w:type="gramStart"/>
      <w:r>
        <w:rPr>
          <w:sz w:val="20"/>
        </w:rPr>
        <w:t xml:space="preserve">Gate </w:t>
      </w:r>
      <w:r w:rsidR="007A0BC2">
        <w:rPr>
          <w:sz w:val="20"/>
        </w:rPr>
        <w:t>:</w:t>
      </w:r>
      <w:r>
        <w:rPr>
          <w:sz w:val="20"/>
        </w:rPr>
        <w:t>A</w:t>
      </w:r>
      <w:proofErr w:type="gramEnd"/>
      <w:r>
        <w:rPr>
          <w:sz w:val="20"/>
        </w:rPr>
        <w:t xml:space="preserve"> dedicated safety gate draws on guardrail and crisis-detection research [8], [16], [23]-[25], as well as SAGE’s graph-based strategy design [27]. It also addresses the harm caused by abrupt refusals in [30]. Every query is screened before guidance is produced, and conversations end through a staged process rather than a sudden refusal.</w:t>
      </w:r>
    </w:p>
    <w:p w14:paraId="6B0516E5" w14:textId="77777777" w:rsidR="00F773D6" w:rsidRDefault="00800698">
      <w:pPr>
        <w:keepNext/>
        <w:spacing w:before="80" w:after="40" w:line="240" w:lineRule="auto"/>
      </w:pPr>
      <w:r>
        <w:rPr>
          <w:i/>
          <w:iCs/>
          <w:sz w:val="20"/>
        </w:rPr>
        <w:t>B. Limitations and Risks the Project Must Address</w:t>
      </w:r>
    </w:p>
    <w:p w14:paraId="3D4C39D1" w14:textId="77777777" w:rsidR="00F773D6" w:rsidRDefault="00800698">
      <w:pPr>
        <w:spacing w:after="60" w:line="240" w:lineRule="auto"/>
        <w:ind w:firstLine="200"/>
        <w:jc w:val="both"/>
      </w:pPr>
      <w:r>
        <w:rPr>
          <w:sz w:val="20"/>
        </w:rPr>
        <w:t>This subsection frames these as risks the project has to manage going forward, rather than gaps that earlier work simply failed to notice.</w:t>
      </w:r>
    </w:p>
    <w:p w14:paraId="3052CCAF" w14:textId="77777777" w:rsidR="00F773D6" w:rsidRDefault="00800698">
      <w:pPr>
        <w:spacing w:after="60" w:line="240" w:lineRule="auto"/>
        <w:ind w:left="360" w:hanging="300"/>
        <w:jc w:val="both"/>
      </w:pPr>
      <w:r>
        <w:rPr>
          <w:sz w:val="20"/>
        </w:rPr>
        <w:t>1. Hallucination Risk Remains Unresolved — as Herzfeld argues in [33], every LLM-based scripture system, including this project, carries a risk of hallucination. Retrieval grounding lowers this risk but cannot prevent responses from being linked to verses that do not support them.</w:t>
      </w:r>
    </w:p>
    <w:p w14:paraId="73833388" w14:textId="77777777" w:rsidR="00F773D6" w:rsidRDefault="00800698">
      <w:pPr>
        <w:spacing w:after="60" w:line="240" w:lineRule="auto"/>
        <w:ind w:left="360" w:hanging="300"/>
        <w:jc w:val="both"/>
      </w:pPr>
      <w:r>
        <w:rPr>
          <w:sz w:val="20"/>
        </w:rPr>
        <w:t>2. Bias Risk Is Evidenced, Not Assumed — Biana [29] found that existing religion-based chatbots gave biased answers to questions about gender. This project’s responses to similar questions therefore require direct evaluation rather than an assumption of neutrality.</w:t>
      </w:r>
    </w:p>
    <w:p w14:paraId="0B5CE012" w14:textId="77777777" w:rsidR="00F773D6" w:rsidRDefault="00800698">
      <w:pPr>
        <w:spacing w:after="60" w:line="240" w:lineRule="auto"/>
        <w:ind w:left="360" w:hanging="300"/>
        <w:jc w:val="both"/>
      </w:pPr>
      <w:r>
        <w:rPr>
          <w:sz w:val="20"/>
        </w:rPr>
        <w:t>3. Safety Refusals May Cause Harm — according to [30], a safety gate that suddenly ends an emotionally charged exchange may feel like rejection. The gate should support a staged closing process, rather than only detect unsafe content.</w:t>
      </w:r>
    </w:p>
    <w:p w14:paraId="050CC92A" w14:textId="77777777" w:rsidR="00F773D6" w:rsidRDefault="00800698">
      <w:pPr>
        <w:spacing w:after="60" w:line="240" w:lineRule="auto"/>
        <w:ind w:left="360" w:hanging="300"/>
        <w:jc w:val="both"/>
      </w:pPr>
      <w:r>
        <w:rPr>
          <w:sz w:val="20"/>
        </w:rPr>
        <w:t>4. Emotional Dependency Is Measurable — as reported in [31], users of emotionally responsive chatbots show self-regulation difficulties and dependency at meaningful rates. The proposed system must track these outcomes, alongside accuracy and safety-gate precision.</w:t>
      </w:r>
    </w:p>
    <w:p w14:paraId="568E13B1" w14:textId="77777777" w:rsidR="00F773D6" w:rsidRDefault="00800698">
      <w:pPr>
        <w:spacing w:after="60" w:line="240" w:lineRule="auto"/>
        <w:ind w:left="360" w:hanging="300"/>
        <w:jc w:val="both"/>
      </w:pPr>
      <w:r>
        <w:rPr>
          <w:sz w:val="20"/>
        </w:rPr>
        <w:t>5. Previous Systems Have Limited Scripture Coverage — the academic Gita-based systems [5], [9] address only the Gita, while the closest deployed example [28] covers only the Quran. None of the reviewed studies has attempted reasoning across both texts.</w:t>
      </w:r>
    </w:p>
    <w:p w14:paraId="2396596D" w14:textId="77777777" w:rsidR="00F773D6" w:rsidRDefault="00800698">
      <w:pPr>
        <w:keepNext/>
        <w:spacing w:before="80" w:after="40" w:line="240" w:lineRule="auto"/>
      </w:pPr>
      <w:r>
        <w:rPr>
          <w:i/>
          <w:iCs/>
          <w:sz w:val="20"/>
        </w:rPr>
        <w:t>C. Applications</w:t>
      </w:r>
    </w:p>
    <w:p w14:paraId="59F16231" w14:textId="77777777" w:rsidR="00F773D6" w:rsidRDefault="00800698">
      <w:pPr>
        <w:spacing w:after="60" w:line="240" w:lineRule="auto"/>
        <w:ind w:left="360" w:hanging="300"/>
        <w:jc w:val="both"/>
      </w:pPr>
      <w:r>
        <w:rPr>
          <w:sz w:val="20"/>
        </w:rPr>
        <w:t>1. Personal Emotional Guidance — for users dealing with grief, doubt or burnout. Guidance would draw on scripture, match their emotional state and monitor the risks of dependency and bias.</w:t>
      </w:r>
    </w:p>
    <w:p w14:paraId="1C50E977" w14:textId="77777777" w:rsidR="00F773D6" w:rsidRDefault="00800698">
      <w:pPr>
        <w:spacing w:after="60" w:line="240" w:lineRule="auto"/>
        <w:ind w:left="360" w:hanging="300"/>
        <w:jc w:val="both"/>
      </w:pPr>
      <w:r>
        <w:rPr>
          <w:sz w:val="20"/>
        </w:rPr>
        <w:lastRenderedPageBreak/>
        <w:t xml:space="preserve">2. Professional and Career Decision Support — applying reasoning based on the </w:t>
      </w:r>
      <w:proofErr w:type="spellStart"/>
      <w:r>
        <w:rPr>
          <w:sz w:val="20"/>
        </w:rPr>
        <w:t>Arthashastra</w:t>
      </w:r>
      <w:proofErr w:type="spellEnd"/>
      <w:r>
        <w:rPr>
          <w:sz w:val="20"/>
        </w:rPr>
        <w:t xml:space="preserve"> to decisions about careers, businesses and leadership.</w:t>
      </w:r>
    </w:p>
    <w:p w14:paraId="671930C7" w14:textId="77777777" w:rsidR="00F773D6" w:rsidRDefault="00800698">
      <w:pPr>
        <w:spacing w:after="60" w:line="240" w:lineRule="auto"/>
        <w:ind w:left="360" w:hanging="300"/>
        <w:jc w:val="both"/>
      </w:pPr>
      <w:r>
        <w:rPr>
          <w:sz w:val="20"/>
        </w:rPr>
        <w:t>3. Mental-Health-Adjacent Support — with a safety gate that accounts for relational factors, the system could offer initial non-clinical support and refer users to appropriate services when required. Referrals would occur in stages rather than abruptly.</w:t>
      </w:r>
    </w:p>
    <w:p w14:paraId="4C71251F" w14:textId="77777777" w:rsidR="00F773D6" w:rsidRDefault="00800698">
      <w:pPr>
        <w:spacing w:after="60" w:line="240" w:lineRule="auto"/>
        <w:ind w:left="360" w:hanging="300"/>
        <w:jc w:val="both"/>
      </w:pPr>
      <w:r>
        <w:rPr>
          <w:sz w:val="20"/>
        </w:rPr>
        <w:t>4. Multilingual Extension — building on the multilingual foundation in [9], the same architecture could provide guidance in regional languages.</w:t>
      </w:r>
    </w:p>
    <w:p w14:paraId="2BAA0682" w14:textId="77777777" w:rsidR="00F773D6" w:rsidRDefault="00800698">
      <w:pPr>
        <w:keepNext/>
        <w:spacing w:before="110" w:after="50" w:line="240" w:lineRule="auto"/>
        <w:jc w:val="center"/>
      </w:pPr>
      <w:r>
        <w:rPr>
          <w:b/>
          <w:bCs/>
          <w:sz w:val="20"/>
        </w:rPr>
        <w:t>VII. CONCLUSION AND FUTURE SCOPE</w:t>
      </w:r>
    </w:p>
    <w:p w14:paraId="34C86073" w14:textId="77777777" w:rsidR="00F773D6" w:rsidRDefault="00800698">
      <w:pPr>
        <w:keepNext/>
        <w:spacing w:before="80" w:after="40" w:line="240" w:lineRule="auto"/>
      </w:pPr>
      <w:r>
        <w:rPr>
          <w:i/>
          <w:iCs/>
          <w:sz w:val="20"/>
        </w:rPr>
        <w:t>A. Conclusion</w:t>
      </w:r>
    </w:p>
    <w:p w14:paraId="0628F09A" w14:textId="77777777" w:rsidR="00F773D6" w:rsidRDefault="00800698">
      <w:pPr>
        <w:spacing w:after="60" w:line="240" w:lineRule="auto"/>
        <w:ind w:firstLine="200"/>
        <w:jc w:val="both"/>
      </w:pPr>
      <w:r>
        <w:rPr>
          <w:sz w:val="20"/>
        </w:rPr>
        <w:t>Thirty-four sources, spanning technical work, deployed products, and critical literature, add up to a narrower and better-evidenced conclusion than a basic feature-gap survey would give. Scripture-grounded retrieval is feasible on a self-reported measure [5], with one independently deployed example outside the Gita domain [28]. Knowledge-graph reasoning is also feasible, though it carries a documented computational cost [3], [11]</w:t>
      </w:r>
      <w:proofErr w:type="gramStart"/>
      <w:r>
        <w:rPr>
          <w:sz w:val="20"/>
        </w:rPr>
        <w:t>–[</w:t>
      </w:r>
      <w:proofErr w:type="gramEnd"/>
      <w:r>
        <w:rPr>
          <w:sz w:val="20"/>
        </w:rPr>
        <w:t>13], [15], [32]. A knowledge graph can be combined with a crisis-aware safety layer for general counselling [27]. Safety and mental-health assessment remain active research areas, with recent work questioning the value of its own interventions [30]. Critical studies also show that scripture-grounded, emotionally responsive AI can cause real harm when developed without these safeguards [29], [33], [34]. This review therefore supports a project that combines emotion-intensity modelling, dual-scripture structured retrieval, knowledge-graph explanations, and a safety gate sensitive to relationships within one pipeline. Comparing this project against the nearest existing systems shows the gap is specific and real, not something inferred from a narrow search.</w:t>
      </w:r>
    </w:p>
    <w:p w14:paraId="6BA2E8BC" w14:textId="77777777" w:rsidR="00F773D6" w:rsidRDefault="00800698">
      <w:pPr>
        <w:keepNext/>
        <w:spacing w:before="80" w:after="40" w:line="240" w:lineRule="auto"/>
      </w:pPr>
      <w:r>
        <w:rPr>
          <w:i/>
          <w:iCs/>
          <w:sz w:val="20"/>
        </w:rPr>
        <w:t>B. Future Scope</w:t>
      </w:r>
    </w:p>
    <w:p w14:paraId="63C75541" w14:textId="77777777" w:rsidR="00F773D6" w:rsidRDefault="00800698">
      <w:pPr>
        <w:spacing w:after="60" w:line="240" w:lineRule="auto"/>
        <w:ind w:left="360" w:hanging="300"/>
        <w:jc w:val="both"/>
      </w:pPr>
      <w:r>
        <w:rPr>
          <w:sz w:val="20"/>
        </w:rPr>
        <w:t xml:space="preserve">1. Multi-Scripture Expansion — The same knowledge-graph architecture could be applied to philosophical texts beyond the Gita and </w:t>
      </w:r>
      <w:proofErr w:type="spellStart"/>
      <w:r>
        <w:rPr>
          <w:sz w:val="20"/>
        </w:rPr>
        <w:t>Arthashastra</w:t>
      </w:r>
      <w:proofErr w:type="spellEnd"/>
      <w:r>
        <w:rPr>
          <w:sz w:val="20"/>
        </w:rPr>
        <w:t>.</w:t>
      </w:r>
    </w:p>
    <w:p w14:paraId="711E7A3F" w14:textId="77777777" w:rsidR="00F773D6" w:rsidRDefault="00800698">
      <w:pPr>
        <w:spacing w:after="60" w:line="240" w:lineRule="auto"/>
        <w:ind w:left="360" w:hanging="300"/>
        <w:jc w:val="both"/>
      </w:pPr>
      <w:r>
        <w:rPr>
          <w:sz w:val="20"/>
        </w:rPr>
        <w:t xml:space="preserve">2. Explainable Deep Retrieval — Future studies should move beyond citing passages and explain why each retrieval path was selected. This would address the </w:t>
      </w:r>
      <w:proofErr w:type="spellStart"/>
      <w:r>
        <w:rPr>
          <w:sz w:val="20"/>
        </w:rPr>
        <w:t>explainability</w:t>
      </w:r>
      <w:proofErr w:type="spellEnd"/>
      <w:r>
        <w:rPr>
          <w:sz w:val="20"/>
        </w:rPr>
        <w:t xml:space="preserve"> gap identified in [15].</w:t>
      </w:r>
    </w:p>
    <w:p w14:paraId="3944C8B6" w14:textId="77777777" w:rsidR="00F773D6" w:rsidRDefault="00800698">
      <w:pPr>
        <w:spacing w:after="60" w:line="240" w:lineRule="auto"/>
        <w:ind w:left="360" w:hanging="300"/>
        <w:jc w:val="both"/>
      </w:pPr>
      <w:r>
        <w:rPr>
          <w:sz w:val="20"/>
        </w:rPr>
        <w:t>3. Clinical-Grade and Adversarial Safety Validation — Safety gates should be tested against structured risk tools [8], [16], [25] and adversarial queries. This should follow CBC’s assessment of deployed Gita chatbots [34], rather than rely only on well-behaved test queries.</w:t>
      </w:r>
    </w:p>
    <w:p w14:paraId="1ED4B17B" w14:textId="77777777" w:rsidR="00F773D6" w:rsidRDefault="00800698">
      <w:pPr>
        <w:spacing w:after="60" w:line="240" w:lineRule="auto"/>
        <w:ind w:left="360" w:hanging="300"/>
        <w:jc w:val="both"/>
      </w:pPr>
      <w:r>
        <w:rPr>
          <w:sz w:val="20"/>
        </w:rPr>
        <w:t>4. Independent Bias and Dependency Auditing — In view of the risks reported in [29] and [31], future assessments should include an external audit of gender and religious-interpretation bias. Task accuracy alone will not catch this — usage patterns tied to dependency need to be examined too.</w:t>
      </w:r>
    </w:p>
    <w:p w14:paraId="60A97A79" w14:textId="77777777" w:rsidR="00F773D6" w:rsidRDefault="00800698">
      <w:pPr>
        <w:spacing w:after="60" w:line="240" w:lineRule="auto"/>
        <w:ind w:left="360" w:hanging="300"/>
        <w:jc w:val="both"/>
      </w:pPr>
      <w:r>
        <w:rPr>
          <w:sz w:val="20"/>
        </w:rPr>
        <w:t>5. Multimodal Guidance — adding voice input and output would make the system usable for people who cannot, or would rather not, type.</w:t>
      </w:r>
    </w:p>
    <w:p w14:paraId="60CC5609" w14:textId="77777777" w:rsidR="00F773D6" w:rsidRDefault="00800698">
      <w:pPr>
        <w:keepNext/>
        <w:spacing w:before="110" w:after="50" w:line="240" w:lineRule="auto"/>
        <w:jc w:val="center"/>
      </w:pPr>
      <w:r>
        <w:rPr>
          <w:b/>
          <w:bCs/>
          <w:sz w:val="20"/>
        </w:rPr>
        <w:t>REFERENCES</w:t>
      </w:r>
    </w:p>
    <w:p w14:paraId="1A0D8E8F" w14:textId="77777777" w:rsidR="00F773D6" w:rsidRDefault="00800698">
      <w:pPr>
        <w:spacing w:after="25" w:line="240" w:lineRule="auto"/>
        <w:jc w:val="both"/>
      </w:pPr>
      <w:r>
        <w:rPr>
          <w:sz w:val="16"/>
          <w:szCs w:val="16"/>
        </w:rPr>
        <w:t>[1]</w:t>
      </w:r>
      <w:r>
        <w:rPr>
          <w:sz w:val="16"/>
          <w:szCs w:val="16"/>
        </w:rPr>
        <w:tab/>
        <w:t xml:space="preserve">E. C. Stade et al., “Large Language Models Could Change the Future of </w:t>
      </w:r>
      <w:proofErr w:type="spellStart"/>
      <w:r>
        <w:rPr>
          <w:sz w:val="16"/>
          <w:szCs w:val="16"/>
        </w:rPr>
        <w:t>Behavioral</w:t>
      </w:r>
      <w:proofErr w:type="spellEnd"/>
      <w:r>
        <w:rPr>
          <w:sz w:val="16"/>
          <w:szCs w:val="16"/>
        </w:rPr>
        <w:t xml:space="preserve"> Healthcare,” NPJ Mental Health Research, vol. 3, no. 1, p. 12, 2024.</w:t>
      </w:r>
    </w:p>
    <w:p w14:paraId="1522BE06" w14:textId="77777777" w:rsidR="00F773D6" w:rsidRDefault="00800698">
      <w:pPr>
        <w:spacing w:after="25" w:line="240" w:lineRule="auto"/>
        <w:jc w:val="both"/>
      </w:pPr>
      <w:r>
        <w:rPr>
          <w:sz w:val="16"/>
          <w:szCs w:val="16"/>
        </w:rPr>
        <w:t>[2]</w:t>
      </w:r>
      <w:r>
        <w:rPr>
          <w:sz w:val="16"/>
          <w:szCs w:val="16"/>
        </w:rPr>
        <w:tab/>
        <w:t>Z. Guo, A. Lai, J. H. Thygesen, J. Farrington, T. Keen, and K. Li, “Large Language Models for Mental Health Applications: Systematic Review,” JMIR Mental Health, vol. 11, e57400, 2024.</w:t>
      </w:r>
    </w:p>
    <w:p w14:paraId="70E096E3" w14:textId="77777777" w:rsidR="00F773D6" w:rsidRDefault="00800698">
      <w:pPr>
        <w:spacing w:after="25" w:line="240" w:lineRule="auto"/>
        <w:jc w:val="both"/>
      </w:pPr>
      <w:r>
        <w:rPr>
          <w:sz w:val="16"/>
          <w:szCs w:val="16"/>
        </w:rPr>
        <w:t>[3]</w:t>
      </w:r>
      <w:r>
        <w:rPr>
          <w:sz w:val="16"/>
          <w:szCs w:val="16"/>
        </w:rPr>
        <w:tab/>
        <w:t>D. Edge et al., “From Local to Global: A Graph RAG Approach to Query-Focused Summarization,” Microsoft Research, arXiv:2404.16130, 2024.</w:t>
      </w:r>
    </w:p>
    <w:p w14:paraId="730970D5" w14:textId="77777777" w:rsidR="00F773D6" w:rsidRDefault="00800698">
      <w:pPr>
        <w:spacing w:after="25" w:line="240" w:lineRule="auto"/>
        <w:jc w:val="both"/>
      </w:pPr>
      <w:r>
        <w:rPr>
          <w:sz w:val="16"/>
          <w:szCs w:val="16"/>
        </w:rPr>
        <w:t>[4]</w:t>
      </w:r>
      <w:r>
        <w:rPr>
          <w:sz w:val="16"/>
          <w:szCs w:val="16"/>
        </w:rPr>
        <w:tab/>
        <w:t xml:space="preserve">S. K. </w:t>
      </w:r>
      <w:proofErr w:type="spellStart"/>
      <w:r>
        <w:rPr>
          <w:sz w:val="16"/>
          <w:szCs w:val="16"/>
        </w:rPr>
        <w:t>Gannamraju</w:t>
      </w:r>
      <w:proofErr w:type="spellEnd"/>
      <w:r>
        <w:rPr>
          <w:sz w:val="16"/>
          <w:szCs w:val="16"/>
        </w:rPr>
        <w:t xml:space="preserve"> and V. H. </w:t>
      </w:r>
      <w:proofErr w:type="spellStart"/>
      <w:r>
        <w:rPr>
          <w:sz w:val="16"/>
          <w:szCs w:val="16"/>
        </w:rPr>
        <w:t>Chembrolu</w:t>
      </w:r>
      <w:proofErr w:type="spellEnd"/>
      <w:r>
        <w:rPr>
          <w:sz w:val="16"/>
          <w:szCs w:val="16"/>
        </w:rPr>
        <w:t>, “Lived Experiences of Spiritual Emotional Intelligence: A Bhagavad Gita Indigenous Model of Psychological Wellbeing,” Frontiers in Psychology, vol. 16, 2025.</w:t>
      </w:r>
    </w:p>
    <w:p w14:paraId="4C3A8AA6" w14:textId="77777777" w:rsidR="00F773D6" w:rsidRDefault="00800698">
      <w:pPr>
        <w:spacing w:after="25" w:line="240" w:lineRule="auto"/>
        <w:jc w:val="both"/>
      </w:pPr>
      <w:r>
        <w:rPr>
          <w:sz w:val="16"/>
          <w:szCs w:val="16"/>
        </w:rPr>
        <w:t>[5]</w:t>
      </w:r>
      <w:r>
        <w:rPr>
          <w:sz w:val="16"/>
          <w:szCs w:val="16"/>
        </w:rPr>
        <w:tab/>
        <w:t xml:space="preserve">R. M. </w:t>
      </w:r>
      <w:proofErr w:type="spellStart"/>
      <w:r>
        <w:rPr>
          <w:sz w:val="16"/>
          <w:szCs w:val="16"/>
        </w:rPr>
        <w:t>Dhokane</w:t>
      </w:r>
      <w:proofErr w:type="spellEnd"/>
      <w:r>
        <w:rPr>
          <w:sz w:val="16"/>
          <w:szCs w:val="16"/>
        </w:rPr>
        <w:t xml:space="preserve">, S. D. Malusare, P. A. Jadhav, S. B. Bhalerao, and S. S. </w:t>
      </w:r>
      <w:proofErr w:type="spellStart"/>
      <w:r>
        <w:rPr>
          <w:sz w:val="16"/>
          <w:szCs w:val="16"/>
        </w:rPr>
        <w:t>Autade</w:t>
      </w:r>
      <w:proofErr w:type="spellEnd"/>
      <w:r>
        <w:rPr>
          <w:sz w:val="16"/>
          <w:szCs w:val="16"/>
        </w:rPr>
        <w:t>, “Bhagavad Gita AI: An Intelligent Spiritual Guide,” International Journal for Research in Applied Science &amp; Engineering Technology (IJRASET), vol. 14, no. 3, 2026.</w:t>
      </w:r>
    </w:p>
    <w:p w14:paraId="7CE5D21A" w14:textId="77777777" w:rsidR="00F773D6" w:rsidRDefault="00800698">
      <w:pPr>
        <w:spacing w:after="25" w:line="240" w:lineRule="auto"/>
        <w:jc w:val="both"/>
      </w:pPr>
      <w:r>
        <w:rPr>
          <w:sz w:val="16"/>
          <w:szCs w:val="16"/>
        </w:rPr>
        <w:t>[6]</w:t>
      </w:r>
      <w:r>
        <w:rPr>
          <w:sz w:val="16"/>
          <w:szCs w:val="16"/>
        </w:rPr>
        <w:tab/>
        <w:t xml:space="preserve">J. </w:t>
      </w:r>
      <w:proofErr w:type="spellStart"/>
      <w:r>
        <w:rPr>
          <w:sz w:val="16"/>
          <w:szCs w:val="16"/>
        </w:rPr>
        <w:t>Kapuriya</w:t>
      </w:r>
      <w:proofErr w:type="spellEnd"/>
      <w:r>
        <w:rPr>
          <w:sz w:val="16"/>
          <w:szCs w:val="16"/>
        </w:rPr>
        <w:t>, A. Singh, J. Shukla, and R. R. Shah, “Spiritual-LLM: Gita Inspired Mental Health Therapy in the Era of LLMs,” arXiv:2506.19185, 2025.</w:t>
      </w:r>
    </w:p>
    <w:p w14:paraId="17BA1A72" w14:textId="77777777" w:rsidR="00F773D6" w:rsidRDefault="00800698">
      <w:pPr>
        <w:spacing w:after="25" w:line="240" w:lineRule="auto"/>
        <w:jc w:val="both"/>
      </w:pPr>
      <w:r>
        <w:rPr>
          <w:sz w:val="16"/>
          <w:szCs w:val="16"/>
        </w:rPr>
        <w:t>[7]</w:t>
      </w:r>
      <w:r>
        <w:rPr>
          <w:sz w:val="16"/>
          <w:szCs w:val="16"/>
        </w:rPr>
        <w:tab/>
        <w:t xml:space="preserve">M. </w:t>
      </w:r>
      <w:proofErr w:type="spellStart"/>
      <w:r>
        <w:rPr>
          <w:sz w:val="16"/>
          <w:szCs w:val="16"/>
        </w:rPr>
        <w:t>Ghorbian</w:t>
      </w:r>
      <w:proofErr w:type="spellEnd"/>
      <w:r>
        <w:rPr>
          <w:sz w:val="16"/>
          <w:szCs w:val="16"/>
        </w:rPr>
        <w:t xml:space="preserve"> and M. </w:t>
      </w:r>
      <w:proofErr w:type="spellStart"/>
      <w:r>
        <w:rPr>
          <w:sz w:val="16"/>
          <w:szCs w:val="16"/>
        </w:rPr>
        <w:t>Ghobaei</w:t>
      </w:r>
      <w:proofErr w:type="spellEnd"/>
      <w:r>
        <w:rPr>
          <w:sz w:val="16"/>
          <w:szCs w:val="16"/>
        </w:rPr>
        <w:t>-Arani, “Large Language Models for Mental Health Diagnosis and Treatment: A Survey,” Artificial Intelligence Review, vol. 59, article 9, 2025.</w:t>
      </w:r>
    </w:p>
    <w:p w14:paraId="59954993" w14:textId="77777777" w:rsidR="00F773D6" w:rsidRDefault="00800698">
      <w:pPr>
        <w:spacing w:after="25" w:line="240" w:lineRule="auto"/>
        <w:jc w:val="both"/>
      </w:pPr>
      <w:r>
        <w:rPr>
          <w:sz w:val="16"/>
          <w:szCs w:val="16"/>
        </w:rPr>
        <w:t>[8]</w:t>
      </w:r>
      <w:r>
        <w:rPr>
          <w:sz w:val="16"/>
          <w:szCs w:val="16"/>
        </w:rPr>
        <w:tab/>
        <w:t xml:space="preserve">L. Riedemann, M. Labonne, and S. Gilbert, “The Path Forward for Large Language Models in Medicine Is Open,” </w:t>
      </w:r>
      <w:proofErr w:type="spellStart"/>
      <w:r>
        <w:rPr>
          <w:sz w:val="16"/>
          <w:szCs w:val="16"/>
        </w:rPr>
        <w:t>npj</w:t>
      </w:r>
      <w:proofErr w:type="spellEnd"/>
      <w:r>
        <w:rPr>
          <w:sz w:val="16"/>
          <w:szCs w:val="16"/>
        </w:rPr>
        <w:t xml:space="preserve"> Digital Medicine, vol. 7, article 339, 2024.</w:t>
      </w:r>
    </w:p>
    <w:p w14:paraId="4F347527" w14:textId="77777777" w:rsidR="00F773D6" w:rsidRDefault="00800698">
      <w:pPr>
        <w:spacing w:after="25" w:line="240" w:lineRule="auto"/>
        <w:jc w:val="both"/>
      </w:pPr>
      <w:r>
        <w:rPr>
          <w:sz w:val="16"/>
          <w:szCs w:val="16"/>
        </w:rPr>
        <w:t>[9]</w:t>
      </w:r>
      <w:r>
        <w:rPr>
          <w:sz w:val="16"/>
          <w:szCs w:val="16"/>
        </w:rPr>
        <w:tab/>
        <w:t>R. Chandra et al., “Multilingual NLP for Linguistic and Philosophical Analysis of the Bhagavad Gita,” Discover Computing, Springer Nature, 2026.</w:t>
      </w:r>
    </w:p>
    <w:p w14:paraId="2A7F3076" w14:textId="77777777" w:rsidR="00F773D6" w:rsidRDefault="00800698">
      <w:pPr>
        <w:spacing w:after="25" w:line="240" w:lineRule="auto"/>
        <w:jc w:val="both"/>
      </w:pPr>
      <w:r>
        <w:rPr>
          <w:sz w:val="16"/>
          <w:szCs w:val="16"/>
        </w:rPr>
        <w:t>[10]</w:t>
      </w:r>
      <w:r>
        <w:rPr>
          <w:sz w:val="16"/>
          <w:szCs w:val="16"/>
        </w:rPr>
        <w:tab/>
        <w:t xml:space="preserve">M. Nandan A D, I. Godbole, P. </w:t>
      </w:r>
      <w:proofErr w:type="spellStart"/>
      <w:r>
        <w:rPr>
          <w:sz w:val="16"/>
          <w:szCs w:val="16"/>
        </w:rPr>
        <w:t>Kapparad</w:t>
      </w:r>
      <w:proofErr w:type="spellEnd"/>
      <w:r>
        <w:rPr>
          <w:sz w:val="16"/>
          <w:szCs w:val="16"/>
        </w:rPr>
        <w:t>, and S. Bhattacharjee, “Comparative Analysis of Religious Texts: NLP Approaches to the Bible, Quran, and Bhagavad Gita,” Proc. New Horizons in Computational Linguistics for Religious Texts (</w:t>
      </w:r>
      <w:proofErr w:type="spellStart"/>
      <w:r>
        <w:rPr>
          <w:sz w:val="16"/>
          <w:szCs w:val="16"/>
        </w:rPr>
        <w:t>CLRel</w:t>
      </w:r>
      <w:proofErr w:type="spellEnd"/>
      <w:r>
        <w:rPr>
          <w:sz w:val="16"/>
          <w:szCs w:val="16"/>
        </w:rPr>
        <w:t>), ACL Anthology, pp. 1–10, 2025.</w:t>
      </w:r>
    </w:p>
    <w:p w14:paraId="6C72E9CB" w14:textId="77777777" w:rsidR="00F773D6" w:rsidRDefault="00800698">
      <w:pPr>
        <w:spacing w:after="25" w:line="240" w:lineRule="auto"/>
        <w:jc w:val="both"/>
      </w:pPr>
      <w:r>
        <w:rPr>
          <w:sz w:val="16"/>
          <w:szCs w:val="16"/>
        </w:rPr>
        <w:t>[11]</w:t>
      </w:r>
      <w:r>
        <w:rPr>
          <w:sz w:val="16"/>
          <w:szCs w:val="16"/>
        </w:rPr>
        <w:tab/>
        <w:t>S. Pan, L. Luo, Y. Wang, C. Chen, J. Wang, and X. Wu, “Unifying Large Language Models and Knowledge Graphs: A Roadmap,” IEEE Trans. Knowledge and Data Engineering, vol. 36, no. 7, pp. 3580–3599, 2024.</w:t>
      </w:r>
    </w:p>
    <w:p w14:paraId="0F80032A" w14:textId="77777777" w:rsidR="00F773D6" w:rsidRDefault="00800698">
      <w:pPr>
        <w:spacing w:after="25" w:line="240" w:lineRule="auto"/>
        <w:jc w:val="both"/>
      </w:pPr>
      <w:r>
        <w:rPr>
          <w:sz w:val="16"/>
          <w:szCs w:val="16"/>
        </w:rPr>
        <w:t>[12]</w:t>
      </w:r>
      <w:r>
        <w:rPr>
          <w:sz w:val="16"/>
          <w:szCs w:val="16"/>
        </w:rPr>
        <w:tab/>
        <w:t xml:space="preserve">E. Rajabi and K. </w:t>
      </w:r>
      <w:proofErr w:type="spellStart"/>
      <w:r>
        <w:rPr>
          <w:sz w:val="16"/>
          <w:szCs w:val="16"/>
        </w:rPr>
        <w:t>Etminani</w:t>
      </w:r>
      <w:proofErr w:type="spellEnd"/>
      <w:r>
        <w:rPr>
          <w:sz w:val="16"/>
          <w:szCs w:val="16"/>
        </w:rPr>
        <w:t>, “Knowledge-Graph-Based Explainable AI: A Systematic Review,” Journal of Information Science, vol. 50, pp. 1019–1029, 2024.</w:t>
      </w:r>
    </w:p>
    <w:p w14:paraId="3D0623D2" w14:textId="77777777" w:rsidR="00F773D6" w:rsidRDefault="00800698">
      <w:pPr>
        <w:spacing w:after="25" w:line="240" w:lineRule="auto"/>
        <w:jc w:val="both"/>
      </w:pPr>
      <w:r>
        <w:rPr>
          <w:sz w:val="16"/>
          <w:szCs w:val="16"/>
        </w:rPr>
        <w:t>[13]</w:t>
      </w:r>
      <w:r>
        <w:rPr>
          <w:sz w:val="16"/>
          <w:szCs w:val="16"/>
        </w:rPr>
        <w:tab/>
        <w:t xml:space="preserve">N. Ibrahim, S. </w:t>
      </w:r>
      <w:proofErr w:type="spellStart"/>
      <w:r>
        <w:rPr>
          <w:sz w:val="16"/>
          <w:szCs w:val="16"/>
        </w:rPr>
        <w:t>Aboulela</w:t>
      </w:r>
      <w:proofErr w:type="spellEnd"/>
      <w:r>
        <w:rPr>
          <w:sz w:val="16"/>
          <w:szCs w:val="16"/>
        </w:rPr>
        <w:t>, A. Ibrahim, and R. Kashef, “A Survey on Augmenting Knowledge Graphs (KGs) with Large Language Models (LLMs): Models, Evaluation Metrics, Benchmarks, and Challenges,” Discover Artificial Intelligence, vol. 4, article 76, 2024.</w:t>
      </w:r>
    </w:p>
    <w:p w14:paraId="2F9906A8" w14:textId="77777777" w:rsidR="00F773D6" w:rsidRDefault="00800698">
      <w:pPr>
        <w:spacing w:after="25" w:line="240" w:lineRule="auto"/>
        <w:jc w:val="both"/>
      </w:pPr>
      <w:r>
        <w:rPr>
          <w:sz w:val="16"/>
          <w:szCs w:val="16"/>
        </w:rPr>
        <w:t>[14]</w:t>
      </w:r>
      <w:r>
        <w:rPr>
          <w:sz w:val="16"/>
          <w:szCs w:val="16"/>
        </w:rPr>
        <w:tab/>
        <w:t>B. K. Putrawan, “From Prayer to Data: The Transformation of Theology in the Age of Artificial Intelligence and Its Implications for Religious Practice,” Transformation, 2025.</w:t>
      </w:r>
    </w:p>
    <w:p w14:paraId="1CA12CEE" w14:textId="77777777" w:rsidR="00F773D6" w:rsidRDefault="00800698">
      <w:pPr>
        <w:spacing w:after="25" w:line="240" w:lineRule="auto"/>
        <w:jc w:val="both"/>
      </w:pPr>
      <w:r>
        <w:rPr>
          <w:sz w:val="16"/>
          <w:szCs w:val="16"/>
        </w:rPr>
        <w:t>[15]</w:t>
      </w:r>
      <w:r>
        <w:rPr>
          <w:sz w:val="16"/>
          <w:szCs w:val="16"/>
        </w:rPr>
        <w:tab/>
        <w:t>R. S. Dehal, M. Sharma, and E. Rajabi, “Knowledge Graphs and Their Reciprocal Relationship with Large Language Models,” Machine Learning and Knowledge Extraction, vol. 7, no. 2, article 38, 2025.</w:t>
      </w:r>
    </w:p>
    <w:p w14:paraId="6E456E64" w14:textId="77777777" w:rsidR="00F773D6" w:rsidRDefault="00800698">
      <w:pPr>
        <w:spacing w:after="25" w:line="240" w:lineRule="auto"/>
        <w:jc w:val="both"/>
      </w:pPr>
      <w:r>
        <w:rPr>
          <w:sz w:val="16"/>
          <w:szCs w:val="16"/>
        </w:rPr>
        <w:t>[16]</w:t>
      </w:r>
      <w:r>
        <w:rPr>
          <w:sz w:val="16"/>
          <w:szCs w:val="16"/>
        </w:rPr>
        <w:tab/>
        <w:t xml:space="preserve">E. Asgari, N. Montana Brown, M. Dubois, S. Khalil, J. Balloch, J. Au Yeung, and D. Pimentel, “A Framework to Assess Clinical Safety and Hallucination Rates of LLMs for Medical Text Summarisation,” </w:t>
      </w:r>
      <w:proofErr w:type="spellStart"/>
      <w:r>
        <w:rPr>
          <w:sz w:val="16"/>
          <w:szCs w:val="16"/>
        </w:rPr>
        <w:t>npj</w:t>
      </w:r>
      <w:proofErr w:type="spellEnd"/>
      <w:r>
        <w:rPr>
          <w:sz w:val="16"/>
          <w:szCs w:val="16"/>
        </w:rPr>
        <w:t xml:space="preserve"> Digital Medicine, 2025.</w:t>
      </w:r>
    </w:p>
    <w:p w14:paraId="78A8DA8D" w14:textId="77777777" w:rsidR="00F773D6" w:rsidRDefault="00800698">
      <w:pPr>
        <w:spacing w:after="25" w:line="240" w:lineRule="auto"/>
        <w:jc w:val="both"/>
      </w:pPr>
      <w:r>
        <w:rPr>
          <w:sz w:val="16"/>
          <w:szCs w:val="16"/>
        </w:rPr>
        <w:t>[17]</w:t>
      </w:r>
      <w:r>
        <w:rPr>
          <w:sz w:val="16"/>
          <w:szCs w:val="16"/>
        </w:rPr>
        <w:tab/>
        <w:t>A. H. T. Tan and K. C. Leo, “Safety of LLM-Based AI Chatbots for Young Consumers in Purchase Decisions,” Young Consumers: Insight and Ideas for Responsible Marketers, vol. 26, no. 5, pp. 831–847, 2025.</w:t>
      </w:r>
    </w:p>
    <w:p w14:paraId="00D5468B" w14:textId="77777777" w:rsidR="00F773D6" w:rsidRDefault="00800698">
      <w:pPr>
        <w:spacing w:after="25" w:line="240" w:lineRule="auto"/>
        <w:jc w:val="both"/>
      </w:pPr>
      <w:r>
        <w:rPr>
          <w:sz w:val="16"/>
          <w:szCs w:val="16"/>
        </w:rPr>
        <w:t>[18]</w:t>
      </w:r>
      <w:r>
        <w:rPr>
          <w:sz w:val="16"/>
          <w:szCs w:val="16"/>
        </w:rPr>
        <w:tab/>
        <w:t>W. Dong, W. Wang, X. Han, J. Huang, L. Li, and Y. Huang, “Can GPT-4 Provide Human-Level Emotion Support? Insights from Machine Learning-Based Evaluation Framework,” Computers in Biology and Medicine, vol. 196, 110789, 2025.</w:t>
      </w:r>
    </w:p>
    <w:p w14:paraId="10FFE497" w14:textId="77777777" w:rsidR="00F773D6" w:rsidRDefault="00800698">
      <w:pPr>
        <w:spacing w:after="25" w:line="240" w:lineRule="auto"/>
        <w:jc w:val="both"/>
      </w:pPr>
      <w:r>
        <w:rPr>
          <w:sz w:val="16"/>
          <w:szCs w:val="16"/>
        </w:rPr>
        <w:t>[19]</w:t>
      </w:r>
      <w:r>
        <w:rPr>
          <w:sz w:val="16"/>
          <w:szCs w:val="16"/>
        </w:rPr>
        <w:tab/>
        <w:t xml:space="preserve">Y. Hua et al., “A Scoping Review of Large Language Models for Generative Tasks in Mental Health Care,” </w:t>
      </w:r>
      <w:proofErr w:type="spellStart"/>
      <w:r>
        <w:rPr>
          <w:sz w:val="16"/>
          <w:szCs w:val="16"/>
        </w:rPr>
        <w:t>npj</w:t>
      </w:r>
      <w:proofErr w:type="spellEnd"/>
      <w:r>
        <w:rPr>
          <w:sz w:val="16"/>
          <w:szCs w:val="16"/>
        </w:rPr>
        <w:t xml:space="preserve"> Digital Medicine, vol. 8, no. 1, article 230, 2025.</w:t>
      </w:r>
    </w:p>
    <w:p w14:paraId="43F14122" w14:textId="77777777" w:rsidR="00F773D6" w:rsidRDefault="00800698">
      <w:pPr>
        <w:spacing w:after="25" w:line="240" w:lineRule="auto"/>
        <w:jc w:val="both"/>
      </w:pPr>
      <w:r>
        <w:rPr>
          <w:sz w:val="16"/>
          <w:szCs w:val="16"/>
        </w:rPr>
        <w:t>[20]</w:t>
      </w:r>
      <w:r>
        <w:rPr>
          <w:sz w:val="16"/>
          <w:szCs w:val="16"/>
        </w:rPr>
        <w:tab/>
        <w:t>Y. Hua et al., “Charting the Evolution of Artificial Intelligence Mental Health Chatbots from Rule-Based Systems to Large Language Models: A Systematic Review,” World Psychiatry, vol. 24, no. 3, pp. 383–394, 2025.</w:t>
      </w:r>
    </w:p>
    <w:p w14:paraId="195C9740" w14:textId="77777777" w:rsidR="00F773D6" w:rsidRDefault="00800698">
      <w:pPr>
        <w:spacing w:after="25" w:line="240" w:lineRule="auto"/>
        <w:jc w:val="both"/>
      </w:pPr>
      <w:r>
        <w:rPr>
          <w:sz w:val="16"/>
          <w:szCs w:val="16"/>
        </w:rPr>
        <w:t>[21]</w:t>
      </w:r>
      <w:r>
        <w:rPr>
          <w:sz w:val="16"/>
          <w:szCs w:val="16"/>
        </w:rPr>
        <w:tab/>
        <w:t>M. Malgaroli et al., “Large Language Models for the Mental Health Community: Framework for Translating Code to Care,” The Lancet Digital Health, 2025.</w:t>
      </w:r>
    </w:p>
    <w:p w14:paraId="10231E9C" w14:textId="77777777" w:rsidR="00F773D6" w:rsidRDefault="00800698">
      <w:pPr>
        <w:spacing w:after="25" w:line="240" w:lineRule="auto"/>
        <w:jc w:val="both"/>
      </w:pPr>
      <w:r>
        <w:rPr>
          <w:sz w:val="16"/>
          <w:szCs w:val="16"/>
        </w:rPr>
        <w:lastRenderedPageBreak/>
        <w:t>[22]</w:t>
      </w:r>
      <w:r>
        <w:rPr>
          <w:sz w:val="16"/>
          <w:szCs w:val="16"/>
        </w:rPr>
        <w:tab/>
        <w:t>C. Papakostas, “Artificial Intelligence in Religious Education: Ethical, Pedagogical, and Theological Perspectives,” Religions, vol. 16, no. 5, article 563, 2025.</w:t>
      </w:r>
    </w:p>
    <w:p w14:paraId="2E5A0E88" w14:textId="77777777" w:rsidR="00F773D6" w:rsidRDefault="00800698">
      <w:pPr>
        <w:spacing w:after="25" w:line="240" w:lineRule="auto"/>
        <w:jc w:val="both"/>
      </w:pPr>
      <w:r>
        <w:rPr>
          <w:sz w:val="16"/>
          <w:szCs w:val="16"/>
        </w:rPr>
        <w:t>[23]</w:t>
      </w:r>
      <w:r>
        <w:rPr>
          <w:sz w:val="16"/>
          <w:szCs w:val="16"/>
        </w:rPr>
        <w:tab/>
        <w:t xml:space="preserve">B. G. Teferra et al., “Assessing the Impact of Safety Guardrails on Large Language Models Using Irritability Metrics,” </w:t>
      </w:r>
      <w:proofErr w:type="spellStart"/>
      <w:r>
        <w:rPr>
          <w:sz w:val="16"/>
          <w:szCs w:val="16"/>
        </w:rPr>
        <w:t>npj</w:t>
      </w:r>
      <w:proofErr w:type="spellEnd"/>
      <w:r>
        <w:rPr>
          <w:sz w:val="16"/>
          <w:szCs w:val="16"/>
        </w:rPr>
        <w:t xml:space="preserve"> Digital Medicine, 2026.</w:t>
      </w:r>
    </w:p>
    <w:p w14:paraId="4FEC324D" w14:textId="77777777" w:rsidR="00F773D6" w:rsidRDefault="00800698">
      <w:pPr>
        <w:spacing w:after="25" w:line="240" w:lineRule="auto"/>
        <w:jc w:val="both"/>
      </w:pPr>
      <w:r>
        <w:rPr>
          <w:sz w:val="16"/>
          <w:szCs w:val="16"/>
        </w:rPr>
        <w:t>[24]</w:t>
      </w:r>
      <w:r>
        <w:rPr>
          <w:sz w:val="16"/>
          <w:szCs w:val="16"/>
        </w:rPr>
        <w:tab/>
        <w:t xml:space="preserve">S. Weber, D. Klebe, L. Wolf, et al., “Suicide- and Crisis-Risk Detection Using Large Language Models in Mental-Health Chatbots,” </w:t>
      </w:r>
      <w:proofErr w:type="spellStart"/>
      <w:r>
        <w:rPr>
          <w:sz w:val="16"/>
          <w:szCs w:val="16"/>
        </w:rPr>
        <w:t>medRxiv</w:t>
      </w:r>
      <w:proofErr w:type="spellEnd"/>
      <w:r>
        <w:rPr>
          <w:sz w:val="16"/>
          <w:szCs w:val="16"/>
        </w:rPr>
        <w:t>, posted Jan. 15, 2026, doi:10.64898/2026.01.12.26343914.</w:t>
      </w:r>
    </w:p>
    <w:p w14:paraId="335284F9" w14:textId="77777777" w:rsidR="00F773D6" w:rsidRDefault="00800698">
      <w:pPr>
        <w:spacing w:after="25" w:line="240" w:lineRule="auto"/>
        <w:jc w:val="both"/>
      </w:pPr>
      <w:r>
        <w:rPr>
          <w:sz w:val="16"/>
          <w:szCs w:val="16"/>
        </w:rPr>
        <w:t>[25]</w:t>
      </w:r>
      <w:r>
        <w:rPr>
          <w:sz w:val="16"/>
          <w:szCs w:val="16"/>
        </w:rPr>
        <w:tab/>
        <w:t xml:space="preserve">K. H. Bentley, L. Belli, A. M. </w:t>
      </w:r>
      <w:proofErr w:type="spellStart"/>
      <w:r>
        <w:rPr>
          <w:sz w:val="16"/>
          <w:szCs w:val="16"/>
        </w:rPr>
        <w:t>Chekroud</w:t>
      </w:r>
      <w:proofErr w:type="spellEnd"/>
      <w:r>
        <w:rPr>
          <w:sz w:val="16"/>
          <w:szCs w:val="16"/>
        </w:rPr>
        <w:t xml:space="preserve">, E. J. Ward, E. R. Dworkin, E. Van Ark, K. M. Johnston, W. Alexander, M. Brown, and M. </w:t>
      </w:r>
      <w:proofErr w:type="spellStart"/>
      <w:r>
        <w:rPr>
          <w:sz w:val="16"/>
          <w:szCs w:val="16"/>
        </w:rPr>
        <w:t>Hawrilenko</w:t>
      </w:r>
      <w:proofErr w:type="spellEnd"/>
      <w:r>
        <w:rPr>
          <w:sz w:val="16"/>
          <w:szCs w:val="16"/>
        </w:rPr>
        <w:t>, “VERA-MH: Reliability and Validity of an Open-Source AI Safety Evaluation in Mental Health,” arXiv:2602.05088, 2026.</w:t>
      </w:r>
    </w:p>
    <w:p w14:paraId="7FC4057E" w14:textId="77777777" w:rsidR="00F773D6" w:rsidRDefault="00800698">
      <w:pPr>
        <w:spacing w:after="25" w:line="240" w:lineRule="auto"/>
        <w:jc w:val="both"/>
      </w:pPr>
      <w:r>
        <w:rPr>
          <w:sz w:val="16"/>
          <w:szCs w:val="16"/>
        </w:rPr>
        <w:t>[26]</w:t>
      </w:r>
      <w:r>
        <w:rPr>
          <w:sz w:val="16"/>
          <w:szCs w:val="16"/>
        </w:rPr>
        <w:tab/>
        <w:t xml:space="preserve">M. C. </w:t>
      </w:r>
      <w:proofErr w:type="spellStart"/>
      <w:r>
        <w:rPr>
          <w:sz w:val="16"/>
          <w:szCs w:val="16"/>
        </w:rPr>
        <w:t>Lokadjaja</w:t>
      </w:r>
      <w:proofErr w:type="spellEnd"/>
      <w:r>
        <w:rPr>
          <w:sz w:val="16"/>
          <w:szCs w:val="16"/>
        </w:rPr>
        <w:t>, J. J. Kho, P. J. Schulz, and W. W. B. Goh, “Large Language Models and Their Applications in Mental Health: Scoping Review,” JMIR Mental Health, vol. 13, e88057, 2026.</w:t>
      </w:r>
    </w:p>
    <w:p w14:paraId="1E13A617" w14:textId="77777777" w:rsidR="00F773D6" w:rsidRDefault="00800698">
      <w:pPr>
        <w:spacing w:after="25" w:line="240" w:lineRule="auto"/>
        <w:jc w:val="both"/>
      </w:pPr>
      <w:r>
        <w:rPr>
          <w:sz w:val="16"/>
          <w:szCs w:val="16"/>
        </w:rPr>
        <w:t>[27]</w:t>
      </w:r>
      <w:r>
        <w:rPr>
          <w:sz w:val="16"/>
          <w:szCs w:val="16"/>
        </w:rPr>
        <w:tab/>
        <w:t xml:space="preserve">E. N. Aharon, L. Ben Dayan, I. Shenfeld, M. Grimland, Y. Levi Belz, A. Segal, and K. Gal, “SAGE: A Strategy-Aware Graph-Enhanced Generation Framework for Online </w:t>
      </w:r>
      <w:proofErr w:type="spellStart"/>
      <w:r>
        <w:rPr>
          <w:sz w:val="16"/>
          <w:szCs w:val="16"/>
        </w:rPr>
        <w:t>Counseling</w:t>
      </w:r>
      <w:proofErr w:type="spellEnd"/>
      <w:r>
        <w:rPr>
          <w:sz w:val="16"/>
          <w:szCs w:val="16"/>
        </w:rPr>
        <w:t>,” arXiv:2604.26630, 2026.</w:t>
      </w:r>
    </w:p>
    <w:p w14:paraId="72D788CF" w14:textId="77777777" w:rsidR="00F773D6" w:rsidRDefault="00800698">
      <w:pPr>
        <w:spacing w:after="25" w:line="240" w:lineRule="auto"/>
        <w:jc w:val="both"/>
      </w:pPr>
      <w:r>
        <w:rPr>
          <w:sz w:val="16"/>
          <w:szCs w:val="16"/>
        </w:rPr>
        <w:t>[28]</w:t>
      </w:r>
      <w:r>
        <w:rPr>
          <w:sz w:val="16"/>
          <w:szCs w:val="16"/>
        </w:rPr>
        <w:tab/>
        <w:t xml:space="preserve">Quran Chat, “Quran Chat — Your AI Guide for </w:t>
      </w:r>
      <w:proofErr w:type="spellStart"/>
      <w:r>
        <w:rPr>
          <w:sz w:val="16"/>
          <w:szCs w:val="16"/>
        </w:rPr>
        <w:t>Deen</w:t>
      </w:r>
      <w:proofErr w:type="spellEnd"/>
      <w:r>
        <w:rPr>
          <w:sz w:val="16"/>
          <w:szCs w:val="16"/>
        </w:rPr>
        <w:t xml:space="preserve"> &amp; Islamic Guidance,” https://thequranchat.com/, accessed Sept. 2026.</w:t>
      </w:r>
    </w:p>
    <w:p w14:paraId="51A85FD7" w14:textId="77777777" w:rsidR="00F773D6" w:rsidRDefault="00800698">
      <w:pPr>
        <w:spacing w:after="25" w:line="240" w:lineRule="auto"/>
        <w:jc w:val="both"/>
      </w:pPr>
      <w:r>
        <w:rPr>
          <w:sz w:val="16"/>
          <w:szCs w:val="16"/>
        </w:rPr>
        <w:t>[29]</w:t>
      </w:r>
      <w:r>
        <w:rPr>
          <w:sz w:val="16"/>
          <w:szCs w:val="16"/>
        </w:rPr>
        <w:tab/>
        <w:t>H. T. Biana, “Feminist Re-Engineering of Religion-Based AI Chatbots,” Philosophies, vol. 9, no. 1, article 20, 2024.</w:t>
      </w:r>
    </w:p>
    <w:p w14:paraId="437191A6" w14:textId="77777777" w:rsidR="00F773D6" w:rsidRDefault="00800698">
      <w:pPr>
        <w:spacing w:after="25" w:line="240" w:lineRule="auto"/>
        <w:jc w:val="both"/>
      </w:pPr>
      <w:r>
        <w:rPr>
          <w:sz w:val="16"/>
          <w:szCs w:val="16"/>
        </w:rPr>
        <w:t>[30]</w:t>
      </w:r>
      <w:r>
        <w:rPr>
          <w:sz w:val="16"/>
          <w:szCs w:val="16"/>
        </w:rPr>
        <w:tab/>
        <w:t>Y. Ni and T. Yang, “‘Even GPT Can Reject Me’: Conceptualizing Abrupt Refusal Secondary Harm (ARSH) and Reimagining Psychological AI Safety with Compassionate Completion Standard (CCS),” arXiv:2512.18776, 2025.</w:t>
      </w:r>
    </w:p>
    <w:p w14:paraId="76ED5F46" w14:textId="77777777" w:rsidR="00F773D6" w:rsidRDefault="00800698">
      <w:pPr>
        <w:spacing w:after="25" w:line="240" w:lineRule="auto"/>
        <w:jc w:val="both"/>
      </w:pPr>
      <w:r>
        <w:rPr>
          <w:sz w:val="16"/>
          <w:szCs w:val="16"/>
        </w:rPr>
        <w:t>[31]</w:t>
      </w:r>
      <w:r>
        <w:rPr>
          <w:sz w:val="16"/>
          <w:szCs w:val="16"/>
        </w:rPr>
        <w:tab/>
        <w:t xml:space="preserve">J. Zhu, K. G. Coifman, and R. </w:t>
      </w:r>
      <w:proofErr w:type="spellStart"/>
      <w:r>
        <w:rPr>
          <w:sz w:val="16"/>
          <w:szCs w:val="16"/>
        </w:rPr>
        <w:t>Jin</w:t>
      </w:r>
      <w:proofErr w:type="spellEnd"/>
      <w:r>
        <w:rPr>
          <w:sz w:val="16"/>
          <w:szCs w:val="16"/>
        </w:rPr>
        <w:t>, “Understanding Risk and Dependency in AI Chatbot Use from User Discourse,” arXiv:2602.09339, 2026.</w:t>
      </w:r>
    </w:p>
    <w:p w14:paraId="0B6CF5B2" w14:textId="77777777" w:rsidR="00F773D6" w:rsidRDefault="00800698">
      <w:pPr>
        <w:spacing w:after="25" w:line="240" w:lineRule="auto"/>
        <w:jc w:val="both"/>
      </w:pPr>
      <w:r>
        <w:rPr>
          <w:sz w:val="16"/>
          <w:szCs w:val="16"/>
        </w:rPr>
        <w:t>[32]</w:t>
      </w:r>
      <w:r>
        <w:rPr>
          <w:sz w:val="16"/>
          <w:szCs w:val="16"/>
        </w:rPr>
        <w:tab/>
        <w:t>Z. Y. Zhang, Z. Li, Y. Li, B. Ding, and B. K. H. Low, “Respecting Temporal-Causal Consistency: Entity-Event Knowledge Graphs for Retrieval-Augmented Generation,” in Proc. 19th Conf. European Chapter of the ACL (EACL), 2026.</w:t>
      </w:r>
    </w:p>
    <w:p w14:paraId="6E1A6B7A" w14:textId="77777777" w:rsidR="00F773D6" w:rsidRDefault="00800698">
      <w:pPr>
        <w:spacing w:after="25" w:line="240" w:lineRule="auto"/>
        <w:jc w:val="both"/>
      </w:pPr>
      <w:r>
        <w:rPr>
          <w:sz w:val="16"/>
          <w:szCs w:val="16"/>
        </w:rPr>
        <w:t>[33]</w:t>
      </w:r>
      <w:r>
        <w:rPr>
          <w:sz w:val="16"/>
          <w:szCs w:val="16"/>
        </w:rPr>
        <w:tab/>
        <w:t>W. Wright, “Shortcuts to God: What Happens When God Chatbots Start Giving Spiritual Guidance?” Scientific American, vol. 330, no. 4, p. 37, 2024.</w:t>
      </w:r>
    </w:p>
    <w:p w14:paraId="069A21E8" w14:textId="77777777" w:rsidR="00F773D6" w:rsidRDefault="00800698">
      <w:pPr>
        <w:spacing w:after="25" w:line="240" w:lineRule="auto"/>
        <w:jc w:val="both"/>
      </w:pPr>
      <w:r>
        <w:rPr>
          <w:sz w:val="16"/>
          <w:szCs w:val="16"/>
        </w:rPr>
        <w:t>[34]</w:t>
      </w:r>
      <w:r>
        <w:rPr>
          <w:sz w:val="16"/>
          <w:szCs w:val="16"/>
        </w:rPr>
        <w:tab/>
        <w:t>S. Shivji, “India’s Religious Chatbots Condone Violence Using the Voice of God,” CBC News, Jul. 2023.</w:t>
      </w:r>
    </w:p>
    <w:sectPr w:rsidR="00F773D6">
      <w:type w:val="continuous"/>
      <w:pgSz w:w="12240" w:h="15840"/>
      <w:pgMar w:top="1080" w:right="1080" w:bottom="1080" w:left="1080" w:header="720" w:footer="720" w:gutter="0"/>
      <w:cols w:num="2" w:space="2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773D6"/>
    <w:rsid w:val="007A0BC2"/>
    <w:rsid w:val="00800698"/>
    <w:rsid w:val="00F773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B6646C"/>
  <w15:docId w15:val="{6998ED8B-F654-4EF3-B959-E06BBB8A5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5804</Words>
  <Characters>33083</Characters>
  <Application>Microsoft Office Word</Application>
  <DocSecurity>0</DocSecurity>
  <Lines>275</Lines>
  <Paragraphs>77</Paragraphs>
  <ScaleCrop>false</ScaleCrop>
  <Company/>
  <LinksUpToDate>false</LinksUpToDate>
  <CharactersWithSpaces>38810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Emotion-Aware and Explainable Artificial Intelligence for Scripture-Grounded Guidance Systems: A Critical Literature Review</dc:title>
  <dc:creator>Harikrishna Panchal, Suresh Kurmbanshi</dc:creator>
  <cp:lastModifiedBy>Harikrishna Panchal</cp:lastModifiedBy>
  <cp:revision>3</cp:revision>
  <cp:lastPrinted>2026-09-30T17:24:00Z</cp:lastPrinted>
  <dcterms:created xsi:type="dcterms:W3CDTF">2026-09-30T17:24:00Z</dcterms:created>
  <dcterms:modified xsi:type="dcterms:W3CDTF">2026-09-30T18:03:00Z</dcterms:modified>
</cp:coreProperties>
</file>