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Georgia" w:cs="Georgia" w:eastAsia="Georgia" w:hAnsi="Georgia"/>
          <w:b/>
          <w:bCs/>
          <w:color w:val="111111"/>
          <w:sz w:val="25"/>
          <w:szCs w:val="25"/>
        </w:rPr>
        <w:t xml:space="preserve">Bounding Irreversible Attention Drift in Windowed KV-Cache Eviction via Quantized Retention</w:t>
      </w:r>
    </w:p>
    <w:p>
      <w:pPr>
        <w:spacing w:after="120"/>
        <w:jc w:val="center"/>
      </w:pPr>
      <w:r>
        <w:rPr>
          <w:rFonts w:ascii="Georgia" w:cs="Georgia" w:eastAsia="Georgia" w:hAnsi="Georgia"/>
          <w:i/>
          <w:iCs/>
          <w:color w:val="444444"/>
          <w:sz w:val="17"/>
          <w:szCs w:val="17"/>
        </w:rPr>
        <w:t xml:space="preserve">A research proposal for the StickyKV project</w:t>
      </w:r>
    </w:p>
    <w:p>
      <w:pPr>
        <w:spacing w:after="40" w:before="100"/>
      </w:pPr>
      <w:r>
        <w:rPr>
          <w:rFonts w:ascii="Georgia" w:cs="Georgia" w:eastAsia="Georgia" w:hAnsi="Georgia"/>
          <w:b/>
          <w:bCs/>
          <w:color w:val="111111"/>
          <w:sz w:val="19"/>
          <w:szCs w:val="19"/>
        </w:rPr>
        <w:t xml:space="preserve">1  Introduction</w:t>
      </w:r>
    </w:p>
    <w:p>
      <w:pPr>
        <w:spacing w:after="60" w:line="232"/>
        <w:jc w:val="both"/>
      </w:pPr>
      <w:r>
        <w:rPr>
          <w:rFonts w:ascii="Georgia" w:cs="Georgia" w:eastAsia="Georgia" w:hAnsi="Georgia"/>
          <w:sz w:val="17"/>
          <w:szCs w:val="17"/>
        </w:rPr>
        <w:t xml:space="preserve">Autoregressive generation over long contexts is constrained less by compute than by the key–value (KV) cache, whose memory footprint grows linearly with sequence length. Prior </w:t>
      </w:r>
      <w:r>
        <w:rPr>
          <w:rFonts w:ascii="Georgia" w:cs="Georgia" w:eastAsia="Georgia" w:hAnsi="Georgia"/>
          <w:i/>
          <w:iCs/>
          <w:sz w:val="17"/>
          <w:szCs w:val="17"/>
        </w:rPr>
        <w:t xml:space="preserve">eviction-based</w:t>
      </w:r>
      <w:r>
        <w:rPr>
          <w:rFonts w:ascii="Georgia" w:cs="Georgia" w:eastAsia="Georgia" w:hAnsi="Georgia"/>
          <w:sz w:val="17"/>
          <w:szCs w:val="17"/>
        </w:rPr>
        <w:t xml:space="preserve"> cache-management schemes bound this memory in different ways: StreamingLLM [2] uses no attention-based scoring at all, retaining a fixed initial </w:t>
      </w:r>
      <w:r>
        <w:rPr>
          <w:rFonts w:ascii="Georgia" w:cs="Georgia" w:eastAsia="Georgia" w:hAnsi="Georgia"/>
          <w:i/>
          <w:iCs/>
          <w:sz w:val="17"/>
          <w:szCs w:val="17"/>
        </w:rPr>
        <w:t xml:space="preserve">sink</w:t>
      </w:r>
      <w:r>
        <w:rPr>
          <w:rFonts w:ascii="Georgia" w:cs="Georgia" w:eastAsia="Georgia" w:hAnsi="Georgia"/>
          <w:sz w:val="17"/>
          <w:szCs w:val="17"/>
        </w:rPr>
        <w:t xml:space="preserve"> region and a sliding </w:t>
      </w:r>
      <w:r>
        <w:rPr>
          <w:rFonts w:ascii="Georgia" w:cs="Georgia" w:eastAsia="Georgia" w:hAnsi="Georgia"/>
          <w:i/>
          <w:iCs/>
          <w:sz w:val="17"/>
          <w:szCs w:val="17"/>
        </w:rPr>
        <w:t xml:space="preserve">local</w:t>
      </w:r>
      <w:r>
        <w:rPr>
          <w:rFonts w:ascii="Georgia" w:cs="Georgia" w:eastAsia="Georgia" w:hAnsi="Georgia"/>
          <w:sz w:val="17"/>
          <w:szCs w:val="17"/>
        </w:rPr>
        <w:t xml:space="preserve"> window purely by position; SnapKV [3] and the broader KVPress [4] framework score tokens using only a small, recent </w:t>
      </w:r>
      <w:r>
        <w:rPr>
          <w:rFonts w:ascii="Georgia" w:cs="Georgia" w:eastAsia="Georgia" w:hAnsi="Georgia"/>
          <w:i/>
          <w:iCs/>
          <w:sz w:val="17"/>
          <w:szCs w:val="17"/>
        </w:rPr>
        <w:t xml:space="preserve">observation window</w:t>
      </w:r>
      <w:r>
        <w:rPr>
          <w:rFonts w:ascii="Georgia" w:cs="Georgia" w:eastAsia="Georgia" w:hAnsi="Georgia"/>
          <w:sz w:val="17"/>
          <w:szCs w:val="17"/>
        </w:rPr>
        <w:t xml:space="preserve"> of queries against the prefix, not the full generation history; and H2O [1] instead accumulates attention scores </w:t>
      </w:r>
      <w:r>
        <w:rPr>
          <w:rFonts w:ascii="Georgia" w:cs="Georgia" w:eastAsia="Georgia" w:hAnsi="Georgia"/>
          <w:i/>
          <w:iCs/>
          <w:sz w:val="17"/>
          <w:szCs w:val="17"/>
        </w:rPr>
        <w:t xml:space="preserve">cumulatively</w:t>
      </w:r>
      <w:r>
        <w:rPr>
          <w:rFonts w:ascii="Georgia" w:cs="Georgia" w:eastAsia="Georgia" w:hAnsi="Georgia"/>
          <w:sz w:val="17"/>
          <w:szCs w:val="17"/>
        </w:rPr>
        <w:t xml:space="preserve"> over every step seen so far. A separate line of work, </w:t>
      </w:r>
      <w:r>
        <w:rPr>
          <w:rFonts w:ascii="Georgia" w:cs="Georgia" w:eastAsia="Georgia" w:hAnsi="Georgia"/>
          <w:i/>
          <w:iCs/>
          <w:sz w:val="17"/>
          <w:szCs w:val="17"/>
        </w:rPr>
        <w:t xml:space="preserve">cache quantization</w:t>
      </w:r>
      <w:r>
        <w:rPr>
          <w:rFonts w:ascii="Georgia" w:cs="Georgia" w:eastAsia="Georgia" w:hAnsi="Georgia"/>
          <w:sz w:val="17"/>
          <w:szCs w:val="17"/>
        </w:rPr>
        <w:t xml:space="preserve"> (KIVI [5], KVQuant [6], GEAR [7]), keeps every token but represents it at reduced bit-width instead of ranking it for removal. StickyKV combines the first three ideas: sink and local windows are pinned in the StreamingLLM style, but the remaining windows are ranked with an </w:t>
      </w:r>
      <w:r>
        <w:rPr>
          <w:rFonts w:ascii="Georgia" w:cs="Georgia" w:eastAsia="Georgia" w:hAnsi="Georgia"/>
          <w:i/>
          <w:iCs/>
          <w:sz w:val="17"/>
          <w:szCs w:val="17"/>
        </w:rPr>
        <w:t xml:space="preserve">H2O-style cumulative score</w:t>
      </w:r>
      <w:r>
        <w:rPr>
          <w:rFonts w:ascii="Georgia" w:cs="Georgia" w:eastAsia="Georgia" w:hAnsi="Georgia"/>
          <w:sz w:val="17"/>
          <w:szCs w:val="17"/>
        </w:rPr>
        <w:t xml:space="preserve"> — every query at every step votes for the keys it attends to, with no sliding observation window, so the full attention history is summed rather than sampled — and every </w:t>
      </w:r>
      <w:r>
        <w:rPr>
          <w:rFonts w:ascii="Consolas" w:cs="Consolas" w:eastAsia="Consolas" w:hAnsi="Consolas"/>
          <w:sz w:val="17"/>
          <w:szCs w:val="17"/>
        </w:rPr>
        <w:t xml:space="preserve">window_size</w:t>
      </w:r>
      <w:r>
        <w:rPr>
          <w:rFonts w:ascii="Georgia" w:cs="Georgia" w:eastAsia="Georgia" w:hAnsi="Georgia"/>
          <w:sz w:val="17"/>
          <w:szCs w:val="17"/>
        </w:rPr>
        <w:t xml:space="preserve"> steps the lowest-ranked evictable windows are compacted out while survivors are re-gathered contiguous and their keys re-rotated, following KVPress's [4] compact-and-rerotate methodology, so RoPE phase remains exact after compaction.</w:t>
      </w:r>
    </w:p>
    <w:p>
      <w:pPr>
        <w:spacing w:after="40" w:before="100"/>
      </w:pPr>
      <w:r>
        <w:rPr>
          <w:rFonts w:ascii="Georgia" w:cs="Georgia" w:eastAsia="Georgia" w:hAnsi="Georgia"/>
          <w:b/>
          <w:bCs/>
          <w:color w:val="111111"/>
          <w:sz w:val="19"/>
          <w:szCs w:val="19"/>
        </w:rPr>
        <w:t xml:space="preserve">2  Why Eviction, and Why Quantization Alone Is Not Enough</w:t>
      </w:r>
    </w:p>
    <w:p>
      <w:pPr>
        <w:spacing w:after="60" w:line="232"/>
        <w:jc w:val="both"/>
      </w:pPr>
      <w:r>
        <w:rPr>
          <w:rFonts w:ascii="Georgia" w:cs="Georgia" w:eastAsia="Georgia" w:hAnsi="Georgia"/>
          <w:sz w:val="17"/>
          <w:szCs w:val="17"/>
        </w:rPr>
        <w:t xml:space="preserve">Two empirical properties of transformer attention motivate treating eviction as the primary compression mechanism, with quantization as a secondary reserve rather than a full solution on its own. First, attention over long contexts is highly </w:t>
      </w:r>
      <w:r>
        <w:rPr>
          <w:rFonts w:ascii="Georgia" w:cs="Georgia" w:eastAsia="Georgia" w:hAnsi="Georgia"/>
          <w:i/>
          <w:iCs/>
          <w:sz w:val="17"/>
          <w:szCs w:val="17"/>
        </w:rPr>
        <w:t xml:space="preserve">concentrated</w:t>
      </w:r>
      <w:r>
        <w:rPr>
          <w:rFonts w:ascii="Georgia" w:cs="Georgia" w:eastAsia="Georgia" w:hAnsi="Georgia"/>
          <w:sz w:val="17"/>
          <w:szCs w:val="17"/>
        </w:rPr>
        <w:t xml:space="preserve">, not diffuse: H2O [1] shows that a small subset of “heavy-hitter” tokens accounts for the large majority of cumulative attention mass, and StreamingLLM [2] shows that a handful of initial tokens act as attention </w:t>
      </w:r>
      <w:r>
        <w:rPr>
          <w:rFonts w:ascii="Georgia" w:cs="Georgia" w:eastAsia="Georgia" w:hAnsi="Georgia"/>
          <w:i/>
          <w:iCs/>
          <w:sz w:val="17"/>
          <w:szCs w:val="17"/>
        </w:rPr>
        <w:t xml:space="preserve">sinks</w:t>
      </w:r>
      <w:r>
        <w:rPr>
          <w:rFonts w:ascii="Georgia" w:cs="Georgia" w:eastAsia="Georgia" w:hAnsi="Georgia"/>
          <w:sz w:val="17"/>
          <w:szCs w:val="17"/>
        </w:rPr>
        <w:t xml:space="preserve"> that absorb attention regardless of content, while most of the remaining context contributes comparatively little to any given query. If most cached tokens are attended to negligibly, storing all of them — even at a reduced bit-width — is a poor use of a fixed byte budget; it is better spent keeping the few heavy-hitters at full precision and storing nothing at all for the rest, rather than storing everything under uniform compression.</w:t>
      </w:r>
    </w:p>
    <w:p>
      <w:pPr>
        <w:spacing w:after="60" w:line="232"/>
        <w:jc w:val="both"/>
      </w:pPr>
      <w:r>
        <w:rPr>
          <w:rFonts w:ascii="Georgia" w:cs="Georgia" w:eastAsia="Georgia" w:hAnsi="Georgia"/>
          <w:sz w:val="17"/>
          <w:szCs w:val="17"/>
        </w:rPr>
        <w:t xml:space="preserve">Second, quantization is not free compression: it destroys information that cannot be recovered from the quantized representation alone. KV-cache quantization work (KIVI [5], KVQuant [6], GEAR [7]) documents systematic per-channel and per-token outliers in keys and values whose dynamic range forces a trade-off between clipping the outlier and coarsening the grid for every other value sharing its group; GEAR [7] goes so far as to add an explicit low-rank residual term specifically to absorb the error a uniform low-bit grid cannot represent. Quantizing the whole cache therefore imposes a fixed, non-zero accuracy cost on </w:t>
      </w:r>
      <w:r>
        <w:rPr>
          <w:rFonts w:ascii="Georgia" w:cs="Georgia" w:eastAsia="Georgia" w:hAnsi="Georgia"/>
          <w:i/>
          <w:iCs/>
          <w:sz w:val="17"/>
          <w:szCs w:val="17"/>
        </w:rPr>
        <w:t xml:space="preserve">every</w:t>
      </w:r>
      <w:r>
        <w:rPr>
          <w:rFonts w:ascii="Georgia" w:cs="Georgia" w:eastAsia="Georgia" w:hAnsi="Georgia"/>
          <w:sz w:val="17"/>
          <w:szCs w:val="17"/>
        </w:rPr>
        <w:t xml:space="preserve"> token, including the handful of heavy-hitters that dominate attention and can least afford to be perturbed.</w:t>
      </w:r>
    </w:p>
    <w:p>
      <w:pPr>
        <w:spacing w:after="60" w:line="232"/>
        <w:jc w:val="both"/>
      </w:pPr>
      <w:r>
        <w:rPr>
          <w:rFonts w:ascii="Georgia" w:cs="Georgia" w:eastAsia="Georgia" w:hAnsi="Georgia"/>
          <w:sz w:val="17"/>
          <w:szCs w:val="17"/>
        </w:rPr>
        <w:t xml:space="preserve">A hybrid is therefore preferable to either extreme. Eviction lets the system pay zero bits for tokens attention has already shown to be irrelevant — savings quantization alone cannot claim, since it always keeps something for everything. A quantized reserve, rather than immediate deletion, is kept only for the narrower, contested middle band of tokens whose importance is uncertain or may re-emerge, paying quantization's fixed error precisely where outright removal would be premature. Pure eviction (§3) has no way to hedge a wrong “irrelevant” call; pure quantization pays representation error on tokens that never needed any bits at all. Combining them spends each budget where it is cheapest.</w:t>
      </w:r>
    </w:p>
    <w:p>
      <w:pPr>
        <w:spacing w:after="40" w:before="100"/>
      </w:pPr>
      <w:r>
        <w:rPr>
          <w:rFonts w:ascii="Georgia" w:cs="Georgia" w:eastAsia="Georgia" w:hAnsi="Georgia"/>
          <w:b/>
          <w:bCs/>
          <w:color w:val="111111"/>
          <w:sz w:val="19"/>
          <w:szCs w:val="19"/>
        </w:rPr>
        <w:t xml:space="preserve">3  The Gap: Eviction Is a One-Way, Irreversible Decision</w:t>
      </w:r>
    </w:p>
    <w:p>
      <w:pPr>
        <w:spacing w:after="60" w:line="232"/>
        <w:jc w:val="both"/>
      </w:pPr>
      <w:r>
        <w:rPr>
          <w:rFonts w:ascii="Georgia" w:cs="Georgia" w:eastAsia="Georgia" w:hAnsi="Georgia"/>
          <w:sz w:val="17"/>
          <w:szCs w:val="17"/>
        </w:rPr>
        <w:t xml:space="preserve">Eviction and quantization are not, in the literature or in our own system, combined: a window is either retained at full precision or removed with zero remaining representation. This is a structural weakness, not merely a lossy one. A scoring policy can be arbitrarily well-calibrated at the step it fires and still be wrong in hindsight — a token relevant only to a later coreference, callback, or re-opened topic will have been permanently discarded before its relevance re-emerges. Because there is no intermediate state, the policy has no mechanism to correct such a decision after the fact, so every eviction event is a strictly monotonic, one-directional loss of information.</w:t>
      </w:r>
    </w:p>
    <w:p>
      <w:pPr>
        <w:spacing w:after="60" w:line="232"/>
        <w:jc w:val="both"/>
      </w:pPr>
      <w:r>
        <w:rPr>
          <w:rFonts w:ascii="Georgia" w:cs="Georgia" w:eastAsia="Georgia" w:hAnsi="Georgia"/>
          <w:sz w:val="17"/>
          <w:szCs w:val="17"/>
        </w:rPr>
        <w:t xml:space="preserve">Our own faithfulness sweep over StickyKV (8 configurations × 615 generation steps, measured against a full-cache baseline) makes this concrete rather than hypothetical. Missed attention mass — the fraction of baseline attention directed at tokens no longer in the cache — sits between 0.48 and 0.78 across all tested budgets and never recovers. Faithfulness relative to the baseline decays </w:t>
      </w:r>
      <w:r>
        <w:rPr>
          <w:rFonts w:ascii="Georgia" w:cs="Georgia" w:eastAsia="Georgia" w:hAnsi="Georgia"/>
          <w:b/>
          <w:bCs/>
          <w:sz w:val="17"/>
          <w:szCs w:val="17"/>
        </w:rPr>
        <w:t xml:space="preserve">monotonically</w:t>
      </w:r>
      <w:r>
        <w:rPr>
          <w:rFonts w:ascii="Georgia" w:cs="Georgia" w:eastAsia="Georgia" w:hAnsi="Georgia"/>
          <w:sz w:val="17"/>
          <w:szCs w:val="17"/>
        </w:rPr>
        <w:t xml:space="preserve"> with generation depth: Jaccard overlap of retained keys falls by roughly 0.15–0.27 points, and KL divergence from the baseline attention distribution worsens by up to 0.335, moving from the first quarter of generation to the remainder. The trend holds in every configuration tested, independent of window size, local-window size, or cache budget — evidence that the drift is a property of irreversible eviction itself, and will keep accumulating for as long as generation continues.</w:t>
      </w:r>
    </w:p>
    <w:p>
      <w:pPr>
        <w:spacing w:after="40" w:before="100"/>
      </w:pPr>
      <w:r>
        <w:rPr>
          <w:rFonts w:ascii="Georgia" w:cs="Georgia" w:eastAsia="Georgia" w:hAnsi="Georgia"/>
          <w:b/>
          <w:bCs/>
          <w:color w:val="111111"/>
          <w:sz w:val="19"/>
          <w:szCs w:val="19"/>
        </w:rPr>
        <w:t xml:space="preserve">4  Proposed Approach: Quantized Retention with Bidirectional Promotion</w:t>
      </w:r>
    </w:p>
    <w:p>
      <w:pPr>
        <w:spacing w:after="60" w:line="232"/>
        <w:jc w:val="both"/>
      </w:pPr>
      <w:r>
        <w:rPr>
          <w:rFonts w:ascii="Georgia" w:cs="Georgia" w:eastAsia="Georgia" w:hAnsi="Georgia"/>
          <w:sz w:val="17"/>
          <w:szCs w:val="17"/>
        </w:rPr>
        <w:t xml:space="preserve">We propose inserting a third state between </w:t>
      </w:r>
      <w:r>
        <w:rPr>
          <w:rFonts w:ascii="Georgia" w:cs="Georgia" w:eastAsia="Georgia" w:hAnsi="Georgia"/>
          <w:i/>
          <w:iCs/>
          <w:sz w:val="17"/>
          <w:szCs w:val="17"/>
        </w:rPr>
        <w:t xml:space="preserve">kept</w:t>
      </w:r>
      <w:r>
        <w:rPr>
          <w:rFonts w:ascii="Georgia" w:cs="Georgia" w:eastAsia="Georgia" w:hAnsi="Georgia"/>
          <w:sz w:val="17"/>
          <w:szCs w:val="17"/>
        </w:rPr>
        <w:t xml:space="preserve"> and </w:t>
      </w:r>
      <w:r>
        <w:rPr>
          <w:rFonts w:ascii="Georgia" w:cs="Georgia" w:eastAsia="Georgia" w:hAnsi="Georgia"/>
          <w:i/>
          <w:iCs/>
          <w:sz w:val="17"/>
          <w:szCs w:val="17"/>
        </w:rPr>
        <w:t xml:space="preserve">evicted</w:t>
      </w:r>
      <w:r>
        <w:rPr>
          <w:rFonts w:ascii="Georgia" w:cs="Georgia" w:eastAsia="Georgia" w:hAnsi="Georgia"/>
          <w:sz w:val="17"/>
          <w:szCs w:val="17"/>
        </w:rPr>
        <w:t xml:space="preserve">: a window that loses its place in the full-precision top-K is demoted to an int4 quantized (Q) tier rather than discarded, and — critically — can be </w:t>
      </w:r>
      <w:r>
        <w:rPr>
          <w:rFonts w:ascii="Georgia" w:cs="Georgia" w:eastAsia="Georgia" w:hAnsi="Georgia"/>
          <w:b/>
          <w:bCs/>
          <w:sz w:val="17"/>
          <w:szCs w:val="17"/>
        </w:rPr>
        <w:t xml:space="preserve">promoted back</w:t>
      </w:r>
      <w:r>
        <w:rPr>
          <w:rFonts w:ascii="Georgia" w:cs="Georgia" w:eastAsia="Georgia" w:hAnsi="Georgia"/>
          <w:sz w:val="17"/>
          <w:szCs w:val="17"/>
        </w:rPr>
        <w:t xml:space="preserve"> to full precision if it later re-enters the top-K ranking. This gives the policy the corrective path that pure eviction structurally lacks, at roughly one quarter the memory cost of an equivalent full-precision window, so a fixed byte budget can hold 3–4× more windows before any information is discarded beyond recovery.</w:t>
      </w:r>
    </w:p>
    <w:p>
      <w:pPr>
        <w:spacing w:after="60" w:line="232"/>
        <w:jc w:val="both"/>
      </w:pPr>
      <w:r>
        <w:rPr>
          <w:rFonts w:ascii="Georgia" w:cs="Georgia" w:eastAsia="Georgia" w:hAnsi="Georgia"/>
          <w:sz w:val="17"/>
          <w:szCs w:val="17"/>
        </w:rPr>
        <w:t xml:space="preserve">The central technical obstacle is that StickyKV's compact-and-rerotate cycle re-derives every surviving window's RoPE phase at </w:t>
      </w:r>
      <w:r>
        <w:rPr>
          <w:rFonts w:ascii="Georgia" w:cs="Georgia" w:eastAsia="Georgia" w:hAnsi="Georgia"/>
          <w:i/>
          <w:iCs/>
          <w:sz w:val="17"/>
          <w:szCs w:val="17"/>
        </w:rPr>
        <w:t xml:space="preserve">every</w:t>
      </w:r>
      <w:r>
        <w:rPr>
          <w:rFonts w:ascii="Georgia" w:cs="Georgia" w:eastAsia="Georgia" w:hAnsi="Georgia"/>
          <w:sz w:val="17"/>
          <w:szCs w:val="17"/>
        </w:rPr>
        <w:t xml:space="preserve"> eviction event. Naively storing Q-tier keys post-RoPE would force a dequantize→un-rotate→re-rotate→re-quantize cycle each time, and re-quantizing against a fixed grid is not idempotent — error would compound with every compaction, reproducing exactly the failure mode described in §3. We avoid this by quantizing </w:t>
      </w:r>
      <w:r>
        <w:rPr>
          <w:rFonts w:ascii="Georgia" w:cs="Georgia" w:eastAsia="Georgia" w:hAnsi="Georgia"/>
          <w:b/>
          <w:bCs/>
          <w:sz w:val="17"/>
          <w:szCs w:val="17"/>
        </w:rPr>
        <w:t xml:space="preserve">pre-RoPE</w:t>
      </w:r>
      <w:r>
        <w:rPr>
          <w:rFonts w:ascii="Georgia" w:cs="Georgia" w:eastAsia="Georgia" w:hAnsi="Georgia"/>
          <w:sz w:val="17"/>
          <w:szCs w:val="17"/>
        </w:rPr>
        <w:t xml:space="preserve">: a window is un-rotated once at the moment of demotion, its per-channel scale and zero-point are pinned to that first quantization and reused for the window's entire lifetime in the Q tier, and RoPE is re-applied fresh, from the codes, at every read using the window's current position. Because the pinned grid never changes, </w:t>
      </w:r>
      <w:r>
        <w:rPr>
          <w:rFonts w:ascii="Consolas" w:cs="Consolas" w:eastAsia="Consolas" w:hAnsi="Consolas"/>
          <w:sz w:val="17"/>
          <w:szCs w:val="17"/>
        </w:rPr>
        <w:t xml:space="preserve">quant(dequant(c)) = c</w:t>
      </w:r>
      <w:r>
        <w:rPr>
          <w:rFonts w:ascii="Georgia" w:cs="Georgia" w:eastAsia="Georgia" w:hAnsi="Georgia"/>
          <w:sz w:val="17"/>
          <w:szCs w:val="17"/>
        </w:rPr>
        <w:t xml:space="preserve"> exactly, so cycling a window through demotion, dequant-for-scoring, and promotion introduces zero additional error — quantization noise is fixed once and bounded, never accumulated.</w:t>
      </w:r>
    </w:p>
    <w:p>
      <w:pPr>
        <w:spacing w:after="60" w:line="232"/>
        <w:jc w:val="both"/>
      </w:pPr>
      <w:r>
        <w:rPr>
          <w:rFonts w:ascii="Georgia" w:cs="Georgia" w:eastAsia="Georgia" w:hAnsi="Georgia"/>
          <w:sz w:val="17"/>
          <w:szCs w:val="17"/>
        </w:rPr>
        <w:t xml:space="preserve">This pre-RoPE design has one further consequence: because positions are re-derived rather than stored, both tiers must be renumbered </w:t>
      </w:r>
      <w:r>
        <w:rPr>
          <w:rFonts w:ascii="Georgia" w:cs="Georgia" w:eastAsia="Georgia" w:hAnsi="Georgia"/>
          <w:i/>
          <w:iCs/>
          <w:sz w:val="17"/>
          <w:szCs w:val="17"/>
        </w:rPr>
        <w:t xml:space="preserve">jointly</w:t>
      </w:r>
      <w:r>
        <w:rPr>
          <w:rFonts w:ascii="Georgia" w:cs="Georgia" w:eastAsia="Georgia" w:hAnsi="Georgia"/>
          <w:sz w:val="17"/>
          <w:szCs w:val="17"/>
        </w:rPr>
        <w:t xml:space="preserve"> at every eviction. If a Q-tier window sits chronologically between two full-precision survivors, renumbering the fp tier alone and appending the Q tier afterward would mis-stamp it as more recent than it is, corrupting every attention score involving that window. We resolve this with an interleaved position map: at each eviction, all surviving windows from both tiers are sorted by their original chronological index and assigned one shared, contiguous position range, with fp keys re-rotated in place and Q-tier windows updated only in a lightweight ledger (no re-quantization). The query position is likewise overridden to the combined compacted length across both tiers, keeping query–key relative phase exact regardless of which tier a key resides in.</w:t>
      </w:r>
    </w:p>
    <w:p>
      <w:pPr>
        <w:spacing w:after="40" w:before="100"/>
      </w:pPr>
      <w:r>
        <w:rPr>
          <w:rFonts w:ascii="Georgia" w:cs="Georgia" w:eastAsia="Georgia" w:hAnsi="Georgia"/>
          <w:b/>
          <w:bCs/>
          <w:color w:val="111111"/>
          <w:sz w:val="19"/>
          <w:szCs w:val="19"/>
        </w:rPr>
        <w:t xml:space="preserve">5  Why This Closes the Gap</w:t>
      </w:r>
    </w:p>
    <w:p>
      <w:pPr>
        <w:spacing w:after="60" w:line="232"/>
        <w:jc w:val="both"/>
      </w:pPr>
      <w:r>
        <w:rPr>
          <w:rFonts w:ascii="Georgia" w:cs="Georgia" w:eastAsia="Georgia" w:hAnsi="Georgia"/>
          <w:sz w:val="17"/>
          <w:szCs w:val="17"/>
        </w:rPr>
        <w:t xml:space="preserve">Quantization error under a pinned grid is fixed at the moment of demotion; eviction error is unbounded and grows with sequence length, as our own data shows (§3). Bidirectional promotion gives the system a mechanism to reverse an earlier ranking mistake, which hard eviction cannot do by construction, without paying the accuracy tax of quantizing tokens that never needed it (§2). And because the Q tier is roughly four times denser per byte than the full-precision tier, the point at which information becomes truly unrecoverable is pushed substantially further out for the same memory budget.</w:t>
      </w:r>
    </w:p>
    <w:p>
      <w:pPr>
        <w:spacing w:after="40" w:before="100"/>
      </w:pPr>
      <w:r>
        <w:rPr>
          <w:rFonts w:ascii="Georgia" w:cs="Georgia" w:eastAsia="Georgia" w:hAnsi="Georgia"/>
          <w:b/>
          <w:bCs/>
          <w:color w:val="111111"/>
          <w:sz w:val="19"/>
          <w:szCs w:val="19"/>
        </w:rPr>
        <w:t xml:space="preserve">References</w:t>
      </w:r>
    </w:p>
    <w:p>
      <w:pPr>
        <w:spacing w:after="50" w:line="220"/>
        <w:ind w:left="320" w:hanging="320"/>
      </w:pPr>
      <w:r>
        <w:rPr>
          <w:rFonts w:ascii="Georgia" w:cs="Georgia" w:eastAsia="Georgia" w:hAnsi="Georgia"/>
          <w:sz w:val="15"/>
          <w:szCs w:val="15"/>
        </w:rPr>
        <w:t xml:space="preserve">[1] </w:t>
      </w:r>
      <w:r>
        <w:rPr>
          <w:rFonts w:ascii="Georgia" w:cs="Georgia" w:eastAsia="Georgia" w:hAnsi="Georgia"/>
          <w:sz w:val="15"/>
          <w:szCs w:val="15"/>
        </w:rPr>
        <w:t xml:space="preserve">Zhang, Z., Sheng, Y., et al. </w:t>
      </w:r>
      <w:r>
        <w:rPr>
          <w:rFonts w:ascii="Georgia" w:cs="Georgia" w:eastAsia="Georgia" w:hAnsi="Georgia"/>
          <w:i/>
          <w:iCs/>
          <w:sz w:val="15"/>
          <w:szCs w:val="15"/>
        </w:rPr>
        <w:t xml:space="preserve">H2O: Heavy-Hitter Oracle for Efficient Generative Inference of Large Language Models.</w:t>
      </w:r>
      <w:r>
        <w:rPr>
          <w:rFonts w:ascii="Georgia" w:cs="Georgia" w:eastAsia="Georgia" w:hAnsi="Georgia"/>
          <w:sz w:val="15"/>
          <w:szCs w:val="15"/>
        </w:rPr>
        <w:t xml:space="preserve"> NeurIPS 2023. arXiv:2306.14048.</w:t>
      </w:r>
    </w:p>
    <w:p>
      <w:pPr>
        <w:spacing w:after="50" w:line="220"/>
        <w:ind w:left="320" w:hanging="320"/>
      </w:pPr>
      <w:r>
        <w:rPr>
          <w:rFonts w:ascii="Georgia" w:cs="Georgia" w:eastAsia="Georgia" w:hAnsi="Georgia"/>
          <w:sz w:val="15"/>
          <w:szCs w:val="15"/>
        </w:rPr>
        <w:t xml:space="preserve">[2] </w:t>
      </w:r>
      <w:r>
        <w:rPr>
          <w:rFonts w:ascii="Georgia" w:cs="Georgia" w:eastAsia="Georgia" w:hAnsi="Georgia"/>
          <w:sz w:val="15"/>
          <w:szCs w:val="15"/>
        </w:rPr>
        <w:t xml:space="preserve">Xiao, G., Tian, Y., Chen, B., Han, S., Lewis, M. </w:t>
      </w:r>
      <w:r>
        <w:rPr>
          <w:rFonts w:ascii="Georgia" w:cs="Georgia" w:eastAsia="Georgia" w:hAnsi="Georgia"/>
          <w:i/>
          <w:iCs/>
          <w:sz w:val="15"/>
          <w:szCs w:val="15"/>
        </w:rPr>
        <w:t xml:space="preserve">Efficient Streaming Language Models with Attention Sinks.</w:t>
      </w:r>
      <w:r>
        <w:rPr>
          <w:rFonts w:ascii="Georgia" w:cs="Georgia" w:eastAsia="Georgia" w:hAnsi="Georgia"/>
          <w:sz w:val="15"/>
          <w:szCs w:val="15"/>
        </w:rPr>
        <w:t xml:space="preserve"> ICLR 2024. arXiv:2309.17453.</w:t>
      </w:r>
    </w:p>
    <w:p>
      <w:pPr>
        <w:spacing w:after="50" w:line="220"/>
        <w:ind w:left="320" w:hanging="320"/>
      </w:pPr>
      <w:r>
        <w:rPr>
          <w:rFonts w:ascii="Georgia" w:cs="Georgia" w:eastAsia="Georgia" w:hAnsi="Georgia"/>
          <w:sz w:val="15"/>
          <w:szCs w:val="15"/>
        </w:rPr>
        <w:t xml:space="preserve">[3] </w:t>
      </w:r>
      <w:r>
        <w:rPr>
          <w:rFonts w:ascii="Georgia" w:cs="Georgia" w:eastAsia="Georgia" w:hAnsi="Georgia"/>
          <w:sz w:val="15"/>
          <w:szCs w:val="15"/>
        </w:rPr>
        <w:t xml:space="preserve">Li, Y., Huang, Y., Yang, B., Venkitesh, B., Locatelli, A., Ye, H., Cai, T., Lewis, P., Chen, D. </w:t>
      </w:r>
      <w:r>
        <w:rPr>
          <w:rFonts w:ascii="Georgia" w:cs="Georgia" w:eastAsia="Georgia" w:hAnsi="Georgia"/>
          <w:i/>
          <w:iCs/>
          <w:sz w:val="15"/>
          <w:szCs w:val="15"/>
        </w:rPr>
        <w:t xml:space="preserve">SnapKV: LLM Knows What You Are Looking for Before Generation.</w:t>
      </w:r>
      <w:r>
        <w:rPr>
          <w:rFonts w:ascii="Georgia" w:cs="Georgia" w:eastAsia="Georgia" w:hAnsi="Georgia"/>
          <w:sz w:val="15"/>
          <w:szCs w:val="15"/>
        </w:rPr>
        <w:t xml:space="preserve"> NeurIPS 2024. arXiv:2404.14469.</w:t>
      </w:r>
    </w:p>
    <w:p>
      <w:pPr>
        <w:spacing w:after="50" w:line="220"/>
        <w:ind w:left="320" w:hanging="320"/>
      </w:pPr>
      <w:r>
        <w:rPr>
          <w:rFonts w:ascii="Georgia" w:cs="Georgia" w:eastAsia="Georgia" w:hAnsi="Georgia"/>
          <w:sz w:val="15"/>
          <w:szCs w:val="15"/>
        </w:rPr>
        <w:t xml:space="preserve">[4] </w:t>
      </w:r>
      <w:r>
        <w:rPr>
          <w:rFonts w:ascii="Georgia" w:cs="Georgia" w:eastAsia="Georgia" w:hAnsi="Georgia"/>
          <w:sz w:val="15"/>
          <w:szCs w:val="15"/>
        </w:rPr>
        <w:t xml:space="preserve">NVIDIA. </w:t>
      </w:r>
      <w:r>
        <w:rPr>
          <w:rFonts w:ascii="Georgia" w:cs="Georgia" w:eastAsia="Georgia" w:hAnsi="Georgia"/>
          <w:i/>
          <w:iCs/>
          <w:sz w:val="15"/>
          <w:szCs w:val="15"/>
        </w:rPr>
        <w:t xml:space="preserve">kvpress: LLM KV Cache Compression Made Easy.</w:t>
      </w:r>
      <w:r>
        <w:rPr>
          <w:rFonts w:ascii="Georgia" w:cs="Georgia" w:eastAsia="Georgia" w:hAnsi="Georgia"/>
          <w:sz w:val="15"/>
          <w:szCs w:val="15"/>
        </w:rPr>
        <w:t xml:space="preserve"> GitHub repository. https://github.com/NVIDIA/kvpress.</w:t>
      </w:r>
    </w:p>
    <w:p>
      <w:pPr>
        <w:spacing w:after="50" w:line="220"/>
        <w:ind w:left="320" w:hanging="320"/>
      </w:pPr>
      <w:r>
        <w:rPr>
          <w:rFonts w:ascii="Georgia" w:cs="Georgia" w:eastAsia="Georgia" w:hAnsi="Georgia"/>
          <w:sz w:val="15"/>
          <w:szCs w:val="15"/>
        </w:rPr>
        <w:t xml:space="preserve">[5] </w:t>
      </w:r>
      <w:r>
        <w:rPr>
          <w:rFonts w:ascii="Georgia" w:cs="Georgia" w:eastAsia="Georgia" w:hAnsi="Georgia"/>
          <w:sz w:val="15"/>
          <w:szCs w:val="15"/>
        </w:rPr>
        <w:t xml:space="preserve">Liu, Z., Yuan, J., Jin, H., Zhong, S., Xu, Z., Braverman, V., Chen, B., Hu, X. </w:t>
      </w:r>
      <w:r>
        <w:rPr>
          <w:rFonts w:ascii="Georgia" w:cs="Georgia" w:eastAsia="Georgia" w:hAnsi="Georgia"/>
          <w:i/>
          <w:iCs/>
          <w:sz w:val="15"/>
          <w:szCs w:val="15"/>
        </w:rPr>
        <w:t xml:space="preserve">KIVI: A Tuning-Free Asymmetric 2bit Quantization for KV Cache.</w:t>
      </w:r>
      <w:r>
        <w:rPr>
          <w:rFonts w:ascii="Georgia" w:cs="Georgia" w:eastAsia="Georgia" w:hAnsi="Georgia"/>
          <w:sz w:val="15"/>
          <w:szCs w:val="15"/>
        </w:rPr>
        <w:t xml:space="preserve"> ICML 2024. arXiv:2402.02750.</w:t>
      </w:r>
    </w:p>
    <w:p>
      <w:pPr>
        <w:spacing w:after="50" w:line="220"/>
        <w:ind w:left="320" w:hanging="320"/>
      </w:pPr>
      <w:r>
        <w:rPr>
          <w:rFonts w:ascii="Georgia" w:cs="Georgia" w:eastAsia="Georgia" w:hAnsi="Georgia"/>
          <w:sz w:val="15"/>
          <w:szCs w:val="15"/>
        </w:rPr>
        <w:t xml:space="preserve">[6] </w:t>
      </w:r>
      <w:r>
        <w:rPr>
          <w:rFonts w:ascii="Georgia" w:cs="Georgia" w:eastAsia="Georgia" w:hAnsi="Georgia"/>
          <w:sz w:val="15"/>
          <w:szCs w:val="15"/>
        </w:rPr>
        <w:t xml:space="preserve">Hooper, C., Kim, S., Mohammadzadeh, H., Mahoney, M. W., Shao, Y. S., Keutzer, K., Gholami, A. </w:t>
      </w:r>
      <w:r>
        <w:rPr>
          <w:rFonts w:ascii="Georgia" w:cs="Georgia" w:eastAsia="Georgia" w:hAnsi="Georgia"/>
          <w:i/>
          <w:iCs/>
          <w:sz w:val="15"/>
          <w:szCs w:val="15"/>
        </w:rPr>
        <w:t xml:space="preserve">KVQuant: Towards 10 Million Context Length LLM Inference with KV Cache Quantization.</w:t>
      </w:r>
      <w:r>
        <w:rPr>
          <w:rFonts w:ascii="Georgia" w:cs="Georgia" w:eastAsia="Georgia" w:hAnsi="Georgia"/>
          <w:sz w:val="15"/>
          <w:szCs w:val="15"/>
        </w:rPr>
        <w:t xml:space="preserve"> NeurIPS 2024. arXiv:2401.18079.</w:t>
      </w:r>
    </w:p>
    <w:p>
      <w:pPr>
        <w:spacing w:after="50" w:line="220"/>
        <w:ind w:left="320" w:hanging="320"/>
      </w:pPr>
      <w:r>
        <w:rPr>
          <w:rFonts w:ascii="Georgia" w:cs="Georgia" w:eastAsia="Georgia" w:hAnsi="Georgia"/>
          <w:sz w:val="15"/>
          <w:szCs w:val="15"/>
        </w:rPr>
        <w:t xml:space="preserve">[7] </w:t>
      </w:r>
      <w:r>
        <w:rPr>
          <w:rFonts w:ascii="Georgia" w:cs="Georgia" w:eastAsia="Georgia" w:hAnsi="Georgia"/>
          <w:sz w:val="15"/>
          <w:szCs w:val="15"/>
        </w:rPr>
        <w:t xml:space="preserve">Kang, H., Zhang, Q., Kundu, S., Jeong, G., Liu, Z., Krishna, T., Zhao, T. </w:t>
      </w:r>
      <w:r>
        <w:rPr>
          <w:rFonts w:ascii="Georgia" w:cs="Georgia" w:eastAsia="Georgia" w:hAnsi="Georgia"/>
          <w:i/>
          <w:iCs/>
          <w:sz w:val="15"/>
          <w:szCs w:val="15"/>
        </w:rPr>
        <w:t xml:space="preserve">GEAR: An Efficient KV Cache Compression Recipe for Near-Lossless Generative Inference of LLM.</w:t>
      </w:r>
      <w:r>
        <w:rPr>
          <w:rFonts w:ascii="Georgia" w:cs="Georgia" w:eastAsia="Georgia" w:hAnsi="Georgia"/>
          <w:sz w:val="15"/>
          <w:szCs w:val="15"/>
        </w:rPr>
        <w:t xml:space="preserve"> ICML 2024. arXiv:2403.05527.</w:t>
      </w:r>
    </w:p>
    <w:sectPr>
      <w:pgSz w:w="12240" w:h="15840" w:orient="portrait"/>
      <w:pgMar w:top="380" w:right="640" w:bottom="38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2026-07-04T19:48:02.233Z</dcterms:created>
  <dcterms:modified xsi:type="dcterms:W3CDTF">2026-07-04T19:48:02.234Z</dcterms:modified>
</cp:coreProperties>
</file>

<file path=docProps/custom.xml><?xml version="1.0" encoding="utf-8"?>
<Properties xmlns="http://schemas.openxmlformats.org/officeDocument/2006/custom-properties" xmlns:vt="http://schemas.openxmlformats.org/officeDocument/2006/docPropsVTypes"/>
</file>