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30"/>
          <w:szCs w:val="30"/>
        </w:rPr>
        <w:t xml:space="preserve">StickyKV: Quantized Sticky-Window KV Cache</w:t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A hybrid eviction + quantization policy for bounded, recoverable long-context KV-cache compression</w:t>
      </w:r>
    </w:p>
    <w:p>
      <w:pPr>
        <w:pStyle w:val="Heading2"/>
        <w:spacing w:after="60" w:before="120"/>
      </w:pPr>
      <w:r>
        <w:rPr>
          <w:b/>
          <w:bCs/>
          <w:color w:val="1F4E79"/>
          <w:sz w:val="20"/>
          <w:szCs w:val="20"/>
        </w:rPr>
        <w:t xml:space="preserve">1. Introduction</w:t>
      </w:r>
    </w:p>
    <w:p>
      <w:pPr>
        <w:spacing w:after="80" w:line="252"/>
      </w:pPr>
      <w:r>
        <w:rPr>
          <w:sz w:val="18"/>
          <w:szCs w:val="18"/>
        </w:rPr>
        <w:t xml:space="preserve">Long-context inference is bottlenecked by the KV cache, which grows linearly with sequence length. Eviction-based methods (H2O, StreamingLLM, KVPress) bound this cost by scoring tokens on cumulative attention mass and discarding the low-scoring tail once a budget is exceeded. StickyKV implements this pattern today: sink tokens are pinned, a local window is always kept, and the remaining cache is partitioned into windows that are ranked and compacted every window_size steps, with keys re-rotated (KVPress compact-and-rerotate) so RoPE phase stays exact after compaction.</w:t>
      </w:r>
    </w:p>
    <w:p>
      <w:pPr>
        <w:pStyle w:val="Heading2"/>
        <w:spacing w:after="60" w:before="120"/>
      </w:pPr>
      <w:r>
        <w:rPr>
          <w:b/>
          <w:bCs/>
          <w:color w:val="1F4E79"/>
          <w:sz w:val="20"/>
          <w:szCs w:val="20"/>
        </w:rPr>
        <w:t xml:space="preserve">2. The Gap: Eviction Is Permanent, Damage Accumulates</w:t>
      </w:r>
    </w:p>
    <w:p>
      <w:pPr>
        <w:spacing w:after="80" w:line="252"/>
      </w:pPr>
      <w:r>
        <w:rPr>
          <w:sz w:val="18"/>
          <w:szCs w:val="18"/>
        </w:rPr>
        <w:t xml:space="preserve">Eviction is a one-way decision: once a window is dropped, its keys/values are gone. Our own faithfulness sweep (results_report.md, 8 configs × 615 generation steps) shows this cost directly: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Missed attention mass is large and persistent — 0.48–0.78 of baseline attention mass is permanently unrecoverable across all tested budgets.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Faithfulness decays monotonically with generation depth: Jaccard overlap with the full-cache baseline drops ~0.15–0.27 points from the early phase (steps 0–152) to the late phase (steps 153–614), and KL divergence from baseline attention worsens by up to 0.335 in the same window.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There is no correction mechanism: if a token evicted early becomes salient again later (a callback, a re-referenced entity), the policy cannot recover it — the error is structural, not statistical noise, and compounds every eviction cycle.</w:t>
      </w:r>
    </w:p>
    <w:p>
      <w:pPr>
        <w:spacing w:after="80" w:line="252"/>
      </w:pPr>
      <w:r>
        <w:rPr>
          <w:b/>
          <w:bCs/>
          <w:sz w:val="18"/>
          <w:szCs w:val="18"/>
        </w:rPr>
        <w:t xml:space="preserve">In short: permanent eviction causes permanent damage, and that damage accumulates as a function of sequence length, not of any recoverable estimation error.</w:t>
      </w:r>
    </w:p>
    <w:p>
      <w:pPr>
        <w:pStyle w:val="Heading2"/>
        <w:spacing w:after="60" w:before="120"/>
      </w:pPr>
      <w:r>
        <w:rPr>
          <w:b/>
          <w:bCs/>
          <w:color w:val="1F4E79"/>
          <w:sz w:val="20"/>
          <w:szCs w:val="20"/>
        </w:rPr>
        <w:t xml:space="preserve">3. Proposed Approach: Quantize Before You Evict</w:t>
      </w:r>
    </w:p>
    <w:p>
      <w:pPr>
        <w:spacing w:after="80" w:line="252"/>
      </w:pPr>
      <w:r>
        <w:rPr>
          <w:sz w:val="18"/>
          <w:szCs w:val="18"/>
        </w:rPr>
        <w:t xml:space="preserve">Instead of a binary keep/discard decision, add a low-bit intermediate tier. Windows losing the top-K ranking are not dropped — they are demoted to quantized (int4/int8) storage rather than deleted: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Two-tier cache: full-precision (fp) windows for the current top-K + local/sink region, and a quantized (Q) tier for demoted-but-not-yet-cold windows, both within the existing byte budget.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Promotion path: on each scoring step, a Q-tier window is dequantized for scoring; if it re-enters the top-K it is promoted back to fp — recovering exactly what pure eviction discards permanently.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Pre-RoPE, pinned-grid quantization: quantize before RoPE is applied (not after), with per-channel scale/zero-point pinned at first quantization and reused until eviction. This makes quant(dequant(c)) = c exactly — zero drift from repeated dequant→rerotate→requant cycles, unlike a naive post-RoPE scheme.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True eviction is pushed further out: a window is only permanently dropped once it falls out of the Q tier too, so the effective retained context at a given byte budget grows without a proportional accuracy cost.</w:t>
      </w:r>
    </w:p>
    <w:p>
      <w:pPr>
        <w:pStyle w:val="Heading2"/>
        <w:spacing w:after="60" w:before="120"/>
      </w:pPr>
      <w:r>
        <w:rPr>
          <w:b/>
          <w:bCs/>
          <w:color w:val="1F4E79"/>
          <w:sz w:val="20"/>
          <w:szCs w:val="20"/>
        </w:rPr>
        <w:t xml:space="preserve">4. Why This Closes the Gap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Bounded, not permanent, information loss: quantization error is a fixed, small, non-accumulating perturbation (pinned grid); eviction error is unbounded and grows with sequence length.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Recoverability: promotion gives the policy a way to correct earlier ranking mistakes — pure eviction has none.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sz w:val="18"/>
          <w:szCs w:val="18"/>
        </w:rPr>
        <w:t xml:space="preserve">Same memory budget, more effective context: an int4 Q-tier window costs ~1/4 the bytes of an fp window, so the same cache_budget can retain roughly 3–4× more windows before anything is truly discarded.</w:t>
      </w:r>
    </w:p>
    <w:p>
      <w:pPr>
        <w:pStyle w:val="Heading2"/>
        <w:spacing w:after="60" w:before="120"/>
      </w:pPr>
      <w:r>
        <w:rPr>
          <w:b/>
          <w:bCs/>
          <w:color w:val="1F4E79"/>
          <w:sz w:val="20"/>
          <w:szCs w:val="20"/>
        </w:rPr>
        <w:t xml:space="preserve">5. Status &amp; Next Steps</w:t>
      </w:r>
    </w:p>
    <w:p>
      <w:pPr>
        <w:spacing w:after="80" w:line="252"/>
      </w:pPr>
      <w:r>
        <w:rPr>
          <w:sz w:val="18"/>
          <w:szCs w:val="18"/>
        </w:rPr>
        <w:t xml:space="preserve">Design is finalized in design.md (compact-and-rerotate integration, interleaved position map for mixed fp/Q layouts, promotion/demotion bookkeeping). Quantization is currently out-of-scope for v1 (README.md) and targeted as the v2 milestone. Next steps: implement the shared quant module and materialize_effective_kv read path, validate zero re-quantization drift under the pinned-grid scheme, and re-run the faithfulness suite to confirm the Trend-4 late-phase decay is measurably reduced.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2026-07-04T15:47:27.642Z</dcterms:created>
  <dcterms:modified xsi:type="dcterms:W3CDTF">2026-07-04T15:47:27.643Z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