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jc w:val="center"/>
      </w:pPr>
      <w:r>
        <w:rPr>
          <w:rFonts w:ascii="Calibri" w:cs="Calibri" w:eastAsia="Calibri" w:hAnsi="Calibri"/>
          <w:b/>
          <w:bCs/>
          <w:color w:val="4A6274"/>
          <w:sz w:val="22"/>
          <w:szCs w:val="22"/>
        </w:rPr>
        <w:t xml:space="preserve">AI CAREER FOR WOMEN — COMMERCE SPOKE</w:t>
      </w:r>
    </w:p>
    <w:p>
      <w:pPr>
        <w:spacing w:after="80"/>
        <w:jc w:val="center"/>
      </w:pPr>
      <w:r>
        <w:rPr>
          <w:rFonts w:ascii="Calibri" w:cs="Calibri" w:eastAsia="Calibri" w:hAnsi="Calibri"/>
          <w:color w:val="4A6274"/>
          <w:sz w:val="22"/>
          <w:szCs w:val="22"/>
        </w:rPr>
        <w:t xml:space="preserve">D.A.V. College, Kanpur</w:t>
      </w:r>
    </w:p>
    <w:p>
      <w:pPr>
        <w:spacing w:after="0" w:before="0"/>
      </w:pPr>
      <w:r>
        <w:t xml:space="preserve"/>
      </w:r>
    </w:p>
    <w:p>
      <w:pPr>
        <w:spacing w:after="0" w:before="0"/>
      </w:pPr>
      <w:r>
        <w:t xml:space="preserve"/>
      </w:r>
    </w:p>
    <w:p>
      <w:pPr>
        <w:spacing w:after="120"/>
        <w:jc w:val="center"/>
      </w:pPr>
      <w:r>
        <w:rPr>
          <w:rFonts w:ascii="Calibri" w:cs="Calibri" w:eastAsia="Calibri" w:hAnsi="Calibri"/>
          <w:b/>
          <w:bCs/>
          <w:color w:val="1A7A9A"/>
          <w:sz w:val="52"/>
          <w:szCs w:val="52"/>
        </w:rPr>
        <w:t xml:space="preserve">EduInsight</w:t>
      </w:r>
    </w:p>
    <w:p>
      <w:pPr>
        <w:spacing w:after="80"/>
        <w:jc w:val="center"/>
      </w:pPr>
      <w:r>
        <w:rPr>
          <w:rFonts w:ascii="Calibri" w:cs="Calibri" w:eastAsia="Calibri" w:hAnsi="Calibri"/>
          <w:b/>
          <w:bCs/>
          <w:color w:val="1A2B3C"/>
          <w:sz w:val="30"/>
          <w:szCs w:val="30"/>
        </w:rPr>
        <w:t xml:space="preserve">Student Performance Prediction and Insight Generation</w:t>
      </w:r>
    </w:p>
    <w:p>
      <w:pPr>
        <w:spacing w:after="80"/>
        <w:jc w:val="center"/>
      </w:pPr>
      <w:r>
        <w:rPr>
          <w:rFonts w:ascii="Calibri" w:cs="Calibri" w:eastAsia="Calibri" w:hAnsi="Calibri"/>
          <w:b/>
          <w:bCs/>
          <w:color w:val="1A2B3C"/>
          <w:sz w:val="30"/>
          <w:szCs w:val="30"/>
        </w:rPr>
        <w:t xml:space="preserve">Using Machine Learning</w:t>
      </w:r>
    </w:p>
    <w:p>
      <w:pPr>
        <w:spacing w:after="0" w:before="0"/>
      </w:pPr>
      <w:r>
        <w:t xml:space="preserve"/>
      </w:r>
    </w:p>
    <w:p>
      <w:pPr>
        <w:spacing w:after="0" w:before="0"/>
      </w:pPr>
      <w:r>
        <w:t xml:space="preserve"/>
      </w:r>
    </w:p>
    <w:p>
      <w:pPr>
        <w:spacing w:after="80"/>
        <w:jc w:val="center"/>
      </w:pPr>
      <w:r>
        <w:rPr>
          <w:rFonts w:ascii="Calibri" w:cs="Calibri" w:eastAsia="Calibri" w:hAnsi="Calibri"/>
          <w:color w:val="4A6274"/>
          <w:sz w:val="22"/>
          <w:szCs w:val="22"/>
        </w:rPr>
        <w:t xml:space="preserve">A Project Report submitted in partial fulfillment of the requirements</w:t>
      </w:r>
    </w:p>
    <w:p>
      <w:pPr>
        <w:spacing w:after="80"/>
        <w:jc w:val="center"/>
      </w:pPr>
      <w:r>
        <w:rPr>
          <w:rFonts w:ascii="Calibri" w:cs="Calibri" w:eastAsia="Calibri" w:hAnsi="Calibri"/>
          <w:color w:val="4A6274"/>
          <w:sz w:val="22"/>
          <w:szCs w:val="22"/>
        </w:rPr>
        <w:t xml:space="preserve">of the AICW Project 2026 — B.Sc. Information Technology</w:t>
      </w:r>
    </w:p>
    <w:p>
      <w:pPr>
        <w:spacing w:after="0" w:before="0"/>
      </w:pPr>
      <w:r>
        <w:t xml:space="preserve"/>
      </w:r>
    </w:p>
    <w:p>
      <w:pPr>
        <w:spacing w:after="0" w:before="0"/>
      </w:pPr>
      <w:r>
        <w:t xml:space="preserve"/>
      </w:r>
    </w:p>
    <w:p>
      <w:pPr>
        <w:spacing w:after="60"/>
        <w:jc w:val="center"/>
      </w:pPr>
      <w:r>
        <w:rPr>
          <w:rFonts w:ascii="Calibri" w:cs="Calibri" w:eastAsia="Calibri" w:hAnsi="Calibri"/>
          <w:color w:val="4A6274"/>
          <w:sz w:val="22"/>
          <w:szCs w:val="22"/>
        </w:rPr>
        <w:t xml:space="preserve">Submitted by</w:t>
      </w:r>
    </w:p>
    <w:p>
      <w:pPr>
        <w:spacing w:after="40"/>
        <w:jc w:val="center"/>
      </w:pPr>
      <w:r>
        <w:rPr>
          <w:rFonts w:ascii="Calibri" w:cs="Calibri" w:eastAsia="Calibri" w:hAnsi="Calibri"/>
          <w:b/>
          <w:bCs/>
          <w:color w:val="1A2B3C"/>
          <w:sz w:val="22"/>
          <w:szCs w:val="22"/>
        </w:rPr>
        <w:t xml:space="preserve">Shatakshi (Team Lead)    |    Minakshi Mishra    |    Kalpana Verma    |    Payal</w:t>
      </w:r>
    </w:p>
    <w:p>
      <w:pPr>
        <w:spacing w:after="0" w:before="0"/>
      </w:pPr>
      <w:r>
        <w:t xml:space="preserve"/>
      </w:r>
    </w:p>
    <w:p>
      <w:pPr>
        <w:spacing w:after="40"/>
        <w:jc w:val="center"/>
      </w:pPr>
      <w:r>
        <w:rPr>
          <w:rFonts w:ascii="Calibri" w:cs="Calibri" w:eastAsia="Calibri" w:hAnsi="Calibri"/>
          <w:color w:val="4A6274"/>
          <w:sz w:val="22"/>
          <w:szCs w:val="22"/>
        </w:rPr>
        <w:t xml:space="preserve">Under the Guidance of</w:t>
      </w:r>
    </w:p>
    <w:p>
      <w:pPr>
        <w:spacing w:after="40"/>
        <w:jc w:val="center"/>
      </w:pPr>
      <w:r>
        <w:rPr>
          <w:rFonts w:ascii="Calibri" w:cs="Calibri" w:eastAsia="Calibri" w:hAnsi="Calibri"/>
          <w:b/>
          <w:bCs/>
          <w:color w:val="1A2B3C"/>
          <w:sz w:val="22"/>
          <w:szCs w:val="22"/>
        </w:rPr>
        <w:t xml:space="preserve">Project Guide, Department of B.Sc. IT</w:t>
      </w:r>
    </w:p>
    <w:p>
      <w:pPr>
        <w:spacing w:after="0" w:before="0"/>
      </w:pPr>
      <w:r>
        <w:t xml:space="preserve"/>
      </w:r>
    </w:p>
    <w:p>
      <w:pPr>
        <w:spacing w:after="40"/>
        <w:jc w:val="center"/>
      </w:pPr>
      <w:r>
        <w:rPr>
          <w:rFonts w:ascii="Calibri" w:cs="Calibri" w:eastAsia="Calibri" w:hAnsi="Calibri"/>
          <w:color w:val="4A6274"/>
          <w:sz w:val="22"/>
          <w:szCs w:val="22"/>
        </w:rPr>
        <w:t xml:space="preserve">Academic Year: 2025–2026</w:t>
      </w:r>
    </w:p>
    <w:p>
      <w:r>
        <w:br w:type="page"/>
      </w:r>
    </w:p>
    <w:p>
      <w:pPr>
        <w:pStyle w:val="Heading1"/>
        <w:spacing w:after="160" w:before="400"/>
      </w:pPr>
      <w:r>
        <w:rPr>
          <w:rFonts w:ascii="Calibri" w:cs="Calibri" w:eastAsia="Calibri" w:hAnsi="Calibri"/>
          <w:b/>
          <w:bCs/>
          <w:color w:val="1A7A9A"/>
          <w:sz w:val="32"/>
          <w:szCs w:val="32"/>
        </w:rPr>
        <w:t xml:space="preserve">Certificate</w:t>
      </w:r>
    </w:p>
    <w:p>
      <w:pPr>
        <w:spacing w:after="160" w:before="0"/>
        <w:jc w:val="both"/>
      </w:pPr>
      <w:r>
        <w:rPr>
          <w:rFonts w:ascii="Calibri" w:cs="Calibri" w:eastAsia="Calibri" w:hAnsi="Calibri"/>
          <w:b w:val="false"/>
          <w:bCs w:val="false"/>
          <w:color w:val="2C2C2C"/>
          <w:sz w:val="22"/>
          <w:szCs w:val="22"/>
        </w:rPr>
        <w:t xml:space="preserve">This is to certify that the project report entitled "EduInsight – Student Performance Prediction and Insight Generation Using Machine Learning" has been prepared and submitted by Shatakshi, Minakshi Mishra, Kalpana Verma, and Payal as part of the final-year B.Sc. Information Technology major project requirement.</w:t>
      </w:r>
    </w:p>
    <w:p>
      <w:pPr>
        <w:spacing w:after="160" w:before="0"/>
        <w:jc w:val="both"/>
      </w:pPr>
      <w:r>
        <w:rPr>
          <w:rFonts w:ascii="Calibri" w:cs="Calibri" w:eastAsia="Calibri" w:hAnsi="Calibri"/>
          <w:b w:val="false"/>
          <w:bCs w:val="false"/>
          <w:color w:val="2C2C2C"/>
          <w:sz w:val="22"/>
          <w:szCs w:val="22"/>
        </w:rPr>
        <w:t xml:space="preserve">The work presented in this report describes an educational analytics prototype that uses a structured student performance dataset, data preprocessing, exploratory data analysis, supervised machine learning, model evaluation, explainable insight generation, and Power BI dashboard planning to support early academic risk identification.</w:t>
      </w:r>
    </w:p>
    <w:p>
      <w:pPr>
        <w:spacing w:after="160" w:before="0"/>
        <w:jc w:val="both"/>
      </w:pPr>
      <w:r>
        <w:rPr>
          <w:rFonts w:ascii="Calibri" w:cs="Calibri" w:eastAsia="Calibri" w:hAnsi="Calibri"/>
          <w:b w:val="false"/>
          <w:bCs w:val="false"/>
          <w:color w:val="2C2C2C"/>
          <w:sz w:val="22"/>
          <w:szCs w:val="22"/>
        </w:rPr>
        <w:t xml:space="preserve">To the best of my knowledge, the project work documented here is the result of the students' academic effort and has been completed under guidance for submission during the academic year 2025–2026.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Authority</w:t>
            </w:r>
          </w:p>
        </w:tc>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Signature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Project Guide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Head of Department</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External Examiner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Date</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bl>
    <w:p>
      <w:r>
        <w:br w:type="page"/>
      </w:r>
    </w:p>
    <w:p>
      <w:pPr>
        <w:pStyle w:val="Heading1"/>
        <w:spacing w:after="160" w:before="400"/>
      </w:pPr>
      <w:r>
        <w:rPr>
          <w:rFonts w:ascii="Calibri" w:cs="Calibri" w:eastAsia="Calibri" w:hAnsi="Calibri"/>
          <w:b/>
          <w:bCs/>
          <w:color w:val="1A7A9A"/>
          <w:sz w:val="32"/>
          <w:szCs w:val="32"/>
        </w:rPr>
        <w:t xml:space="preserve">Declaration</w:t>
      </w:r>
    </w:p>
    <w:p>
      <w:pPr>
        <w:spacing w:after="160" w:before="0"/>
        <w:jc w:val="both"/>
      </w:pPr>
      <w:r>
        <w:rPr>
          <w:rFonts w:ascii="Calibri" w:cs="Calibri" w:eastAsia="Calibri" w:hAnsi="Calibri"/>
          <w:b w:val="false"/>
          <w:bCs w:val="false"/>
          <w:color w:val="2C2C2C"/>
          <w:sz w:val="22"/>
          <w:szCs w:val="22"/>
        </w:rPr>
        <w:t xml:space="preserve">We hereby declare that the project report entitled "EduInsight – Student Performance Prediction and Insight Generation Using Machine Learning" is an original academic project prepared for the final-year B.Sc. IT major project submission.</w:t>
      </w:r>
    </w:p>
    <w:p>
      <w:pPr>
        <w:spacing w:after="160" w:before="0"/>
        <w:jc w:val="both"/>
      </w:pPr>
      <w:r>
        <w:rPr>
          <w:rFonts w:ascii="Calibri" w:cs="Calibri" w:eastAsia="Calibri" w:hAnsi="Calibri"/>
          <w:b w:val="false"/>
          <w:bCs w:val="false"/>
          <w:color w:val="2C2C2C"/>
          <w:sz w:val="22"/>
          <w:szCs w:val="22"/>
        </w:rPr>
        <w:t xml:space="preserve">The work includes dataset understanding, data quality handling, exploratory analysis, regression modeling, risk classification, evaluation, interpretation, and dashboard-based insight design. Any sources, tools, datasets, libraries, and research references consulted during the project have been acknowledged in the appropriate sections of this report.</w:t>
      </w:r>
    </w:p>
    <w:p>
      <w:pPr>
        <w:spacing w:after="160" w:before="0"/>
        <w:jc w:val="both"/>
      </w:pPr>
      <w:r>
        <w:rPr>
          <w:rFonts w:ascii="Calibri" w:cs="Calibri" w:eastAsia="Calibri" w:hAnsi="Calibri"/>
          <w:b w:val="false"/>
          <w:bCs w:val="false"/>
          <w:color w:val="2C2C2C"/>
          <w:sz w:val="22"/>
          <w:szCs w:val="22"/>
        </w:rPr>
        <w:t xml:space="preserve">We further declare that this report has not been submitted elsewhere for the award of any degree, diploma, or certificate, and that the project has been prepared in accordance with responsible academic practice.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Student Name</w:t>
            </w:r>
          </w:p>
        </w:tc>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Signature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Shatakshi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Minakshi Mishra</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Kalpana Verma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Payal</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______________________________</w:t>
            </w:r>
          </w:p>
        </w:tc>
      </w:tr>
    </w:tbl>
    <w:p>
      <w:r>
        <w:br w:type="page"/>
      </w:r>
    </w:p>
    <w:p>
      <w:pPr>
        <w:pStyle w:val="Heading1"/>
        <w:spacing w:after="160" w:before="400"/>
      </w:pPr>
      <w:r>
        <w:rPr>
          <w:rFonts w:ascii="Calibri" w:cs="Calibri" w:eastAsia="Calibri" w:hAnsi="Calibri"/>
          <w:b/>
          <w:bCs/>
          <w:color w:val="1A7A9A"/>
          <w:sz w:val="32"/>
          <w:szCs w:val="32"/>
        </w:rPr>
        <w:t xml:space="preserve">Acknowledgement</w:t>
      </w:r>
    </w:p>
    <w:p>
      <w:pPr>
        <w:spacing w:after="160" w:before="0"/>
        <w:jc w:val="both"/>
      </w:pPr>
      <w:r>
        <w:rPr>
          <w:rFonts w:ascii="Calibri" w:cs="Calibri" w:eastAsia="Calibri" w:hAnsi="Calibri"/>
          <w:b w:val="false"/>
          <w:bCs w:val="false"/>
          <w:color w:val="2C2C2C"/>
          <w:sz w:val="22"/>
          <w:szCs w:val="22"/>
        </w:rPr>
        <w:t xml:space="preserve">We express our sincere gratitude to our project guide and faculty members for their continuous guidance, constructive suggestions, and academic support during the development of this project. Their feedback helped us connect the technical workflow of machine learning with the practical expectations of a final-year academic submission.</w:t>
      </w:r>
    </w:p>
    <w:p>
      <w:pPr>
        <w:spacing w:after="160" w:before="0"/>
        <w:jc w:val="both"/>
      </w:pPr>
      <w:r>
        <w:rPr>
          <w:rFonts w:ascii="Calibri" w:cs="Calibri" w:eastAsia="Calibri" w:hAnsi="Calibri"/>
          <w:b w:val="false"/>
          <w:bCs w:val="false"/>
          <w:color w:val="2C2C2C"/>
          <w:sz w:val="22"/>
          <w:szCs w:val="22"/>
        </w:rPr>
        <w:t xml:space="preserve">We are thankful to D.A.V. College, Kanpur, and the Department of B.Sc. Information Technology for providing an academic environment that encourages project-based learning, analytical thinking, and responsible use of technology. The opportunity to work on an educational analytics problem helped us understand how data science can support meaningful institutional decision-making.</w:t>
      </w:r>
    </w:p>
    <w:p>
      <w:pPr>
        <w:spacing w:after="160" w:before="0"/>
        <w:jc w:val="both"/>
      </w:pPr>
      <w:r>
        <w:rPr>
          <w:rFonts w:ascii="Calibri" w:cs="Calibri" w:eastAsia="Calibri" w:hAnsi="Calibri"/>
          <w:b w:val="false"/>
          <w:bCs w:val="false"/>
          <w:color w:val="2C2C2C"/>
          <w:sz w:val="22"/>
          <w:szCs w:val="22"/>
        </w:rPr>
        <w:t xml:space="preserve">We also acknowledge the open-source software ecosystem and public educational datasets that made this project possible. Python, Pandas, NumPy, and Power BI concepts formed the technical foundation for the prototype. Finally, we thank our classmates, friends, and families for their encouragement throughout the project work.</w:t>
      </w:r>
    </w:p>
    <w:p>
      <w:r>
        <w:br w:type="page"/>
      </w:r>
    </w:p>
    <w:p>
      <w:pPr>
        <w:pStyle w:val="Heading1"/>
        <w:spacing w:after="160" w:before="400"/>
      </w:pPr>
      <w:r>
        <w:rPr>
          <w:rFonts w:ascii="Calibri" w:cs="Calibri" w:eastAsia="Calibri" w:hAnsi="Calibri"/>
          <w:b/>
          <w:bCs/>
          <w:color w:val="1A7A9A"/>
          <w:sz w:val="32"/>
          <w:szCs w:val="32"/>
        </w:rPr>
        <w:t xml:space="preserve">Abstract</w:t>
      </w:r>
    </w:p>
    <w:p>
      <w:pPr>
        <w:spacing w:after="160" w:before="0"/>
        <w:jc w:val="both"/>
      </w:pPr>
      <w:r>
        <w:rPr>
          <w:rFonts w:ascii="Calibri" w:cs="Calibri" w:eastAsia="Calibri" w:hAnsi="Calibri"/>
          <w:b w:val="false"/>
          <w:bCs w:val="false"/>
          <w:color w:val="2C2C2C"/>
          <w:sz w:val="22"/>
          <w:szCs w:val="22"/>
        </w:rPr>
        <w:t xml:space="preserve">Educational institutions require timely and interpretable methods for identifying students who may need academic support before final outcomes are declared. Traditional result analysis is largely reactive because it summarizes performance after examinations. EduInsight addresses this limitation by developing a machine learning based educational analytics prototype for student performance prediction and insight generation.</w:t>
      </w:r>
    </w:p>
    <w:p>
      <w:pPr>
        <w:spacing w:after="160" w:before="0"/>
        <w:jc w:val="both"/>
      </w:pPr>
      <w:r>
        <w:rPr>
          <w:rFonts w:ascii="Calibri" w:cs="Calibri" w:eastAsia="Calibri" w:hAnsi="Calibri"/>
          <w:b w:val="false"/>
          <w:bCs w:val="false"/>
          <w:color w:val="2C2C2C"/>
          <w:sz w:val="22"/>
          <w:szCs w:val="22"/>
        </w:rPr>
        <w:t xml:space="preserve">The project uses a structured student performance CSV containing 25,000 raw records and 16 original columns. A data quality audit identified 10,000 exact duplicate records, resulting in a clean analytical dataset of 15,000 student records. The methodology includes data cleaning, duplicate handling, missing value review, feature engineering, exploratory data analysis, supervised regression for overall score prediction, risk classification, evaluation, explainability, and dashboard design.</w:t>
      </w:r>
    </w:p>
    <w:p>
      <w:pPr>
        <w:spacing w:after="160" w:before="0"/>
        <w:jc w:val="both"/>
      </w:pPr>
      <w:r>
        <w:rPr>
          <w:rFonts w:ascii="Calibri" w:cs="Calibri" w:eastAsia="Calibri" w:hAnsi="Calibri"/>
          <w:b w:val="false"/>
          <w:bCs w:val="false"/>
          <w:color w:val="2C2C2C"/>
          <w:sz w:val="22"/>
          <w:szCs w:val="22"/>
        </w:rPr>
        <w:t xml:space="preserve">The selected ridge regression model achieved an MAE of 3.32, RMSE of 4.10, and R² of 0.953 on a 3,000-record test set. The associated score-to-risk classification layer achieved accuracy of 0.894 and macro-F1 score of 0.891. These results indicate that the dataset contains strong academic and behavioral signals that can support score forecasting and risk segmentation.</w:t>
      </w:r>
    </w:p>
    <w:p>
      <w:pPr>
        <w:spacing w:after="160" w:before="0"/>
        <w:jc w:val="both"/>
      </w:pPr>
      <w:r>
        <w:rPr>
          <w:rFonts w:ascii="Calibri" w:cs="Calibri" w:eastAsia="Calibri" w:hAnsi="Calibri"/>
          <w:b w:val="false"/>
          <w:bCs w:val="false"/>
          <w:color w:val="2C2C2C"/>
          <w:sz w:val="22"/>
          <w:szCs w:val="22"/>
        </w:rPr>
        <w:t xml:space="preserve">The final output includes a faculty-friendly Power BI dashboard concept with overview, risk, student explorer, factor analysis, and model evaluation pages. The project emphasizes responsible use by presenting predictions as support signals rather than fixed labels. EduInsight demonstrates a complete and realistic B.Sc. IT data science lifecycle: from raw educational data to prediction, explanation, visualization, and academic decision support.</w:t>
      </w:r>
    </w:p>
    <w:p>
      <w:pPr>
        <w:spacing w:after="0" w:before="0"/>
      </w:pPr>
      <w:r>
        <w:t xml:space="preserve"/>
      </w:r>
    </w:p>
    <w:p>
      <w:pPr>
        <w:spacing w:after="160"/>
      </w:pPr>
      <w:r>
        <w:rPr>
          <w:rFonts w:ascii="Calibri" w:cs="Calibri" w:eastAsia="Calibri" w:hAnsi="Calibri"/>
          <w:b/>
          <w:bCs/>
          <w:color w:val="1A2B3C"/>
          <w:sz w:val="20"/>
          <w:szCs w:val="20"/>
        </w:rPr>
        <w:t xml:space="preserve">Keywords: </w:t>
      </w:r>
      <w:r>
        <w:rPr>
          <w:rFonts w:ascii="Calibri" w:cs="Calibri" w:eastAsia="Calibri" w:hAnsi="Calibri"/>
          <w:color w:val="4A6274"/>
          <w:sz w:val="20"/>
          <w:szCs w:val="20"/>
        </w:rPr>
        <w:t xml:space="preserve">Educational Data Mining; Student Performance Prediction; Machine Learning; Regression; Classification; Power BI; Academic Risk; Explainable Analytics</w:t>
      </w:r>
    </w:p>
    <w:p>
      <w:r>
        <w:br w:type="page"/>
      </w:r>
    </w:p>
    <w:p>
      <w:pPr>
        <w:pStyle w:val="Heading1"/>
        <w:spacing w:after="160" w:before="400"/>
      </w:pPr>
      <w:r>
        <w:rPr>
          <w:rFonts w:ascii="Calibri" w:cs="Calibri" w:eastAsia="Calibri" w:hAnsi="Calibri"/>
          <w:b/>
          <w:bCs/>
          <w:color w:val="1A7A9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Section</w:t>
            </w:r>
          </w:p>
        </w:tc>
        <w:tc>
          <w:tcPr>
            <w:tcW w:type="dxa" w:w="21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Page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Certificate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Declaration</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Acknowledgement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Abstract</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List of Figures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9</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List of Tables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Chapter 1 – Introduction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11</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Chapter 2 – Literature Review</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16</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Chapter 3 – Proposed Methodology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18</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Chapter 4 – Exploratory Data Analysis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22</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Chapter 5 – Model Development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27</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Chapter 6 – Results and Evaluation</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31</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Chapter 7 – Power BI Dashboard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35</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Chapter 8 – Discussion</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38</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Chapter 9 – Conclusion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41</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Future Scope</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43</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References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44</w:t>
            </w:r>
          </w:p>
        </w:tc>
      </w:tr>
      <w:tr>
        <w:tc>
          <w:tcPr>
            <w:tcW w:type="dxa" w:w="7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Appendix</w:t>
            </w:r>
          </w:p>
        </w:tc>
        <w:tc>
          <w:tcPr>
            <w:tcW w:type="dxa" w:w="2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45</w:t>
            </w:r>
          </w:p>
        </w:tc>
      </w:tr>
    </w:tbl>
    <w:p>
      <w:r>
        <w:br w:type="page"/>
      </w:r>
    </w:p>
    <w:p>
      <w:pPr>
        <w:pStyle w:val="Heading1"/>
        <w:spacing w:after="160" w:before="400"/>
      </w:pPr>
      <w:r>
        <w:rPr>
          <w:rFonts w:ascii="Calibri" w:cs="Calibri" w:eastAsia="Calibri" w:hAnsi="Calibri"/>
          <w:b/>
          <w:bCs/>
          <w:color w:val="1A7A9A"/>
          <w:sz w:val="32"/>
          <w:szCs w:val="32"/>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w:t>
            </w:r>
          </w:p>
        </w:tc>
        <w:tc>
          <w:tcPr>
            <w:tcW w:type="dxa" w:w="792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Title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Figure 1</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Six-layer EduInsight system architecture</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Figure 2</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Proposed EduInsight architecture diagram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Figure 3</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End-to-end EduInsight workflow</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Figure 4</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Correlation overview for numerical variables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Figure 5</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Distribution of final grades in the cleaned dataset</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Figure 6</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Distribution of academic risk categories in the cleaned dataset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Figure 7</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Feature importance signals from the selected ridge regression model</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Figure 8</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Confusion matrix for selected risk classification model</w:t>
            </w:r>
          </w:p>
        </w:tc>
      </w:tr>
    </w:tbl>
    <w:p>
      <w:r>
        <w:br w:type="page"/>
      </w:r>
    </w:p>
    <w:p>
      <w:pPr>
        <w:pStyle w:val="Heading1"/>
        <w:spacing w:after="160" w:before="400"/>
      </w:pPr>
      <w:r>
        <w:rPr>
          <w:rFonts w:ascii="Calibri" w:cs="Calibri" w:eastAsia="Calibri" w:hAnsi="Calibri"/>
          <w:b/>
          <w:bCs/>
          <w:color w:val="1A7A9A"/>
          <w:sz w:val="32"/>
          <w:szCs w:val="32"/>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w:t>
            </w:r>
          </w:p>
        </w:tc>
        <w:tc>
          <w:tcPr>
            <w:tcW w:type="dxa" w:w="792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Title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1</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Executive performance snapshot</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2</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Project scope and boundaries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3</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Summary of related literature and technical references</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4</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Dataset quality summary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5</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Feature engineering design</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6</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Academic risk category definitions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7</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Column-level EDA interpretation</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8</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Numerical statistical summary after duplicate removal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9</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Regression model comparison on test set</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10</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Classification model comparison on test set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11</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Per-class classification metric summary</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12</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Numeric confusion matrix table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13</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Power BI dashboard data architecture</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14</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Planned Power BI dashboard pages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15</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Dashboard KPI definitions</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16</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Data dictionary for supplied CSV</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Table 17</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Appendix risk threshold table</w:t>
            </w:r>
          </w:p>
        </w:tc>
      </w:tr>
      <w:tr>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Table 18</w:t>
            </w:r>
          </w:p>
        </w:tc>
        <w:tc>
          <w:tcPr>
            <w:tcW w:type="dxa" w:w="79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EduInsight model card</w:t>
            </w:r>
          </w:p>
        </w:tc>
      </w:tr>
    </w:tbl>
    <w:p>
      <w:r>
        <w:br w:type="page"/>
      </w:r>
    </w:p>
    <w:p>
      <w:pPr>
        <w:pStyle w:val="Heading1"/>
        <w:spacing w:after="160" w:before="400"/>
      </w:pPr>
      <w:r>
        <w:rPr>
          <w:rFonts w:ascii="Calibri" w:cs="Calibri" w:eastAsia="Calibri" w:hAnsi="Calibri"/>
          <w:b/>
          <w:bCs/>
          <w:color w:val="1A7A9A"/>
          <w:sz w:val="32"/>
          <w:szCs w:val="32"/>
        </w:rPr>
        <w:t xml:space="preserve">Chapter 1 – Introduction</w:t>
      </w:r>
    </w:p>
    <w:p>
      <w:pPr>
        <w:pStyle w:val="Heading2"/>
        <w:spacing w:after="160" w:before="240"/>
      </w:pPr>
      <w:r>
        <w:rPr>
          <w:rFonts w:ascii="Calibri" w:cs="Calibri" w:eastAsia="Calibri" w:hAnsi="Calibri"/>
          <w:b/>
          <w:bCs/>
          <w:color w:val="1A2B3C"/>
          <w:sz w:val="26"/>
          <w:szCs w:val="26"/>
        </w:rPr>
        <w:t xml:space="preserve">1.1 Background</w:t>
      </w:r>
    </w:p>
    <w:p>
      <w:pPr>
        <w:spacing w:after="160" w:before="0"/>
        <w:jc w:val="both"/>
      </w:pPr>
      <w:r>
        <w:rPr>
          <w:rFonts w:ascii="Calibri" w:cs="Calibri" w:eastAsia="Calibri" w:hAnsi="Calibri"/>
          <w:b w:val="false"/>
          <w:bCs w:val="false"/>
          <w:color w:val="2C2C2C"/>
          <w:sz w:val="22"/>
          <w:szCs w:val="22"/>
        </w:rPr>
        <w:t xml:space="preserve">Student performance is one of the most important indicators of the health of an educational institution. It reflects not only examination preparation, but also attendance, study habits, learning access, school environment, family context, and the way students engage with academic resources. In traditional systems, these factors are usually observed separately and informally. Teachers may know that a student is irregular or struggling, but the signals are rarely combined into a structured analytical view.</w:t>
      </w:r>
    </w:p>
    <w:p>
      <w:pPr>
        <w:spacing w:after="160" w:before="0"/>
        <w:jc w:val="both"/>
      </w:pPr>
      <w:r>
        <w:rPr>
          <w:rFonts w:ascii="Calibri" w:cs="Calibri" w:eastAsia="Calibri" w:hAnsi="Calibri"/>
          <w:b w:val="false"/>
          <w:bCs w:val="false"/>
          <w:color w:val="2C2C2C"/>
          <w:sz w:val="22"/>
          <w:szCs w:val="22"/>
        </w:rPr>
        <w:t xml:space="preserve">The growth of digital academic records has created a strong opportunity for educational data mining. When student records are cleaned, organized, and analyzed responsibly, they can reveal patterns that are difficult to detect through manual inspection. Machine learning extends this analysis by learning relationships between input variables and outcomes such as scores, grades, or risk categories. The result is not a replacement for teacher judgment, but an additional evidence layer that helps academic stakeholders act earlier.</w:t>
      </w:r>
    </w:p>
    <w:p>
      <w:pPr>
        <w:spacing w:after="160" w:before="0"/>
        <w:jc w:val="both"/>
      </w:pPr>
      <w:r>
        <w:rPr>
          <w:rFonts w:ascii="Calibri" w:cs="Calibri" w:eastAsia="Calibri" w:hAnsi="Calibri"/>
          <w:b w:val="false"/>
          <w:bCs w:val="false"/>
          <w:color w:val="2C2C2C"/>
          <w:sz w:val="22"/>
          <w:szCs w:val="22"/>
        </w:rPr>
        <w:t xml:space="preserve">EduInsight is designed around this idea. It treats student performance prediction as both a technical and educational problem. The project predicts overall score, classifies students into academic risk categories, explains important factors, and translates model results into a dashboard format that faculty can use for planning support.</w:t>
      </w:r>
    </w:p>
    <w:p>
      <w:pPr>
        <w:pStyle w:val="Heading2"/>
        <w:spacing w:after="160" w:before="240"/>
      </w:pPr>
      <w:r>
        <w:rPr>
          <w:rFonts w:ascii="Calibri" w:cs="Calibri" w:eastAsia="Calibri" w:hAnsi="Calibri"/>
          <w:b/>
          <w:bCs/>
          <w:color w:val="1A2B3C"/>
          <w:sz w:val="26"/>
          <w:szCs w:val="26"/>
        </w:rPr>
        <w:t xml:space="preserve">1.2 Problem Statement</w:t>
      </w:r>
    </w:p>
    <w:p>
      <w:pPr>
        <w:spacing w:after="160" w:before="0"/>
        <w:jc w:val="both"/>
      </w:pPr>
      <w:r>
        <w:rPr>
          <w:rFonts w:ascii="Calibri" w:cs="Calibri" w:eastAsia="Calibri" w:hAnsi="Calibri"/>
          <w:b w:val="false"/>
          <w:bCs w:val="false"/>
          <w:color w:val="2C2C2C"/>
          <w:sz w:val="22"/>
          <w:szCs w:val="22"/>
        </w:rPr>
        <w:t xml:space="preserve">Most academic performance analysis takes place after examinations are completed. Marksheets, rank lists, and final grade reports are useful for documentation, but they often arrive too late for timely intervention. Students who need mentoring, study planning, attendance support, or subject-specific help may be identified only after their low performance is already confirmed.</w:t>
      </w:r>
    </w:p>
    <w:p>
      <w:pPr>
        <w:spacing w:after="160" w:before="0"/>
        <w:jc w:val="both"/>
      </w:pPr>
      <w:r>
        <w:rPr>
          <w:rFonts w:ascii="Calibri" w:cs="Calibri" w:eastAsia="Calibri" w:hAnsi="Calibri"/>
          <w:b w:val="false"/>
          <w:bCs w:val="false"/>
          <w:color w:val="2C2C2C"/>
          <w:sz w:val="22"/>
          <w:szCs w:val="22"/>
        </w:rPr>
        <w:t xml:space="preserve">The core problem addressed by EduInsight is the absence of a practical, explainable, and faculty-friendly system that can use structured student data to forecast performance and highlight academic risk before final outcomes. Manual analysis becomes difficult when records are large, factors are mixed, and relationships are not obvious. A machine learning pipeline can process these records systematically, but it must also be evaluated carefully and presented responsibly.</w:t>
      </w:r>
    </w:p>
    <w:p>
      <w:pPr>
        <w:pStyle w:val="Heading2"/>
        <w:spacing w:after="160" w:before="240"/>
      </w:pPr>
      <w:r>
        <w:rPr>
          <w:rFonts w:ascii="Calibri" w:cs="Calibri" w:eastAsia="Calibri" w:hAnsi="Calibri"/>
          <w:b/>
          <w:bCs/>
          <w:color w:val="1A2B3C"/>
          <w:sz w:val="26"/>
          <w:szCs w:val="26"/>
        </w:rPr>
        <w:t xml:space="preserve">1.3 Need for Study</w:t>
      </w:r>
    </w:p>
    <w:p>
      <w:pPr>
        <w:spacing w:after="160" w:before="0"/>
        <w:jc w:val="both"/>
      </w:pPr>
      <w:r>
        <w:rPr>
          <w:rFonts w:ascii="Calibri" w:cs="Calibri" w:eastAsia="Calibri" w:hAnsi="Calibri"/>
          <w:b w:val="false"/>
          <w:bCs w:val="false"/>
          <w:color w:val="2C2C2C"/>
          <w:sz w:val="22"/>
          <w:szCs w:val="22"/>
        </w:rPr>
        <w:t xml:space="preserve">The need for this study comes from three academic realities: student performance is multi-factorial, institutional analysis is often reactive, and technical model outputs are difficult for non-technical faculty to interpret unless they are converted into clear insights.</w:t>
      </w:r>
    </w:p>
    <w:p>
      <w:pPr>
        <w:spacing w:after="160" w:before="0"/>
        <w:jc w:val="both"/>
      </w:pPr>
      <w:r>
        <w:rPr>
          <w:rFonts w:ascii="Calibri" w:cs="Calibri" w:eastAsia="Calibri" w:hAnsi="Calibri"/>
          <w:b w:val="false"/>
          <w:bCs w:val="false"/>
          <w:color w:val="2C2C2C"/>
          <w:sz w:val="22"/>
          <w:szCs w:val="22"/>
        </w:rPr>
        <w:t xml:space="preserve">Early identification of academic risk can help teachers schedule mentoring and remedial support before final examinations. A clean data science pipeline improves reproducibility and makes the project easier to defend during evaluation and viva. Explainable insights are more useful than black-box predictions because faculty must understand why a risk signal is being shown. Dashboard reporting makes model outputs accessible to stakeholders who may not work directly with Python notebooks.</w:t>
      </w:r>
    </w:p>
    <w:p>
      <w:pPr>
        <w:pStyle w:val="Heading2"/>
        <w:spacing w:after="160" w:before="240"/>
      </w:pPr>
      <w:r>
        <w:rPr>
          <w:rFonts w:ascii="Calibri" w:cs="Calibri" w:eastAsia="Calibri" w:hAnsi="Calibri"/>
          <w:b/>
          <w:bCs/>
          <w:color w:val="1A2B3C"/>
          <w:sz w:val="26"/>
          <w:szCs w:val="26"/>
        </w:rPr>
        <w:t xml:space="preserve">1.4 Objectives</w:t>
      </w:r>
    </w:p>
    <w:p>
      <w:pPr>
        <w:spacing w:after="160" w:before="0"/>
        <w:jc w:val="both"/>
      </w:pPr>
      <w:r>
        <w:rPr>
          <w:rFonts w:ascii="Calibri" w:cs="Calibri" w:eastAsia="Calibri" w:hAnsi="Calibri"/>
          <w:b w:val="false"/>
          <w:bCs w:val="false"/>
          <w:color w:val="2C2C2C"/>
          <w:sz w:val="22"/>
          <w:szCs w:val="22"/>
        </w:rPr>
        <w:t xml:space="preserve">The project pursues the following objectives:</w:t>
      </w:r>
    </w:p>
    <w:p>
      <w:pPr>
        <w:spacing w:after="160" w:before="0"/>
        <w:jc w:val="both"/>
      </w:pPr>
      <w:r>
        <w:rPr>
          <w:rFonts w:ascii="Calibri" w:cs="Calibri" w:eastAsia="Calibri" w:hAnsi="Calibri"/>
          <w:b w:val="false"/>
          <w:bCs w:val="false"/>
          <w:color w:val="2C2C2C"/>
          <w:sz w:val="22"/>
          <w:szCs w:val="22"/>
        </w:rPr>
        <w:t xml:space="preserve">1. To understand and clean a structured student performance dataset for reliable analysis.</w:t>
      </w:r>
    </w:p>
    <w:p>
      <w:pPr>
        <w:spacing w:after="160" w:before="0"/>
        <w:jc w:val="both"/>
      </w:pPr>
      <w:r>
        <w:rPr>
          <w:rFonts w:ascii="Calibri" w:cs="Calibri" w:eastAsia="Calibri" w:hAnsi="Calibri"/>
          <w:b w:val="false"/>
          <w:bCs w:val="false"/>
          <w:color w:val="2C2C2C"/>
          <w:sz w:val="22"/>
          <w:szCs w:val="22"/>
        </w:rPr>
        <w:t xml:space="preserve">2. To remove duplicate records and confirm missing value status before modeling.</w:t>
      </w:r>
    </w:p>
    <w:p>
      <w:pPr>
        <w:spacing w:after="160" w:before="0"/>
        <w:jc w:val="both"/>
      </w:pPr>
      <w:r>
        <w:rPr>
          <w:rFonts w:ascii="Calibri" w:cs="Calibri" w:eastAsia="Calibri" w:hAnsi="Calibri"/>
          <w:b w:val="false"/>
          <w:bCs w:val="false"/>
          <w:color w:val="2C2C2C"/>
          <w:sz w:val="22"/>
          <w:szCs w:val="22"/>
        </w:rPr>
        <w:t xml:space="preserve">3. To create meaningful target variables for score prediction and academic risk classification.</w:t>
      </w:r>
    </w:p>
    <w:p>
      <w:pPr>
        <w:spacing w:after="160" w:before="0"/>
        <w:jc w:val="both"/>
      </w:pPr>
      <w:r>
        <w:rPr>
          <w:rFonts w:ascii="Calibri" w:cs="Calibri" w:eastAsia="Calibri" w:hAnsi="Calibri"/>
          <w:b w:val="false"/>
          <w:bCs w:val="false"/>
          <w:color w:val="2C2C2C"/>
          <w:sz w:val="22"/>
          <w:szCs w:val="22"/>
        </w:rPr>
        <w:t xml:space="preserve">4. To perform exploratory data analysis on score distribution, categorical factors, correlations, and risk groups.</w:t>
      </w:r>
    </w:p>
    <w:p>
      <w:pPr>
        <w:spacing w:after="160" w:before="0"/>
        <w:jc w:val="both"/>
      </w:pPr>
      <w:r>
        <w:rPr>
          <w:rFonts w:ascii="Calibri" w:cs="Calibri" w:eastAsia="Calibri" w:hAnsi="Calibri"/>
          <w:b w:val="false"/>
          <w:bCs w:val="false"/>
          <w:color w:val="2C2C2C"/>
          <w:sz w:val="22"/>
          <w:szCs w:val="22"/>
        </w:rPr>
        <w:t xml:space="preserve">5. To train and compare supervised learning models for regression and classification tasks.</w:t>
      </w:r>
    </w:p>
    <w:p>
      <w:pPr>
        <w:spacing w:after="160" w:before="0"/>
        <w:jc w:val="both"/>
      </w:pPr>
      <w:r>
        <w:rPr>
          <w:rFonts w:ascii="Calibri" w:cs="Calibri" w:eastAsia="Calibri" w:hAnsi="Calibri"/>
          <w:b w:val="false"/>
          <w:bCs w:val="false"/>
          <w:color w:val="2C2C2C"/>
          <w:sz w:val="22"/>
          <w:szCs w:val="22"/>
        </w:rPr>
        <w:t xml:space="preserve">6. To evaluate models using MAE, RMSE, R², accuracy, precision, recall, F1 score, and confusion matrix analysis.</w:t>
      </w:r>
    </w:p>
    <w:p>
      <w:pPr>
        <w:spacing w:after="160" w:before="0"/>
        <w:jc w:val="both"/>
      </w:pPr>
      <w:r>
        <w:rPr>
          <w:rFonts w:ascii="Calibri" w:cs="Calibri" w:eastAsia="Calibri" w:hAnsi="Calibri"/>
          <w:b w:val="false"/>
          <w:bCs w:val="false"/>
          <w:color w:val="2C2C2C"/>
          <w:sz w:val="22"/>
          <w:szCs w:val="22"/>
        </w:rPr>
        <w:t xml:space="preserve">7. To explain model behavior through feature importance and error analysis.</w:t>
      </w:r>
    </w:p>
    <w:p>
      <w:pPr>
        <w:spacing w:after="160" w:before="0"/>
        <w:jc w:val="both"/>
      </w:pPr>
      <w:r>
        <w:rPr>
          <w:rFonts w:ascii="Calibri" w:cs="Calibri" w:eastAsia="Calibri" w:hAnsi="Calibri"/>
          <w:b w:val="false"/>
          <w:bCs w:val="false"/>
          <w:color w:val="2C2C2C"/>
          <w:sz w:val="22"/>
          <w:szCs w:val="22"/>
        </w:rPr>
        <w:t xml:space="preserve">8. To design a Power BI dashboard concept that communicates performance, risk, and model evaluation in a faculty-friendly format.</w:t>
      </w:r>
    </w:p>
    <w:p>
      <w:pPr>
        <w:pStyle w:val="Heading2"/>
        <w:spacing w:after="160" w:before="240"/>
      </w:pPr>
      <w:r>
        <w:rPr>
          <w:rFonts w:ascii="Calibri" w:cs="Calibri" w:eastAsia="Calibri" w:hAnsi="Calibri"/>
          <w:b/>
          <w:bCs/>
          <w:color w:val="1A2B3C"/>
          <w:sz w:val="26"/>
          <w:szCs w:val="26"/>
        </w:rPr>
        <w:t xml:space="preserve">1.5 Scope</w:t>
      </w:r>
    </w:p>
    <w:p>
      <w:pPr>
        <w:spacing w:after="160" w:before="0"/>
        <w:jc w:val="both"/>
      </w:pPr>
      <w:r>
        <w:rPr>
          <w:rFonts w:ascii="Calibri" w:cs="Calibri" w:eastAsia="Calibri" w:hAnsi="Calibri"/>
          <w:b w:val="false"/>
          <w:bCs w:val="false"/>
          <w:color w:val="2C2C2C"/>
          <w:sz w:val="22"/>
          <w:szCs w:val="22"/>
        </w:rPr>
        <w:t xml:space="preserve">The project scope is intentionally focused on a realistic final-year B.Sc. IT implementation. It uses a public anonymized CSV dataset rather than confidential institutional records. The system demonstrates the complete data science lifecycle and produces an academic decision-support prototype.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Scope Area</w:t>
            </w:r>
          </w:p>
        </w:tc>
        <w:tc>
          <w:tcPr>
            <w:tcW w:type="dxa" w:w="35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Included</w:t>
            </w:r>
          </w:p>
        </w:tc>
        <w:tc>
          <w:tcPr>
            <w:tcW w:type="dxa" w:w="35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Boundary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Data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Structured student performance CSV with academic, demographic, and study-related attributes.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No confidential student records are collected from a real college.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Prediction</w:t>
            </w:r>
          </w:p>
        </w:tc>
        <w:tc>
          <w:tcPr>
            <w:tcW w:type="dxa" w:w="35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Overall score regression and academic risk classification.</w:t>
            </w:r>
          </w:p>
        </w:tc>
        <w:tc>
          <w:tcPr>
            <w:tcW w:type="dxa" w:w="35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Predictions are support signals and do not replace teacher evaluation.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Analysis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EDA, correlation, feature importance, risk distribution, and error analysis.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The report avoids claiming causality from correlation alone.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Dashboard</w:t>
            </w:r>
          </w:p>
        </w:tc>
        <w:tc>
          <w:tcPr>
            <w:tcW w:type="dxa" w:w="35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Power BI dashboard architecture and view design for faculty interpretation.</w:t>
            </w:r>
          </w:p>
        </w:tc>
        <w:tc>
          <w:tcPr>
            <w:tcW w:type="dxa" w:w="35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Enterprise LMS integration is kept for future scope.</w:t>
            </w:r>
          </w:p>
        </w:tc>
      </w:tr>
    </w:tbl>
    <w:p>
      <w:pPr>
        <w:spacing w:after="240" w:before="80"/>
        <w:jc w:val="center"/>
      </w:pPr>
      <w:r>
        <w:rPr>
          <w:rFonts w:ascii="Calibri" w:cs="Calibri" w:eastAsia="Calibri" w:hAnsi="Calibri"/>
          <w:color w:val="4A6274"/>
          <w:sz w:val="18"/>
          <w:szCs w:val="18"/>
        </w:rPr>
        <w:t xml:space="preserve">Table 2: Project scope and boundaries</w:t>
      </w:r>
    </w:p>
    <w:p>
      <w:pPr>
        <w:pStyle w:val="Heading2"/>
        <w:spacing w:after="160" w:before="240"/>
      </w:pPr>
      <w:r>
        <w:rPr>
          <w:rFonts w:ascii="Calibri" w:cs="Calibri" w:eastAsia="Calibri" w:hAnsi="Calibri"/>
          <w:b/>
          <w:bCs/>
          <w:color w:val="1A2B3C"/>
          <w:sz w:val="26"/>
          <w:szCs w:val="26"/>
        </w:rPr>
        <w:t xml:space="preserve">1.6 Benefits</w:t>
      </w:r>
    </w:p>
    <w:p>
      <w:pPr>
        <w:spacing w:after="160" w:before="0"/>
        <w:jc w:val="both"/>
      </w:pPr>
      <w:r>
        <w:rPr>
          <w:rFonts w:ascii="Calibri" w:cs="Calibri" w:eastAsia="Calibri" w:hAnsi="Calibri"/>
          <w:b w:val="false"/>
          <w:bCs w:val="false"/>
          <w:color w:val="2C2C2C"/>
          <w:sz w:val="22"/>
          <w:szCs w:val="22"/>
        </w:rPr>
        <w:t xml:space="preserve">For faculty: EduInsight prioritizes students who may need timely support and makes performance patterns easier to interpret. For students: the system supports earlier guidance, targeted mentoring, and more constructive academic conversations. For administrators: the dashboard provides aggregate insight into performance distribution, risk segments, and institutional support needs. For project evaluation: the work demonstrates data cleaning, modeling, metrics, visualization, and responsible AI in one coherent solution.</w:t>
      </w:r>
    </w:p>
    <w:p>
      <w:pPr>
        <w:pStyle w:val="Heading2"/>
        <w:spacing w:after="160" w:before="240"/>
      </w:pPr>
      <w:r>
        <w:rPr>
          <w:rFonts w:ascii="Calibri" w:cs="Calibri" w:eastAsia="Calibri" w:hAnsi="Calibri"/>
          <w:b/>
          <w:bCs/>
          <w:color w:val="1A2B3C"/>
          <w:sz w:val="26"/>
          <w:szCs w:val="26"/>
        </w:rPr>
        <w:t xml:space="preserve">1.7 Project Overview</w:t>
      </w:r>
    </w:p>
    <w:p>
      <w:pPr>
        <w:spacing w:after="160" w:before="0"/>
        <w:jc w:val="both"/>
      </w:pPr>
      <w:r>
        <w:rPr>
          <w:rFonts w:ascii="Calibri" w:cs="Calibri" w:eastAsia="Calibri" w:hAnsi="Calibri"/>
          <w:b w:val="false"/>
          <w:bCs w:val="false"/>
          <w:color w:val="2C2C2C"/>
          <w:sz w:val="22"/>
          <w:szCs w:val="22"/>
        </w:rPr>
        <w:t xml:space="preserve">EduInsight follows a six-layer architecture: data source, preprocessing, EDA layer, machine learning engine, insight layer, and Power BI dashboard. Each layer produces an output that can be checked independently. This separation improves transparency and helps the project remain understandable during academic demonstration.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Data Source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Public student performance CSV records</w:t>
            </w:r>
          </w:p>
        </w:tc>
      </w:tr>
      <w:tr>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02</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Preprocess</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Quality audit, duplicate removal, encoding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EDA Layer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Patterns, correlation, risk profiles</w:t>
            </w:r>
          </w:p>
        </w:tc>
      </w:tr>
      <w:tr>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04</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ML Engine</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Regression and classification experiments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Insight Layer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Feature importance and error analysis</w:t>
            </w:r>
          </w:p>
        </w:tc>
      </w:tr>
      <w:tr>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06</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Power BI</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Faculty-friendly dashboard views</w:t>
            </w:r>
          </w:p>
        </w:tc>
      </w:tr>
    </w:tbl>
    <w:p>
      <w:pPr>
        <w:spacing w:after="240" w:before="80"/>
        <w:jc w:val="center"/>
      </w:pPr>
      <w:r>
        <w:rPr>
          <w:rFonts w:ascii="Calibri" w:cs="Calibri" w:eastAsia="Calibri" w:hAnsi="Calibri"/>
          <w:color w:val="4A6274"/>
          <w:sz w:val="18"/>
          <w:szCs w:val="18"/>
        </w:rPr>
        <w:t xml:space="preserve">Figure 1: Six-layer EduInsight system architecture</w:t>
      </w:r>
    </w:p>
    <w:p>
      <w:r>
        <w:br w:type="page"/>
      </w:r>
    </w:p>
    <w:p>
      <w:pPr>
        <w:pStyle w:val="Heading1"/>
        <w:spacing w:after="160" w:before="400"/>
      </w:pPr>
      <w:r>
        <w:rPr>
          <w:rFonts w:ascii="Calibri" w:cs="Calibri" w:eastAsia="Calibri" w:hAnsi="Calibri"/>
          <w:b/>
          <w:bCs/>
          <w:color w:val="1A7A9A"/>
          <w:sz w:val="32"/>
          <w:szCs w:val="32"/>
        </w:rPr>
        <w:t xml:space="preserve">Chapter 2 – Literature Review</w:t>
      </w:r>
    </w:p>
    <w:p>
      <w:pPr>
        <w:pStyle w:val="Heading2"/>
        <w:spacing w:after="160" w:before="240"/>
      </w:pPr>
      <w:r>
        <w:rPr>
          <w:rFonts w:ascii="Calibri" w:cs="Calibri" w:eastAsia="Calibri" w:hAnsi="Calibri"/>
          <w:b/>
          <w:bCs/>
          <w:color w:val="1A2B3C"/>
          <w:sz w:val="26"/>
          <w:szCs w:val="26"/>
        </w:rPr>
        <w:t xml:space="preserve">2.1 Educational Data Mining</w:t>
      </w:r>
    </w:p>
    <w:p>
      <w:pPr>
        <w:spacing w:after="160" w:before="0"/>
        <w:jc w:val="both"/>
      </w:pPr>
      <w:r>
        <w:rPr>
          <w:rFonts w:ascii="Calibri" w:cs="Calibri" w:eastAsia="Calibri" w:hAnsi="Calibri"/>
          <w:b w:val="false"/>
          <w:bCs w:val="false"/>
          <w:color w:val="2C2C2C"/>
          <w:sz w:val="22"/>
          <w:szCs w:val="22"/>
        </w:rPr>
        <w:t xml:space="preserve">Educational Data Mining (EDM) is the application of data mining and machine learning methods to educational data. Its purpose is to discover patterns related to learning behavior, student performance, course engagement, assessment outcomes, and institutional effectiveness. EDM differs from general business analytics because educational decisions affect human development and must be interpreted carefully. Research in EDM has shown that academic records can support tasks such as performance prediction, dropout prediction, learning behavior analysis, recommendation, and feedback personalization.</w:t>
      </w:r>
    </w:p>
    <w:p>
      <w:pPr>
        <w:pStyle w:val="Heading2"/>
        <w:spacing w:after="160" w:before="240"/>
      </w:pPr>
      <w:r>
        <w:rPr>
          <w:rFonts w:ascii="Calibri" w:cs="Calibri" w:eastAsia="Calibri" w:hAnsi="Calibri"/>
          <w:b/>
          <w:bCs/>
          <w:color w:val="1A2B3C"/>
          <w:sz w:val="26"/>
          <w:szCs w:val="26"/>
        </w:rPr>
        <w:t xml:space="preserve">2.2 Student Performance Prediction</w:t>
      </w:r>
    </w:p>
    <w:p>
      <w:pPr>
        <w:spacing w:after="160" w:before="0"/>
        <w:jc w:val="both"/>
      </w:pPr>
      <w:r>
        <w:rPr>
          <w:rFonts w:ascii="Calibri" w:cs="Calibri" w:eastAsia="Calibri" w:hAnsi="Calibri"/>
          <w:b w:val="false"/>
          <w:bCs w:val="false"/>
          <w:color w:val="2C2C2C"/>
          <w:sz w:val="22"/>
          <w:szCs w:val="22"/>
        </w:rPr>
        <w:t xml:space="preserve">Student performance prediction is one of the most widely studied EDM tasks. The target may be a numerical score, grade category, pass/fail label, dropout risk, or achievement band. The predictive features may include attendance, previous marks, study time, demographic attributes, access to learning resources, parental education, and assessment activity. In EduInsight, the prediction task is divided into two linked outputs: regression predicts the overall academic score as a continuous value, and classification converts the academic outcome into teacher-friendly risk categories.</w:t>
      </w:r>
    </w:p>
    <w:p>
      <w:pPr>
        <w:pStyle w:val="Heading2"/>
        <w:spacing w:after="160" w:before="240"/>
      </w:pPr>
      <w:r>
        <w:rPr>
          <w:rFonts w:ascii="Calibri" w:cs="Calibri" w:eastAsia="Calibri" w:hAnsi="Calibri"/>
          <w:b/>
          <w:bCs/>
          <w:color w:val="1A2B3C"/>
          <w:sz w:val="26"/>
          <w:szCs w:val="26"/>
        </w:rPr>
        <w:t xml:space="preserve">2.3 Machine Learning in Education</w:t>
      </w:r>
    </w:p>
    <w:p>
      <w:pPr>
        <w:spacing w:after="160" w:before="0"/>
        <w:jc w:val="both"/>
      </w:pPr>
      <w:r>
        <w:rPr>
          <w:rFonts w:ascii="Calibri" w:cs="Calibri" w:eastAsia="Calibri" w:hAnsi="Calibri"/>
          <w:b w:val="false"/>
          <w:bCs w:val="false"/>
          <w:color w:val="2C2C2C"/>
          <w:sz w:val="22"/>
          <w:szCs w:val="22"/>
        </w:rPr>
        <w:t xml:space="preserve">Machine learning algorithms commonly used in education include linear regression, logistic regression, decision trees, random forests, gradient boosting, support vector machines, and neural networks. The correct choice depends on dataset size, feature type, interpretability requirement, class balance, and the real decision being supported. Academic projects often focus only on achieving high accuracy, but educational settings require a broader view. A model should be compared against baselines, tested on unseen data, interpreted through feature importance, and examined for error patterns.</w:t>
      </w:r>
    </w:p>
    <w:p>
      <w:pPr>
        <w:pStyle w:val="Heading2"/>
        <w:spacing w:after="160" w:before="240"/>
      </w:pPr>
      <w:r>
        <w:rPr>
          <w:rFonts w:ascii="Calibri" w:cs="Calibri" w:eastAsia="Calibri" w:hAnsi="Calibri"/>
          <w:b/>
          <w:bCs/>
          <w:color w:val="1A2B3C"/>
          <w:sz w:val="26"/>
          <w:szCs w:val="26"/>
        </w:rPr>
        <w:t xml:space="preserve">2.4 Dashboard-Based Decision Support</w:t>
      </w:r>
    </w:p>
    <w:p>
      <w:pPr>
        <w:spacing w:after="160" w:before="0"/>
        <w:jc w:val="both"/>
      </w:pPr>
      <w:r>
        <w:rPr>
          <w:rFonts w:ascii="Calibri" w:cs="Calibri" w:eastAsia="Calibri" w:hAnsi="Calibri"/>
          <w:b w:val="false"/>
          <w:bCs w:val="false"/>
          <w:color w:val="2C2C2C"/>
          <w:sz w:val="22"/>
          <w:szCs w:val="22"/>
        </w:rPr>
        <w:t xml:space="preserve">Dashboards convert analytical results into visual decision support. A Power BI dashboard can show aggregate KPIs, score distributions, risk categories, feature importance, student-level filters, and model evaluation summaries. In education, this is important because teachers and administrators may not interact directly with code or notebooks. A good dashboard organizes information in the order a user needs it: overview first, then explanation, then student-level exploration, then model confidence and limitations.</w:t>
      </w:r>
    </w:p>
    <w:p>
      <w:pPr>
        <w:pStyle w:val="Heading2"/>
        <w:spacing w:after="160" w:before="240"/>
      </w:pPr>
      <w:r>
        <w:rPr>
          <w:rFonts w:ascii="Calibri" w:cs="Calibri" w:eastAsia="Calibri" w:hAnsi="Calibri"/>
          <w:b/>
          <w:bCs/>
          <w:color w:val="1A2B3C"/>
          <w:sz w:val="26"/>
          <w:szCs w:val="26"/>
        </w:rPr>
        <w:t xml:space="preserve">2.5 Related Research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Contribution</w:t>
            </w:r>
          </w:p>
        </w:tc>
        <w:tc>
          <w:tcPr>
            <w:tcW w:type="dxa" w:w="29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Relevance to EduInsight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Romero &amp; Ventura (2010)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EDM Survey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Reviewed educational data mining methods and applications.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Supports EDM framing and responsible interpretation.</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Cortez &amp; Silva (2008)</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Student Achievement</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Used data mining to predict secondary school student performance.</w:t>
            </w:r>
          </w:p>
        </w:tc>
        <w:tc>
          <w:tcPr>
            <w:tcW w:type="dxa" w:w="2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Shows that structured academic and social variables can support prediction.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Baker &amp; Inventado (2014)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Learning Analytics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Discussed EDM and learning analytics in broader educational contexts.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Supports dashboard and learning analytics positioning.</w:t>
            </w:r>
          </w:p>
        </w:tc>
      </w:tr>
      <w:tr>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Pedregosa et al. (2011)</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Scikit-Learn</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Introduced Scikit-Learn as a practical machine learning library.</w:t>
            </w:r>
          </w:p>
        </w:tc>
        <w:tc>
          <w:tcPr>
            <w:tcW w:type="dxa" w:w="2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Supports supervised learning methodology and metrics concepts.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Microsoft Power BI Docs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BI/Visualization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Explains visual analytics, dashboards, relationships, and reports.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Supports the decision-support layer of EduInsight.</w:t>
            </w:r>
          </w:p>
        </w:tc>
      </w:tr>
    </w:tbl>
    <w:p>
      <w:pPr>
        <w:spacing w:after="240" w:before="80"/>
        <w:jc w:val="center"/>
      </w:pPr>
      <w:r>
        <w:rPr>
          <w:rFonts w:ascii="Calibri" w:cs="Calibri" w:eastAsia="Calibri" w:hAnsi="Calibri"/>
          <w:color w:val="4A6274"/>
          <w:sz w:val="18"/>
          <w:szCs w:val="18"/>
        </w:rPr>
        <w:t xml:space="preserve">Table 3: Summary of related literature and technical references</w:t>
      </w:r>
    </w:p>
    <w:p>
      <w:pPr>
        <w:pStyle w:val="Heading2"/>
        <w:spacing w:after="160" w:before="240"/>
      </w:pPr>
      <w:r>
        <w:rPr>
          <w:rFonts w:ascii="Calibri" w:cs="Calibri" w:eastAsia="Calibri" w:hAnsi="Calibri"/>
          <w:b/>
          <w:bCs/>
          <w:color w:val="1A2B3C"/>
          <w:sz w:val="26"/>
          <w:szCs w:val="26"/>
        </w:rPr>
        <w:t xml:space="preserve">2.6 Research Gap</w:t>
      </w:r>
    </w:p>
    <w:p>
      <w:pPr>
        <w:spacing w:after="160" w:before="0"/>
        <w:jc w:val="both"/>
      </w:pPr>
      <w:r>
        <w:rPr>
          <w:rFonts w:ascii="Calibri" w:cs="Calibri" w:eastAsia="Calibri" w:hAnsi="Calibri"/>
          <w:b w:val="false"/>
          <w:bCs w:val="false"/>
          <w:color w:val="2C2C2C"/>
          <w:sz w:val="22"/>
          <w:szCs w:val="22"/>
        </w:rPr>
        <w:t xml:space="preserve">Many student performance projects stop at a single model accuracy value. This creates three gaps. First, it does not explain the factors behind the prediction. Second, it does not show whether errors are concentrated in a particular risk group. Third, it does not convert the output into a usable institutional view. EduInsight addresses these gaps by combining score prediction, risk classification, feature importance, error analysis, and dashboard design. The project therefore contributes a complete academic analytics workflow rather than a disconnected prediction script.</w:t>
      </w:r>
    </w:p>
    <w:p>
      <w:r>
        <w:br w:type="page"/>
      </w:r>
    </w:p>
    <w:p>
      <w:pPr>
        <w:pStyle w:val="Heading1"/>
        <w:spacing w:after="160" w:before="400"/>
      </w:pPr>
      <w:r>
        <w:rPr>
          <w:rFonts w:ascii="Calibri" w:cs="Calibri" w:eastAsia="Calibri" w:hAnsi="Calibri"/>
          <w:b/>
          <w:bCs/>
          <w:color w:val="1A7A9A"/>
          <w:sz w:val="32"/>
          <w:szCs w:val="32"/>
        </w:rPr>
        <w:t xml:space="preserve">Chapter 3 – Proposed Methodology</w:t>
      </w:r>
    </w:p>
    <w:p>
      <w:pPr>
        <w:pStyle w:val="Heading2"/>
        <w:spacing w:after="160" w:before="240"/>
      </w:pPr>
      <w:r>
        <w:rPr>
          <w:rFonts w:ascii="Calibri" w:cs="Calibri" w:eastAsia="Calibri" w:hAnsi="Calibri"/>
          <w:b/>
          <w:bCs/>
          <w:color w:val="1A2B3C"/>
          <w:sz w:val="26"/>
          <w:szCs w:val="26"/>
        </w:rPr>
        <w:t xml:space="preserve">3.1 Dataset Description</w:t>
      </w:r>
    </w:p>
    <w:p>
      <w:pPr>
        <w:spacing w:after="160" w:before="0"/>
        <w:jc w:val="both"/>
      </w:pPr>
      <w:r>
        <w:rPr>
          <w:rFonts w:ascii="Calibri" w:cs="Calibri" w:eastAsia="Calibri" w:hAnsi="Calibri"/>
          <w:b w:val="false"/>
          <w:bCs w:val="false"/>
          <w:color w:val="2C2C2C"/>
          <w:sz w:val="22"/>
          <w:szCs w:val="22"/>
        </w:rPr>
        <w:t xml:space="preserve">The supplied dataset contains 25,000 raw records and 16 original columns. The columns include student identifier, age, gender, school type, parent education, study hours, attendance percentage, internet access, travel time, extra activities, study method, subject scores (math, science, English), overall score, and final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Dataset Property</w:t>
            </w:r>
          </w:p>
        </w:tc>
        <w:tc>
          <w:tcPr>
            <w:tcW w:type="dxa" w:w="432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Records before cleaning</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25,000</w:t>
            </w:r>
          </w:p>
        </w:tc>
      </w:tr>
      <w:tr>
        <w:tc>
          <w:tcPr>
            <w:tcW w:type="dxa" w:w="50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Records after duplicate removal</w:t>
            </w:r>
          </w:p>
        </w:tc>
        <w:tc>
          <w:tcPr>
            <w:tcW w:type="dxa" w:w="43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15,000</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Original columns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16</w:t>
            </w:r>
          </w:p>
        </w:tc>
      </w:tr>
      <w:tr>
        <w:tc>
          <w:tcPr>
            <w:tcW w:type="dxa" w:w="50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Missing values detected</w:t>
            </w:r>
          </w:p>
        </w:tc>
        <w:tc>
          <w:tcPr>
            <w:tcW w:type="dxa" w:w="43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 across all original columns</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Exact duplicate rows detected</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r>
        <w:tc>
          <w:tcPr>
            <w:tcW w:type="dxa" w:w="50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Train-test split</w:t>
            </w:r>
          </w:p>
        </w:tc>
        <w:tc>
          <w:tcPr>
            <w:tcW w:type="dxa" w:w="43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12,000 training records and 3,000 testing records</w:t>
            </w:r>
          </w:p>
        </w:tc>
      </w:tr>
    </w:tbl>
    <w:p>
      <w:pPr>
        <w:spacing w:after="240" w:before="80"/>
        <w:jc w:val="center"/>
      </w:pPr>
      <w:r>
        <w:rPr>
          <w:rFonts w:ascii="Calibri" w:cs="Calibri" w:eastAsia="Calibri" w:hAnsi="Calibri"/>
          <w:color w:val="4A6274"/>
          <w:sz w:val="18"/>
          <w:szCs w:val="18"/>
        </w:rPr>
        <w:t xml:space="preserve">Table 4: Dataset quality summary</w:t>
      </w:r>
    </w:p>
    <w:p>
      <w:pPr>
        <w:pStyle w:val="Heading2"/>
        <w:spacing w:after="160" w:before="240"/>
      </w:pPr>
      <w:r>
        <w:rPr>
          <w:rFonts w:ascii="Calibri" w:cs="Calibri" w:eastAsia="Calibri" w:hAnsi="Calibri"/>
          <w:b/>
          <w:bCs/>
          <w:color w:val="1A2B3C"/>
          <w:sz w:val="26"/>
          <w:szCs w:val="26"/>
        </w:rPr>
        <w:t xml:space="preserve">3.2 Data Collection</w:t>
      </w:r>
    </w:p>
    <w:p>
      <w:pPr>
        <w:spacing w:after="160" w:before="0"/>
        <w:jc w:val="both"/>
      </w:pPr>
      <w:r>
        <w:rPr>
          <w:rFonts w:ascii="Calibri" w:cs="Calibri" w:eastAsia="Calibri" w:hAnsi="Calibri"/>
          <w:b w:val="false"/>
          <w:bCs w:val="false"/>
          <w:color w:val="2C2C2C"/>
          <w:sz w:val="22"/>
          <w:szCs w:val="22"/>
        </w:rPr>
        <w:t xml:space="preserve">The project uses a public structured student performance CSV supplied with the project materials. Since the dataset is anonymized and does not contain direct personally identifiable college records, it is suitable for academic modeling and dashboard demonstration. The data collection strategy is therefore secondary-source analysis rather than primary student survey collection.</w:t>
      </w:r>
    </w:p>
    <w:p>
      <w:pPr>
        <w:pStyle w:val="Heading2"/>
        <w:spacing w:after="160" w:before="240"/>
      </w:pPr>
      <w:r>
        <w:rPr>
          <w:rFonts w:ascii="Calibri" w:cs="Calibri" w:eastAsia="Calibri" w:hAnsi="Calibri"/>
          <w:b/>
          <w:bCs/>
          <w:color w:val="1A2B3C"/>
          <w:sz w:val="26"/>
          <w:szCs w:val="26"/>
        </w:rPr>
        <w:t xml:space="preserve">3.3 Data Cleaning</w:t>
      </w:r>
    </w:p>
    <w:p>
      <w:pPr>
        <w:spacing w:after="160" w:before="0"/>
        <w:jc w:val="both"/>
      </w:pPr>
      <w:r>
        <w:rPr>
          <w:rFonts w:ascii="Calibri" w:cs="Calibri" w:eastAsia="Calibri" w:hAnsi="Calibri"/>
          <w:b w:val="false"/>
          <w:bCs w:val="false"/>
          <w:color w:val="2C2C2C"/>
          <w:sz w:val="22"/>
          <w:szCs w:val="22"/>
        </w:rPr>
        <w:t xml:space="preserve">Data cleaning began with a structural audit of column names, data types, missing values, category values, and duplicate rows. Categorical values were standardized through lower-case labels, while numerical columns were checked for valid ranges. Scores were within a 0 to 100 range and attendance percentage remained between 50 and 100 in the supplied dataset. No missing values were found across any of the 16 original columns.</w:t>
      </w:r>
    </w:p>
    <w:p>
      <w:pPr>
        <w:pStyle w:val="Heading2"/>
        <w:spacing w:after="160" w:before="240"/>
      </w:pPr>
      <w:r>
        <w:rPr>
          <w:rFonts w:ascii="Calibri" w:cs="Calibri" w:eastAsia="Calibri" w:hAnsi="Calibri"/>
          <w:b/>
          <w:bCs/>
          <w:color w:val="1A2B3C"/>
          <w:sz w:val="26"/>
          <w:szCs w:val="26"/>
        </w:rPr>
        <w:t xml:space="preserve">3.4 Duplicate Handling</w:t>
      </w:r>
    </w:p>
    <w:p>
      <w:pPr>
        <w:spacing w:after="160" w:before="0"/>
        <w:jc w:val="both"/>
      </w:pPr>
      <w:r>
        <w:rPr>
          <w:rFonts w:ascii="Calibri" w:cs="Calibri" w:eastAsia="Calibri" w:hAnsi="Calibri"/>
          <w:b w:val="false"/>
          <w:bCs w:val="false"/>
          <w:color w:val="2C2C2C"/>
          <w:sz w:val="22"/>
          <w:szCs w:val="22"/>
        </w:rPr>
        <w:t xml:space="preserve">The raw dataset contained 10,000 exact duplicate records. Duplicate records can bias model training because repeated rows give some students or patterns more weight than they should receive. Therefore, exact duplicates were removed before EDA and model development. The clean analytical dataset contains 15,000 unique records. The duplicate rate of 40% makes this the most critical data quality step in the project.</w:t>
      </w:r>
    </w:p>
    <w:p>
      <w:pPr>
        <w:pStyle w:val="Heading2"/>
        <w:spacing w:after="160" w:before="240"/>
      </w:pPr>
      <w:r>
        <w:rPr>
          <w:rFonts w:ascii="Calibri" w:cs="Calibri" w:eastAsia="Calibri" w:hAnsi="Calibri"/>
          <w:b/>
          <w:bCs/>
          <w:color w:val="1A2B3C"/>
          <w:sz w:val="26"/>
          <w:szCs w:val="26"/>
        </w:rPr>
        <w:t xml:space="preserve">3.5 Missing Value Strategy</w:t>
      </w:r>
    </w:p>
    <w:p>
      <w:pPr>
        <w:spacing w:after="160" w:before="0"/>
        <w:jc w:val="both"/>
      </w:pPr>
      <w:r>
        <w:rPr>
          <w:rFonts w:ascii="Calibri" w:cs="Calibri" w:eastAsia="Calibri" w:hAnsi="Calibri"/>
          <w:b w:val="false"/>
          <w:bCs w:val="false"/>
          <w:color w:val="2C2C2C"/>
          <w:sz w:val="22"/>
          <w:szCs w:val="22"/>
        </w:rPr>
        <w:t xml:space="preserve">The missing value audit showed zero missing values across the original fields. Since no imputation was required for the supplied dataset, the strategy was documented rather than applied. If missing values were present in future data, numerical fields such as study hours or attendance would be imputed with median values, while categorical fields such as study method or internet access would use mode imputation or an explicit 'unknown' category depending on business meaning.</w:t>
      </w:r>
    </w:p>
    <w:p>
      <w:pPr>
        <w:pStyle w:val="Heading2"/>
        <w:spacing w:after="160" w:before="240"/>
      </w:pPr>
      <w:r>
        <w:rPr>
          <w:rFonts w:ascii="Calibri" w:cs="Calibri" w:eastAsia="Calibri" w:hAnsi="Calibri"/>
          <w:b/>
          <w:bCs/>
          <w:color w:val="1A2B3C"/>
          <w:sz w:val="26"/>
          <w:szCs w:val="26"/>
        </w:rPr>
        <w:t xml:space="preserve">3.6 Feature Engineering</w:t>
      </w:r>
    </w:p>
    <w:p>
      <w:pPr>
        <w:spacing w:after="160" w:before="0"/>
        <w:jc w:val="both"/>
      </w:pPr>
      <w:r>
        <w:rPr>
          <w:rFonts w:ascii="Calibri" w:cs="Calibri" w:eastAsia="Calibri" w:hAnsi="Calibri"/>
          <w:b w:val="false"/>
          <w:bCs w:val="false"/>
          <w:color w:val="2C2C2C"/>
          <w:sz w:val="22"/>
          <w:szCs w:val="22"/>
        </w:rPr>
        <w:t xml:space="preserve">Feature engineering created interpretation-ready variables without introducing leakage into the supervised learning design. The most important engineered variables were academic risk category, subject average, study-attendance index, and score variability. These variables support both dashboard explanation and model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Engineered Feature</w:t>
            </w:r>
          </w:p>
        </w:tc>
        <w:tc>
          <w:tcPr>
            <w:tcW w:type="dxa" w:w="3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Risk Category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 below 50, Monitor from 50 to below 70, On Track at 70 and above.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Converts score into intervention priority.</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Subject Average</w:t>
            </w:r>
          </w:p>
        </w:tc>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Mean of math, science, and English scores.</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Summarizes current academic performance.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Study-Attendance Index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Weighted combination of normalized study hours and attendance.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Represents preparation and regularity.</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Score Variability</w:t>
            </w:r>
          </w:p>
        </w:tc>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Standard deviation across subject scores.</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Flags uneven subject performance.</w:t>
            </w:r>
          </w:p>
        </w:tc>
      </w:tr>
    </w:tbl>
    <w:p>
      <w:pPr>
        <w:spacing w:after="240" w:before="80"/>
        <w:jc w:val="center"/>
      </w:pPr>
      <w:r>
        <w:rPr>
          <w:rFonts w:ascii="Calibri" w:cs="Calibri" w:eastAsia="Calibri" w:hAnsi="Calibri"/>
          <w:color w:val="4A6274"/>
          <w:sz w:val="18"/>
          <w:szCs w:val="18"/>
        </w:rPr>
        <w:t xml:space="preserve">Table 5: Feature engineering design</w:t>
      </w:r>
    </w:p>
    <w:p>
      <w:pPr>
        <w:pStyle w:val="Heading2"/>
        <w:spacing w:after="160" w:before="240"/>
      </w:pPr>
      <w:r>
        <w:rPr>
          <w:rFonts w:ascii="Calibri" w:cs="Calibri" w:eastAsia="Calibri" w:hAnsi="Calibri"/>
          <w:b/>
          <w:bCs/>
          <w:color w:val="1A2B3C"/>
          <w:sz w:val="26"/>
          <w:szCs w:val="26"/>
        </w:rPr>
        <w:t xml:space="preserve">3.7 Target Design</w:t>
      </w:r>
    </w:p>
    <w:p>
      <w:pPr>
        <w:spacing w:after="160" w:before="0"/>
        <w:jc w:val="both"/>
      </w:pPr>
      <w:r>
        <w:rPr>
          <w:rFonts w:ascii="Calibri" w:cs="Calibri" w:eastAsia="Calibri" w:hAnsi="Calibri"/>
          <w:b w:val="false"/>
          <w:bCs w:val="false"/>
          <w:color w:val="2C2C2C"/>
          <w:sz w:val="22"/>
          <w:szCs w:val="22"/>
        </w:rPr>
        <w:t xml:space="preserve">The regression target is overall_score, a continuous score that represents general academic performance. The classification target is risk_category, derived from overall_score using academically interpretable thresholds. The report treats risk categories as support bands rather than labels of student ability.</w:t>
      </w:r>
    </w:p>
    <w:p>
      <w:pPr>
        <w:pStyle w:val="Heading2"/>
        <w:spacing w:after="160" w:before="240"/>
      </w:pPr>
      <w:r>
        <w:rPr>
          <w:rFonts w:ascii="Calibri" w:cs="Calibri" w:eastAsia="Calibri" w:hAnsi="Calibri"/>
          <w:b/>
          <w:bCs/>
          <w:color w:val="1A2B3C"/>
          <w:sz w:val="26"/>
          <w:szCs w:val="26"/>
        </w:rPr>
        <w:t xml:space="preserve">3.8 Risk Category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880"/>
        <w:gridCol w:w="3240"/>
      </w:tblGrid>
      <w:tr>
        <w:trPr>
          <w:tblHeader/>
        </w:trPr>
        <w:tc>
          <w:tcPr>
            <w:tcW w:type="dxa" w:w="1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Risk Category</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 Range</w:t>
            </w:r>
          </w:p>
        </w:tc>
        <w:tc>
          <w:tcPr>
            <w:tcW w:type="dxa" w:w="28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Academic Meaning</w:t>
            </w:r>
          </w:p>
        </w:tc>
        <w:tc>
          <w:tcPr>
            <w:tcW w:type="dxa" w:w="32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Recommended Faculty Response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Below 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 may need urgent academic support.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Review attendance, study plan, subject gaps, and mentoring priority.</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50 to below 70</w:t>
            </w:r>
          </w:p>
        </w:tc>
        <w:tc>
          <w:tcPr>
            <w:tcW w:type="dxa" w:w="28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Student is passing or near average but may be unstable.</w:t>
            </w:r>
          </w:p>
        </w:tc>
        <w:tc>
          <w:tcPr>
            <w:tcW w:type="dxa" w:w="32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Track improvement, provide targeted practice, and encourage regular study.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70 and above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 demonstrates stronger academic performance.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Maintain progress and offer enrichment or peer-learning opportunities.</w:t>
            </w:r>
          </w:p>
        </w:tc>
      </w:tr>
    </w:tbl>
    <w:p>
      <w:pPr>
        <w:spacing w:after="240" w:before="80"/>
        <w:jc w:val="center"/>
      </w:pPr>
      <w:r>
        <w:rPr>
          <w:rFonts w:ascii="Calibri" w:cs="Calibri" w:eastAsia="Calibri" w:hAnsi="Calibri"/>
          <w:color w:val="4A6274"/>
          <w:sz w:val="18"/>
          <w:szCs w:val="18"/>
        </w:rPr>
        <w:t xml:space="preserve">Table 6: Academic risk category definitions</w:t>
      </w:r>
    </w:p>
    <w:p>
      <w:pPr>
        <w:pStyle w:val="Heading2"/>
        <w:spacing w:after="160" w:before="240"/>
      </w:pPr>
      <w:r>
        <w:rPr>
          <w:rFonts w:ascii="Calibri" w:cs="Calibri" w:eastAsia="Calibri" w:hAnsi="Calibri"/>
          <w:b/>
          <w:bCs/>
          <w:color w:val="1A2B3C"/>
          <w:sz w:val="26"/>
          <w:szCs w:val="26"/>
        </w:rPr>
        <w:t xml:space="preserve">3.9 System Architecture</w:t>
      </w:r>
    </w:p>
    <w:p>
      <w:pPr>
        <w:spacing w:after="160" w:before="0"/>
        <w:jc w:val="both"/>
      </w:pPr>
      <w:r>
        <w:rPr>
          <w:rFonts w:ascii="Calibri" w:cs="Calibri" w:eastAsia="Calibri" w:hAnsi="Calibri"/>
          <w:b w:val="false"/>
          <w:bCs w:val="false"/>
          <w:color w:val="2C2C2C"/>
          <w:sz w:val="22"/>
          <w:szCs w:val="22"/>
        </w:rPr>
        <w:t xml:space="preserve">EduInsight follows a six-layer architecture. The Data Source layer holds the raw public student performance CSV. The Preprocessing layer handles quality audit, duplicate removal, missing value check, and categorical encoding. The EDA Layer examines patterns, correlations, and risk profiles. The ML Engine performs regression and classification experiments. The Insight Layer extracts feature importance and error analysis. The Power BI layer translates all outputs into faculty-friendly dashboard views.</w:t>
      </w:r>
    </w:p>
    <w:p>
      <w:pPr>
        <w:pStyle w:val="Heading2"/>
        <w:spacing w:after="160" w:before="240"/>
      </w:pPr>
      <w:r>
        <w:rPr>
          <w:rFonts w:ascii="Calibri" w:cs="Calibri" w:eastAsia="Calibri" w:hAnsi="Calibri"/>
          <w:b/>
          <w:bCs/>
          <w:color w:val="1A2B3C"/>
          <w:sz w:val="26"/>
          <w:szCs w:val="26"/>
        </w:rPr>
        <w:t xml:space="preserve">3.10 Workflow Explanation</w:t>
      </w:r>
    </w:p>
    <w:p>
      <w:pPr>
        <w:spacing w:after="160" w:before="0"/>
        <w:jc w:val="both"/>
      </w:pPr>
      <w:r>
        <w:rPr>
          <w:rFonts w:ascii="Calibri" w:cs="Calibri" w:eastAsia="Calibri" w:hAnsi="Calibri"/>
          <w:b w:val="false"/>
          <w:bCs w:val="false"/>
          <w:color w:val="2C2C2C"/>
          <w:sz w:val="22"/>
          <w:szCs w:val="22"/>
        </w:rPr>
        <w:t xml:space="preserve">The workflow begins with importing the raw CSV and performing a quality audit. After cleaning, the dataset is explored through statistical and visual analysis. Features and targets are prepared, models are trained on the training split, and performance is evaluated on the unseen test split. The final outputs are then organized into dashboard-ready tables and academic report sections. The six steps are: Collect → Clean → Explore → Engineer → Train →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Activity</w:t>
            </w:r>
          </w:p>
        </w:tc>
        <w:tc>
          <w:tcPr>
            <w:tcW w:type="dxa" w:w="45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01 Collect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Import raw CSV and document metadata.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25,000-record raw dataset profile.</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02 Clean</w:t>
            </w:r>
          </w:p>
        </w:tc>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Remove duplicates and standardize values.</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15,000-record clean analytical dataset.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03 Explore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 distributions, correlations, segments.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EDA charts and statistical summaries.</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04 Engineer</w:t>
            </w:r>
          </w:p>
        </w:tc>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Create risk bands and model-ready features.</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Risk category, subject average, study-attendance index.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05 Train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Compare baseline and predictive models.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Ridge regression and score-to-risk classifier.</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06 Deliver</w:t>
            </w:r>
          </w:p>
        </w:tc>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Export results to Power BI and final report.</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Dashboard-ready tables and academic documentation.</w:t>
            </w:r>
          </w:p>
        </w:tc>
      </w:tr>
    </w:tbl>
    <w:p>
      <w:pPr>
        <w:spacing w:after="240" w:before="80"/>
        <w:jc w:val="center"/>
      </w:pPr>
      <w:r>
        <w:rPr>
          <w:rFonts w:ascii="Calibri" w:cs="Calibri" w:eastAsia="Calibri" w:hAnsi="Calibri"/>
          <w:color w:val="4A6274"/>
          <w:sz w:val="18"/>
          <w:szCs w:val="18"/>
        </w:rPr>
        <w:t xml:space="preserve">Figure 3: End-to-end EduInsight workflow</w:t>
      </w:r>
    </w:p>
    <w:p>
      <w:r>
        <w:br w:type="page"/>
      </w:r>
    </w:p>
    <w:p>
      <w:pPr>
        <w:pStyle w:val="Heading1"/>
        <w:spacing w:after="160" w:before="400"/>
      </w:pPr>
      <w:r>
        <w:rPr>
          <w:rFonts w:ascii="Calibri" w:cs="Calibri" w:eastAsia="Calibri" w:hAnsi="Calibri"/>
          <w:b/>
          <w:bCs/>
          <w:color w:val="1A7A9A"/>
          <w:sz w:val="32"/>
          <w:szCs w:val="32"/>
        </w:rPr>
        <w:t xml:space="preserve">Chapter 4 – Exploratory Data Analysis</w:t>
      </w:r>
    </w:p>
    <w:p>
      <w:pPr>
        <w:pStyle w:val="Heading2"/>
        <w:spacing w:after="160" w:before="240"/>
      </w:pPr>
      <w:r>
        <w:rPr>
          <w:rFonts w:ascii="Calibri" w:cs="Calibri" w:eastAsia="Calibri" w:hAnsi="Calibri"/>
          <w:b/>
          <w:bCs/>
          <w:color w:val="1A2B3C"/>
          <w:sz w:val="26"/>
          <w:szCs w:val="26"/>
        </w:rPr>
        <w:t xml:space="preserve">4.1 Dataset Overview</w:t>
      </w:r>
    </w:p>
    <w:p>
      <w:pPr>
        <w:spacing w:after="160" w:before="0"/>
        <w:jc w:val="both"/>
      </w:pPr>
      <w:r>
        <w:rPr>
          <w:rFonts w:ascii="Calibri" w:cs="Calibri" w:eastAsia="Calibri" w:hAnsi="Calibri"/>
          <w:b w:val="false"/>
          <w:bCs w:val="false"/>
          <w:color w:val="2C2C2C"/>
          <w:sz w:val="22"/>
          <w:szCs w:val="22"/>
        </w:rPr>
        <w:t xml:space="preserve">Exploratory Data Analysis was performed after duplicate removal so that statistical summaries were not distorted by repeated rows. The clean dataset contains 15,000 records across 16 columns: demographic fields (age, gender, school type, parent education), study behavior fields (study hours, attendance, study method, extra activities), access-related fields (internet access, travel time), subject scores (math, science, English), overall score, final grade, and engineered risk category.</w:t>
      </w:r>
    </w:p>
    <w:p>
      <w:pPr>
        <w:pStyle w:val="Heading2"/>
        <w:spacing w:after="160" w:before="240"/>
      </w:pPr>
      <w:r>
        <w:rPr>
          <w:rFonts w:ascii="Calibri" w:cs="Calibri" w:eastAsia="Calibri" w:hAnsi="Calibri"/>
          <w:b/>
          <w:bCs/>
          <w:color w:val="1A2B3C"/>
          <w:sz w:val="26"/>
          <w:szCs w:val="26"/>
        </w:rPr>
        <w:t xml:space="preserve">4.2 Column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EDA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Identifier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Used only for reference; excluded from modeling.</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age</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Numerical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Student age from 14 to 19 years. Mean: 16.48, Std: 1.70.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Other: 5,042 | Male: 4,979 | Female: 4,979 (balanced).</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school_type</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Private: 7,587 | Public: 7,413 (near equal split).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parent_education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Six levels from No Formal to PhD; broadly distributed.</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study_hours</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Numerical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Range 0.5–8.0, Mean 4.26, Std 2.17.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attendance_percentage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Numerical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Range 50–100, Mean 74.99, Std 14.40.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internet_access</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Yes: 12,754 | No: 2,246 (85% have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travel_time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Four bands; broadly distributed across 15-min intervals.</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extra_activities</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Yes: 7,494 | No: 7,506 (near equal split).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study_method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Six methods: mixed, textbook, notes, online, group, coaching.</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math_score / science_score / english_score</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Numerical</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Mean ~63.7, Std ~20.9 each. Strong correlation with overall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overall_score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Target (Regression)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Mean 64.02, Std 18.98, Range 14.5–100.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final_grade</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Target (Classification)</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 3,770 | C: 3,697 | E: 3,378 | F: 1,796 | B: 1,638 | A: 721.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risk_category (engineered)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Target (Risk)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 6,073 | Monitor: 4,957 | High Risk: 3,970.</w:t>
            </w:r>
          </w:p>
        </w:tc>
      </w:tr>
    </w:tbl>
    <w:p>
      <w:pPr>
        <w:spacing w:after="240" w:before="80"/>
        <w:jc w:val="center"/>
      </w:pPr>
      <w:r>
        <w:rPr>
          <w:rFonts w:ascii="Calibri" w:cs="Calibri" w:eastAsia="Calibri" w:hAnsi="Calibri"/>
          <w:color w:val="4A6274"/>
          <w:sz w:val="18"/>
          <w:szCs w:val="18"/>
        </w:rPr>
        <w:t xml:space="preserve">Table 7: Column-level EDA interpretation</w:t>
      </w:r>
    </w:p>
    <w:p>
      <w:pPr>
        <w:pStyle w:val="Heading2"/>
        <w:spacing w:after="160" w:before="240"/>
      </w:pPr>
      <w:r>
        <w:rPr>
          <w:rFonts w:ascii="Calibri" w:cs="Calibri" w:eastAsia="Calibri" w:hAnsi="Calibri"/>
          <w:b/>
          <w:bCs/>
          <w:color w:val="1A2B3C"/>
          <w:sz w:val="26"/>
          <w:szCs w:val="26"/>
        </w:rPr>
        <w:t xml:space="preserve">4.3 Statistical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000"/>
        <w:gridCol w:w="1200"/>
        <w:gridCol w:w="1000"/>
      </w:tblGrid>
      <w:tr>
        <w:trPr>
          <w:tblHeader/>
        </w:trPr>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Std</w:t>
            </w:r>
          </w:p>
        </w:tc>
        <w:tc>
          <w:tcPr>
            <w:tcW w:type="dxa" w:w="1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Min</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Median</w:t>
            </w:r>
          </w:p>
        </w:tc>
        <w:tc>
          <w:tcPr>
            <w:tcW w:type="dxa" w:w="1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16.48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1.70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14.00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16.00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19.00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Study Hours</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4.26</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2.17</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0.50</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4.30</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8.00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 Percentage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74.99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14.40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Math Score</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63.77</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20.92</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0.00</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64.10</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Science 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63.75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21.03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64.00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 Score</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63.71</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20.86</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0.00</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64.20</w:t>
            </w:r>
          </w:p>
        </w:tc>
        <w:tc>
          <w:tcPr>
            <w:tcW w:type="dxa" w:w="1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Overall 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64.02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18.98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14.50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64.30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100.00</w:t>
            </w:r>
          </w:p>
        </w:tc>
      </w:tr>
    </w:tbl>
    <w:p>
      <w:pPr>
        <w:spacing w:after="240" w:before="80"/>
        <w:jc w:val="center"/>
      </w:pPr>
      <w:r>
        <w:rPr>
          <w:rFonts w:ascii="Calibri" w:cs="Calibri" w:eastAsia="Calibri" w:hAnsi="Calibri"/>
          <w:color w:val="4A6274"/>
          <w:sz w:val="18"/>
          <w:szCs w:val="18"/>
        </w:rPr>
        <w:t xml:space="preserve">Table 8: Numerical statistical summary after duplicate removal</w:t>
      </w:r>
    </w:p>
    <w:p>
      <w:pPr>
        <w:pStyle w:val="Heading2"/>
        <w:spacing w:after="160" w:before="240"/>
      </w:pPr>
      <w:r>
        <w:rPr>
          <w:rFonts w:ascii="Calibri" w:cs="Calibri" w:eastAsia="Calibri" w:hAnsi="Calibri"/>
          <w:b/>
          <w:bCs/>
          <w:color w:val="1A2B3C"/>
          <w:sz w:val="26"/>
          <w:szCs w:val="26"/>
        </w:rPr>
        <w:t xml:space="preserve">4.4 Correlation Analysis</w:t>
      </w:r>
    </w:p>
    <w:p>
      <w:pPr>
        <w:spacing w:after="160" w:before="0"/>
        <w:jc w:val="both"/>
      </w:pPr>
      <w:r>
        <w:rPr>
          <w:rFonts w:ascii="Calibri" w:cs="Calibri" w:eastAsia="Calibri" w:hAnsi="Calibri"/>
          <w:b w:val="false"/>
          <w:bCs w:val="false"/>
          <w:color w:val="2C2C2C"/>
          <w:sz w:val="22"/>
          <w:szCs w:val="22"/>
        </w:rPr>
        <w:t xml:space="preserve">Correlation analysis reveals the strength of linear relationships between input variables and overall score. The study-attendance index, constructed from study hours and attendance, shows the strongest composite correlation. Subject scores each correlate highly with overall score because they directly contribute to the final outcome. Age and score variability show very weak or near-zero correlation with overall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Correlation with Overall Score</w:t>
            </w:r>
          </w:p>
        </w:tc>
        <w:tc>
          <w:tcPr>
            <w:tcW w:type="dxa" w:w="49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Subject Average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0.956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Very strong — subject scores directly influence overall.</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Study-Attendance Index</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0.939</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Very strong — combined preparation and regularity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0.906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Strong — preparation time is a key performance driver.</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Math Score</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0.885</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Strong — mathematics score is a reliable predictor.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Science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0.886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Strong — science score contributes almost equally.</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 Score</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0.885</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Strong — English score is consistent with other subjects.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 Percentage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0.288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Moderate — attendance has a meaningful but secondary role.</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Score Variability</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-0.114</w:t>
            </w:r>
          </w:p>
        </w:tc>
        <w:tc>
          <w:tcPr>
            <w:tcW w:type="dxa" w:w="49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Weak negative — uneven subject performance mildly reduces overall.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0.005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Negligible — age alone does not predict performance.</w:t>
            </w:r>
          </w:p>
        </w:tc>
      </w:tr>
    </w:tbl>
    <w:p>
      <w:pPr>
        <w:spacing w:after="240" w:before="80"/>
        <w:jc w:val="center"/>
      </w:pPr>
      <w:r>
        <w:rPr>
          <w:rFonts w:ascii="Calibri" w:cs="Calibri" w:eastAsia="Calibri" w:hAnsi="Calibri"/>
          <w:color w:val="4A6274"/>
          <w:sz w:val="18"/>
          <w:szCs w:val="18"/>
        </w:rPr>
        <w:t xml:space="preserve">Figure 4: Correlation overview for numerical variables</w:t>
      </w:r>
    </w:p>
    <w:p>
      <w:pPr>
        <w:pStyle w:val="Heading2"/>
        <w:spacing w:after="160" w:before="240"/>
      </w:pPr>
      <w:r>
        <w:rPr>
          <w:rFonts w:ascii="Calibri" w:cs="Calibri" w:eastAsia="Calibri" w:hAnsi="Calibri"/>
          <w:b/>
          <w:bCs/>
          <w:color w:val="1A2B3C"/>
          <w:sz w:val="26"/>
          <w:szCs w:val="26"/>
        </w:rPr>
        <w:t xml:space="preserve">4.5 Distribution Analysis</w:t>
      </w:r>
    </w:p>
    <w:p>
      <w:pPr>
        <w:spacing w:after="160" w:before="0"/>
        <w:jc w:val="both"/>
      </w:pPr>
      <w:r>
        <w:rPr>
          <w:rFonts w:ascii="Calibri" w:cs="Calibri" w:eastAsia="Calibri" w:hAnsi="Calibri"/>
          <w:b w:val="false"/>
          <w:bCs w:val="false"/>
          <w:color w:val="2C2C2C"/>
          <w:sz w:val="22"/>
          <w:szCs w:val="22"/>
        </w:rPr>
        <w:t xml:space="preserve">The final grade distribution after cleaning shows that grades D and C are most common, with 3,770 and 3,697 students respectively. Grade A is the rarest with only 721 students. This right-skewed distribution confirms that the dataset is appropriate for regression modeling because the overall score is broadly spread across the 0–100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Final Grade</w:t>
            </w:r>
          </w:p>
        </w:tc>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Count</w:t>
            </w:r>
          </w:p>
        </w:tc>
        <w:tc>
          <w:tcPr>
            <w:tcW w:type="dxa" w:w="41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Percentage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721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4.8%</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B</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1,638</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3,697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24.6%</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3,770</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25.1%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3,378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22.5%</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w:t>
            </w:r>
          </w:p>
        </w:tc>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1,796</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15,000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w:t>
            </w:r>
          </w:p>
        </w:tc>
      </w:tr>
    </w:tbl>
    <w:p>
      <w:pPr>
        <w:spacing w:after="240" w:before="80"/>
        <w:jc w:val="center"/>
      </w:pPr>
      <w:r>
        <w:rPr>
          <w:rFonts w:ascii="Calibri" w:cs="Calibri" w:eastAsia="Calibri" w:hAnsi="Calibri"/>
          <w:color w:val="4A6274"/>
          <w:sz w:val="18"/>
          <w:szCs w:val="18"/>
        </w:rPr>
        <w:t xml:space="preserve">Figure 5: Distribution of final grades in the cleaned dataset</w:t>
      </w:r>
    </w:p>
    <w:p>
      <w:pPr>
        <w:spacing w:after="0" w:before="0"/>
      </w:pPr>
      <w:r>
        <w:t xml:space="preserve"/>
      </w:r>
    </w:p>
    <w:p>
      <w:pPr>
        <w:spacing w:after="160" w:before="0"/>
        <w:jc w:val="both"/>
      </w:pPr>
      <w:r>
        <w:rPr>
          <w:rFonts w:ascii="Calibri" w:cs="Calibri" w:eastAsia="Calibri" w:hAnsi="Calibri"/>
          <w:b w:val="false"/>
          <w:bCs w:val="false"/>
          <w:color w:val="2C2C2C"/>
          <w:sz w:val="22"/>
          <w:szCs w:val="22"/>
        </w:rPr>
        <w:t xml:space="preserve">The academic risk category distribution shows 6,073 On Track students (40.5%), 4,957 Monitor students (33.0%), and 3,970 High Risk students (26.5%). This distribution is well-suited for multi-class classification because all three categories are sufficiently represented for macro-F1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Risk Category</w:t>
            </w:r>
          </w:p>
        </w:tc>
        <w:tc>
          <w:tcPr>
            <w:tcW w:type="dxa" w:w="2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Count</w:t>
            </w:r>
          </w:p>
        </w:tc>
        <w:tc>
          <w:tcPr>
            <w:tcW w:type="dxa" w:w="37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Percentage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 (score &lt;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3,970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26.5%</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 (50 ≤ score &lt; 70)</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4,957</w:t>
            </w:r>
          </w:p>
        </w:tc>
        <w:tc>
          <w:tcPr>
            <w:tcW w:type="dxa" w:w="3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33.0%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 (score ≥ 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6,073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40.5%</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Total</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15,000</w:t>
            </w:r>
          </w:p>
        </w:tc>
        <w:tc>
          <w:tcPr>
            <w:tcW w:type="dxa" w:w="3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100%</w:t>
            </w:r>
          </w:p>
        </w:tc>
      </w:tr>
    </w:tbl>
    <w:p>
      <w:pPr>
        <w:spacing w:after="240" w:before="80"/>
        <w:jc w:val="center"/>
      </w:pPr>
      <w:r>
        <w:rPr>
          <w:rFonts w:ascii="Calibri" w:cs="Calibri" w:eastAsia="Calibri" w:hAnsi="Calibri"/>
          <w:color w:val="4A6274"/>
          <w:sz w:val="18"/>
          <w:szCs w:val="18"/>
        </w:rPr>
        <w:t xml:space="preserve">Figure 6: Distribution of academic risk categories in the cleaned dataset</w:t>
      </w:r>
    </w:p>
    <w:p>
      <w:pPr>
        <w:pStyle w:val="Heading2"/>
        <w:spacing w:after="160" w:before="240"/>
      </w:pPr>
      <w:r>
        <w:rPr>
          <w:rFonts w:ascii="Calibri" w:cs="Calibri" w:eastAsia="Calibri" w:hAnsi="Calibri"/>
          <w:b/>
          <w:bCs/>
          <w:color w:val="1A2B3C"/>
          <w:sz w:val="26"/>
          <w:szCs w:val="26"/>
        </w:rPr>
        <w:t xml:space="preserve">4.6 Key EDA Findings</w:t>
      </w:r>
    </w:p>
    <w:p>
      <w:pPr>
        <w:spacing w:after="160" w:before="0"/>
        <w:jc w:val="both"/>
      </w:pPr>
      <w:r>
        <w:rPr>
          <w:rFonts w:ascii="Calibri" w:cs="Calibri" w:eastAsia="Calibri" w:hAnsi="Calibri"/>
          <w:b w:val="false"/>
          <w:bCs w:val="false"/>
          <w:color w:val="2C2C2C"/>
          <w:sz w:val="22"/>
          <w:szCs w:val="22"/>
        </w:rPr>
        <w:t xml:space="preserve">The dataset is complete with no missing values, but duplicate removal is essential before analysis. Overall score is broadly distributed, making regression meaningful. Risk categories are sufficiently represented for classification evaluation with macro-F1. Study hours, attendance, and subject scores are the most important performance-related signals. Categorical context variables are useful for dashboard segmentation, even when their predictive contribution is smaller. Internet access is available for 85% of students, making it a useful context filter rather than a strong predictor.</w:t>
      </w:r>
    </w:p>
    <w:p>
      <w:r>
        <w:br w:type="page"/>
      </w:r>
    </w:p>
    <w:p>
      <w:pPr>
        <w:pStyle w:val="Heading1"/>
        <w:spacing w:after="160" w:before="400"/>
      </w:pPr>
      <w:r>
        <w:rPr>
          <w:rFonts w:ascii="Calibri" w:cs="Calibri" w:eastAsia="Calibri" w:hAnsi="Calibri"/>
          <w:b/>
          <w:bCs/>
          <w:color w:val="1A7A9A"/>
          <w:sz w:val="32"/>
          <w:szCs w:val="32"/>
        </w:rPr>
        <w:t xml:space="preserve">Chapter 5 – Model Development</w:t>
      </w:r>
    </w:p>
    <w:p>
      <w:pPr>
        <w:pStyle w:val="Heading2"/>
        <w:spacing w:after="160" w:before="240"/>
      </w:pPr>
      <w:r>
        <w:rPr>
          <w:rFonts w:ascii="Calibri" w:cs="Calibri" w:eastAsia="Calibri" w:hAnsi="Calibri"/>
          <w:b/>
          <w:bCs/>
          <w:color w:val="1A2B3C"/>
          <w:sz w:val="26"/>
          <w:szCs w:val="26"/>
        </w:rPr>
        <w:t xml:space="preserve">5.1 Regression Task</w:t>
      </w:r>
    </w:p>
    <w:p>
      <w:pPr>
        <w:spacing w:after="160" w:before="0"/>
        <w:jc w:val="both"/>
      </w:pPr>
      <w:r>
        <w:rPr>
          <w:rFonts w:ascii="Calibri" w:cs="Calibri" w:eastAsia="Calibri" w:hAnsi="Calibri"/>
          <w:b w:val="false"/>
          <w:bCs w:val="false"/>
          <w:color w:val="2C2C2C"/>
          <w:sz w:val="22"/>
          <w:szCs w:val="22"/>
        </w:rPr>
        <w:t xml:space="preserve">The regression task predicts overall_score as a numerical value. Regression is appropriate because the target is continuous and the institution may want to understand how close a student is to a performance boundary. The experiment included a mean baseline, linear regression, ridge regression, and a context-only ridge model.</w:t>
      </w:r>
    </w:p>
    <w:p>
      <w:pPr>
        <w:spacing w:after="160" w:before="0"/>
        <w:jc w:val="both"/>
      </w:pPr>
      <w:r>
        <w:rPr>
          <w:rFonts w:ascii="Calibri" w:cs="Calibri" w:eastAsia="Calibri" w:hAnsi="Calibri"/>
          <w:b w:val="false"/>
          <w:bCs w:val="false"/>
          <w:color w:val="2C2C2C"/>
          <w:sz w:val="22"/>
          <w:szCs w:val="22"/>
        </w:rPr>
        <w:t xml:space="preserve">The mean baseline predicts the training-set average score for every test record and provides a minimum benchmark. Linear regression estimates a weighted relationship between encoded input features and overall score. Ridge regression adds regularization, which reduces coefficient instability when features are correlated. The context-only ridge model excludes subject scores to test how much demographic, attendance, and study behavior variables explain performance.</w:t>
      </w:r>
    </w:p>
    <w:p>
      <w:pPr>
        <w:pStyle w:val="Heading2"/>
        <w:spacing w:after="160" w:before="240"/>
      </w:pPr>
      <w:r>
        <w:rPr>
          <w:rFonts w:ascii="Calibri" w:cs="Calibri" w:eastAsia="Calibri" w:hAnsi="Calibri"/>
          <w:b/>
          <w:bCs/>
          <w:color w:val="1A2B3C"/>
          <w:sz w:val="26"/>
          <w:szCs w:val="26"/>
        </w:rPr>
        <w:t xml:space="preserve">5.2 Classification Task</w:t>
      </w:r>
    </w:p>
    <w:p>
      <w:pPr>
        <w:spacing w:after="160" w:before="0"/>
        <w:jc w:val="both"/>
      </w:pPr>
      <w:r>
        <w:rPr>
          <w:rFonts w:ascii="Calibri" w:cs="Calibri" w:eastAsia="Calibri" w:hAnsi="Calibri"/>
          <w:b w:val="false"/>
          <w:bCs w:val="false"/>
          <w:color w:val="2C2C2C"/>
          <w:sz w:val="22"/>
          <w:szCs w:val="22"/>
        </w:rPr>
        <w:t xml:space="preserve">The classification task predicts academic risk category. Risk classification is produced by converting the selected regression score output into High Risk, Monitor, and On Track bands. This approach keeps the risk label consistent with the score forecast and makes the result easier for faculty to understand. For the final report evaluation, the selected score-to-risk classifier is measured with accuracy, precision, recall, macro-F1, and confusion matrix analysis.</w:t>
      </w:r>
    </w:p>
    <w:p>
      <w:pPr>
        <w:pStyle w:val="Heading2"/>
        <w:spacing w:after="160" w:before="240"/>
      </w:pPr>
      <w:r>
        <w:rPr>
          <w:rFonts w:ascii="Calibri" w:cs="Calibri" w:eastAsia="Calibri" w:hAnsi="Calibri"/>
          <w:b/>
          <w:bCs/>
          <w:color w:val="1A2B3C"/>
          <w:sz w:val="26"/>
          <w:szCs w:val="26"/>
        </w:rPr>
        <w:t xml:space="preserve">5.3 Model Training</w:t>
      </w:r>
    </w:p>
    <w:p>
      <w:pPr>
        <w:spacing w:after="160" w:before="0"/>
        <w:jc w:val="both"/>
      </w:pPr>
      <w:r>
        <w:rPr>
          <w:rFonts w:ascii="Calibri" w:cs="Calibri" w:eastAsia="Calibri" w:hAnsi="Calibri"/>
          <w:b w:val="false"/>
          <w:bCs w:val="false"/>
          <w:color w:val="2C2C2C"/>
          <w:sz w:val="22"/>
          <w:szCs w:val="22"/>
        </w:rPr>
        <w:t xml:space="preserve">The clean dataset was split into 12,000 training records and 3,000 testing records using an 80:20 split. The training set was used to fit model parameters, while the test set was reserved for final evaluation. Categorical fields were one-hot encoded using categories observed in the training data. Numerical fields were standardized for stable coefficient estimation.</w:t>
      </w:r>
    </w:p>
    <w:p>
      <w:pPr>
        <w:pStyle w:val="Heading2"/>
        <w:spacing w:after="160" w:before="240"/>
      </w:pPr>
      <w:r>
        <w:rPr>
          <w:rFonts w:ascii="Calibri" w:cs="Calibri" w:eastAsia="Calibri" w:hAnsi="Calibri"/>
          <w:b/>
          <w:bCs/>
          <w:color w:val="1A2B3C"/>
          <w:sz w:val="26"/>
          <w:szCs w:val="26"/>
        </w:rPr>
        <w:t xml:space="preserve">5.4 Feature Selection</w:t>
      </w:r>
    </w:p>
    <w:p>
      <w:pPr>
        <w:spacing w:after="160" w:before="0"/>
        <w:jc w:val="both"/>
      </w:pPr>
      <w:r>
        <w:rPr>
          <w:rFonts w:ascii="Calibri" w:cs="Calibri" w:eastAsia="Calibri" w:hAnsi="Calibri"/>
          <w:b w:val="false"/>
          <w:bCs w:val="false"/>
          <w:color w:val="2C2C2C"/>
          <w:sz w:val="22"/>
          <w:szCs w:val="22"/>
        </w:rPr>
        <w:t xml:space="preserve">The selected feature set includes age, gender, school type, parent education, study hours, attendance percentage, internet access, travel time, extra activities, study method, and subject scores. student_id was excluded because it is an identifier and does not carry meaningful predictive information. overall_score and final_grade were excluded from input features to avoid target leakage.</w:t>
      </w:r>
    </w:p>
    <w:p>
      <w:pPr>
        <w:pStyle w:val="Heading2"/>
        <w:spacing w:after="160" w:before="240"/>
      </w:pPr>
      <w:r>
        <w:rPr>
          <w:rFonts w:ascii="Calibri" w:cs="Calibri" w:eastAsia="Calibri" w:hAnsi="Calibri"/>
          <w:b/>
          <w:bCs/>
          <w:color w:val="1A2B3C"/>
          <w:sz w:val="26"/>
          <w:szCs w:val="26"/>
        </w:rPr>
        <w:t xml:space="preserve">5.5 Hyperparameter Concepts</w:t>
      </w:r>
    </w:p>
    <w:p>
      <w:pPr>
        <w:spacing w:after="160" w:before="0"/>
        <w:jc w:val="both"/>
      </w:pPr>
      <w:r>
        <w:rPr>
          <w:rFonts w:ascii="Calibri" w:cs="Calibri" w:eastAsia="Calibri" w:hAnsi="Calibri"/>
          <w:b w:val="false"/>
          <w:bCs w:val="false"/>
          <w:color w:val="2C2C2C"/>
          <w:sz w:val="22"/>
          <w:szCs w:val="22"/>
        </w:rPr>
        <w:t xml:space="preserve">Hyperparameters are settings chosen before model training. In ridge regression, the alpha value controls the strength of regularization. A higher alpha reduces coefficient magnitude and can improve stability, while a very high alpha may underfit. For this academic implementation, ridge regression used regularization to balance performance and interpretability. In a full production workflow, hyperparameter tuning would be performed through validation or cross-validation.</w:t>
      </w:r>
    </w:p>
    <w:p>
      <w:pPr>
        <w:pStyle w:val="Heading2"/>
        <w:spacing w:after="160" w:before="240"/>
      </w:pPr>
      <w:r>
        <w:rPr>
          <w:rFonts w:ascii="Calibri" w:cs="Calibri" w:eastAsia="Calibri" w:hAnsi="Calibri"/>
          <w:b/>
          <w:bCs/>
          <w:color w:val="1A2B3C"/>
          <w:sz w:val="26"/>
          <w:szCs w:val="26"/>
        </w:rPr>
        <w:t xml:space="preserve">5.6 Model Comparison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080"/>
      </w:tblGrid>
      <w:tr>
        <w:trPr>
          <w:tblHeader/>
        </w:trPr>
        <w:tc>
          <w:tcPr>
            <w:tcW w:type="dxa" w:w="3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Regression Model</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MAE</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RMSE</w:t>
            </w:r>
          </w:p>
        </w:tc>
        <w:tc>
          <w:tcPr>
            <w:tcW w:type="dxa" w:w="10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R²</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Mean Baseline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15.91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18.91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-0.000</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Linear Regression</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3.32</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4.10</w:t>
            </w:r>
          </w:p>
        </w:tc>
        <w:tc>
          <w:tcPr>
            <w:tcW w:type="dxa" w:w="10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0.953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Ridge Regression (Selected)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3.32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4.10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0.953</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Context-Only Ridge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4.99</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5.77</w:t>
            </w:r>
          </w:p>
        </w:tc>
        <w:tc>
          <w:tcPr>
            <w:tcW w:type="dxa" w:w="10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0.907</w:t>
            </w:r>
          </w:p>
        </w:tc>
      </w:tr>
    </w:tbl>
    <w:p>
      <w:pPr>
        <w:spacing w:after="240" w:before="80"/>
        <w:jc w:val="center"/>
      </w:pPr>
      <w:r>
        <w:rPr>
          <w:rFonts w:ascii="Calibri" w:cs="Calibri" w:eastAsia="Calibri" w:hAnsi="Calibri"/>
          <w:color w:val="4A6274"/>
          <w:sz w:val="18"/>
          <w:szCs w:val="18"/>
        </w:rPr>
        <w:t xml:space="preserve">Table 9: Regression model comparison on test set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1160"/>
      </w:tblGrid>
      <w:tr>
        <w:trPr>
          <w:tblHeader/>
        </w:trPr>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Classification Model</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Macro Precision</w:t>
            </w:r>
          </w:p>
        </w:tc>
        <w:tc>
          <w:tcPr>
            <w:tcW w:type="dxa" w:w="1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Macro Recall</w:t>
            </w:r>
          </w:p>
        </w:tc>
        <w:tc>
          <w:tcPr>
            <w:tcW w:type="dxa" w:w="11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Macro-F1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Majority 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0.392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0.131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0.333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0.188</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Subject-Average Rule</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0.846</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0.844</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0.844</w:t>
            </w:r>
          </w:p>
        </w:tc>
        <w:tc>
          <w:tcPr>
            <w:tcW w:type="dxa" w:w="1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Ridge Score-to-Risk (Selected)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0.892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0.890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0.891</w:t>
            </w:r>
          </w:p>
        </w:tc>
      </w:tr>
    </w:tbl>
    <w:p>
      <w:pPr>
        <w:spacing w:after="240" w:before="80"/>
        <w:jc w:val="center"/>
      </w:pPr>
      <w:r>
        <w:rPr>
          <w:rFonts w:ascii="Calibri" w:cs="Calibri" w:eastAsia="Calibri" w:hAnsi="Calibri"/>
          <w:color w:val="4A6274"/>
          <w:sz w:val="18"/>
          <w:szCs w:val="18"/>
        </w:rPr>
        <w:t xml:space="preserve">Table 10: Classification model comparison on test set</w:t>
      </w:r>
    </w:p>
    <w:p>
      <w:pPr>
        <w:pStyle w:val="Heading2"/>
        <w:spacing w:after="160" w:before="240"/>
      </w:pPr>
      <w:r>
        <w:rPr>
          <w:rFonts w:ascii="Calibri" w:cs="Calibri" w:eastAsia="Calibri" w:hAnsi="Calibri"/>
          <w:b/>
          <w:bCs/>
          <w:color w:val="1A2B3C"/>
          <w:sz w:val="26"/>
          <w:szCs w:val="26"/>
        </w:rPr>
        <w:t xml:space="preserve">5.7 Explainability</w:t>
      </w:r>
    </w:p>
    <w:p>
      <w:pPr>
        <w:spacing w:after="160" w:before="0"/>
        <w:jc w:val="both"/>
      </w:pPr>
      <w:r>
        <w:rPr>
          <w:rFonts w:ascii="Calibri" w:cs="Calibri" w:eastAsia="Calibri" w:hAnsi="Calibri"/>
          <w:b w:val="false"/>
          <w:bCs w:val="false"/>
          <w:color w:val="2C2C2C"/>
          <w:sz w:val="22"/>
          <w:szCs w:val="22"/>
        </w:rPr>
        <w:t xml:space="preserve">Explainability is essential in student performance prediction because faculty should understand why a model may indicate academic risk. Ridge regression supports coefficient-based interpretation after numerical standardization and categorical encoding. Larger absolute coefficients indicate stronger contribution to the predicted score. The top features by ridge coefficient magnitude are study hours (8.75), science score (3.62), math score (3.52), English score (3.42), and attendance percentage (2.91). Contextual variables such as parent education and study method have smaller but non-zero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Ridge Coefficient</w:t>
            </w:r>
          </w:p>
        </w:tc>
        <w:tc>
          <w:tcPr>
            <w:tcW w:type="dxa" w:w="45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study_hours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8.75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Strongest single predictor — study time drives score significantly.</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science_score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3.62</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Subject performance in science is a direct score signal.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math_score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3.52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Mathematics performance contributes nearly equally to science.</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english_score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3.42</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 score rounds out the subject performance cluster.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attendance_percentage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2.91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Regular attendance supports better academic outcomes.</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parent_education: post graduate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0.23</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Higher parental education correlates with slightly better performance.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study_method: mixed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0.16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Combined study methods show a small positive association.</w:t>
            </w:r>
          </w:p>
        </w:tc>
      </w:tr>
      <w:tr>
        <w:tc>
          <w:tcPr>
            <w:tcW w:type="dxa" w:w="3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gender: male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0.12</w:t>
            </w:r>
          </w:p>
        </w:tc>
        <w:tc>
          <w:tcPr>
            <w:tcW w:type="dxa" w:w="4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Minor contextual coefficient; not treated as causal.</w:t>
            </w:r>
          </w:p>
        </w:tc>
      </w:tr>
    </w:tbl>
    <w:p>
      <w:pPr>
        <w:spacing w:after="240" w:before="80"/>
        <w:jc w:val="center"/>
      </w:pPr>
      <w:r>
        <w:rPr>
          <w:rFonts w:ascii="Calibri" w:cs="Calibri" w:eastAsia="Calibri" w:hAnsi="Calibri"/>
          <w:color w:val="4A6274"/>
          <w:sz w:val="18"/>
          <w:szCs w:val="18"/>
        </w:rPr>
        <w:t xml:space="preserve">Figure 7: Feature importance signals from the selected ridge regression model</w:t>
      </w:r>
    </w:p>
    <w:p>
      <w:r>
        <w:br w:type="page"/>
      </w:r>
    </w:p>
    <w:p>
      <w:pPr>
        <w:pStyle w:val="Heading1"/>
        <w:spacing w:after="160" w:before="400"/>
      </w:pPr>
      <w:r>
        <w:rPr>
          <w:rFonts w:ascii="Calibri" w:cs="Calibri" w:eastAsia="Calibri" w:hAnsi="Calibri"/>
          <w:b/>
          <w:bCs/>
          <w:color w:val="1A7A9A"/>
          <w:sz w:val="32"/>
          <w:szCs w:val="32"/>
        </w:rPr>
        <w:t xml:space="preserve">Chapter 6 – Results and Evaluation</w:t>
      </w:r>
    </w:p>
    <w:p>
      <w:pPr>
        <w:pStyle w:val="Heading2"/>
        <w:spacing w:after="160" w:before="240"/>
      </w:pPr>
      <w:r>
        <w:rPr>
          <w:rFonts w:ascii="Calibri" w:cs="Calibri" w:eastAsia="Calibri" w:hAnsi="Calibri"/>
          <w:b/>
          <w:bCs/>
          <w:color w:val="1A2B3C"/>
          <w:sz w:val="26"/>
          <w:szCs w:val="26"/>
        </w:rPr>
        <w:t xml:space="preserve">6.1 Evaluation Metrics</w:t>
      </w:r>
    </w:p>
    <w:p>
      <w:pPr>
        <w:spacing w:after="160" w:before="0"/>
        <w:jc w:val="both"/>
      </w:pPr>
      <w:r>
        <w:rPr>
          <w:rFonts w:ascii="Calibri" w:cs="Calibri" w:eastAsia="Calibri" w:hAnsi="Calibri"/>
          <w:b w:val="false"/>
          <w:bCs w:val="false"/>
          <w:color w:val="2C2C2C"/>
          <w:sz w:val="22"/>
          <w:szCs w:val="22"/>
        </w:rPr>
        <w:t xml:space="preserve">Evaluation was performed separately for regression and classification because the tasks answer different questions. Regression metrics evaluate closeness of predicted score to actual score. Classification metrics evaluate correctness and balance of risk category prediction.</w:t>
      </w:r>
    </w:p>
    <w:p>
      <w:pPr>
        <w:pStyle w:val="Heading2"/>
        <w:spacing w:after="160" w:before="240"/>
      </w:pPr>
      <w:r>
        <w:rPr>
          <w:rFonts w:ascii="Calibri" w:cs="Calibri" w:eastAsia="Calibri" w:hAnsi="Calibri"/>
          <w:b/>
          <w:bCs/>
          <w:color w:val="1A2B3C"/>
          <w:sz w:val="26"/>
          <w:szCs w:val="26"/>
        </w:rPr>
        <w:t xml:space="preserve">6.2 Regression Results</w:t>
      </w:r>
    </w:p>
    <w:p>
      <w:pPr>
        <w:spacing w:after="160" w:before="0"/>
        <w:jc w:val="both"/>
      </w:pPr>
      <w:r>
        <w:rPr>
          <w:rFonts w:ascii="Calibri" w:cs="Calibri" w:eastAsia="Calibri" w:hAnsi="Calibri"/>
          <w:b w:val="false"/>
          <w:bCs w:val="false"/>
          <w:color w:val="2C2C2C"/>
          <w:sz w:val="22"/>
          <w:szCs w:val="22"/>
        </w:rPr>
        <w:t xml:space="preserve">The selected ridge regression model achieved an MAE of 3.32 score points. This means that on average, the prediction is within about 3.32 marks of the actual overall score on the unseen test set. The RMSE of 4.10 penalizes larger errors more strongly; the gap between MAE and RMSE indicates that most errors are moderate, while some larger errors remain. The R² of 0.953 shows that the model explains over 95% of score variance, indicating strong predictive fit for the supplied dataset.</w:t>
      </w:r>
    </w:p>
    <w:p>
      <w:pPr>
        <w:pStyle w:val="Heading2"/>
        <w:spacing w:after="160" w:before="240"/>
      </w:pPr>
      <w:r>
        <w:rPr>
          <w:rFonts w:ascii="Calibri" w:cs="Calibri" w:eastAsia="Calibri" w:hAnsi="Calibri"/>
          <w:b/>
          <w:bCs/>
          <w:color w:val="1A2B3C"/>
          <w:sz w:val="26"/>
          <w:szCs w:val="26"/>
        </w:rPr>
        <w:t xml:space="preserve">6.3 Classification Results</w:t>
      </w:r>
    </w:p>
    <w:p>
      <w:pPr>
        <w:spacing w:after="160" w:before="0"/>
        <w:jc w:val="both"/>
      </w:pPr>
      <w:r>
        <w:rPr>
          <w:rFonts w:ascii="Calibri" w:cs="Calibri" w:eastAsia="Calibri" w:hAnsi="Calibri"/>
          <w:b w:val="false"/>
          <w:bCs w:val="false"/>
          <w:color w:val="2C2C2C"/>
          <w:sz w:val="22"/>
          <w:szCs w:val="22"/>
        </w:rPr>
        <w:t xml:space="preserve">Classification accuracy measures the share of correctly predicted risk categories. The selected score-to-risk classifier achieved accuracy of 0.894. Macro precision of 0.892 indicates how reliable a predicted category is. Macro recall of 0.890 is especially important for High Risk students because missed high-risk cases can delay academic support. Macro-F1 of 0.891 combines precision and recall, treating each risk category seriously instead of allowing the largest category to dominate.</w:t>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440"/>
        <w:gridCol w:w="120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Risk Category</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Support</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Precision</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F1 Score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806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0.893</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1,017</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0.845</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0.841</w:t>
            </w:r>
          </w:p>
        </w:tc>
        <w:tc>
          <w:tcPr>
            <w:tcW w:type="dxa" w:w="1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0.843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1,177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0.929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0.938</w:t>
            </w:r>
          </w:p>
        </w:tc>
      </w:tr>
    </w:tbl>
    <w:p>
      <w:pPr>
        <w:spacing w:after="240" w:before="80"/>
        <w:jc w:val="center"/>
      </w:pPr>
      <w:r>
        <w:rPr>
          <w:rFonts w:ascii="Calibri" w:cs="Calibri" w:eastAsia="Calibri" w:hAnsi="Calibri"/>
          <w:color w:val="4A6274"/>
          <w:sz w:val="18"/>
          <w:szCs w:val="18"/>
        </w:rPr>
        <w:t xml:space="preserve">Table 11: Per-class classification metric summary</w:t>
      </w:r>
    </w:p>
    <w:p>
      <w:pPr>
        <w:pStyle w:val="Heading2"/>
        <w:spacing w:after="160" w:before="240"/>
      </w:pPr>
      <w:r>
        <w:rPr>
          <w:rFonts w:ascii="Calibri" w:cs="Calibri" w:eastAsia="Calibri" w:hAnsi="Calibri"/>
          <w:b/>
          <w:bCs/>
          <w:color w:val="1A2B3C"/>
          <w:sz w:val="26"/>
          <w:szCs w:val="26"/>
        </w:rPr>
        <w:t xml:space="preserve">6.4 Confusion Matrix</w:t>
      </w:r>
    </w:p>
    <w:p>
      <w:pPr>
        <w:spacing w:after="160" w:before="0"/>
        <w:jc w:val="both"/>
      </w:pPr>
      <w:r>
        <w:rPr>
          <w:rFonts w:ascii="Calibri" w:cs="Calibri" w:eastAsia="Calibri" w:hAnsi="Calibri"/>
          <w:b w:val="false"/>
          <w:bCs w:val="false"/>
          <w:color w:val="2C2C2C"/>
          <w:sz w:val="22"/>
          <w:szCs w:val="22"/>
        </w:rPr>
        <w:t xml:space="preserve">The confusion matrix shows that errors mostly occur between adjacent categories: High Risk versus Monitor, and Monitor versus On Track. This is expected because score thresholds create boundaries where a small prediction error can change the class. The model does not show direct confusion between High Risk and On Track in the test output, which is encouraging from a support-planning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Actual \ Predicted</w:t>
            </w:r>
          </w:p>
        </w:tc>
        <w:tc>
          <w:tcPr>
            <w:tcW w:type="dxa" w:w="2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High Risk</w:t>
            </w:r>
          </w:p>
        </w:tc>
        <w:tc>
          <w:tcPr>
            <w:tcW w:type="dxa" w:w="20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Monitor</w:t>
            </w:r>
          </w:p>
        </w:tc>
        <w:tc>
          <w:tcPr>
            <w:tcW w:type="dxa" w:w="25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On Track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94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w:t>
            </w:r>
          </w:p>
        </w:tc>
      </w:tr>
      <w:tr>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77</w:t>
            </w:r>
          </w:p>
        </w:tc>
        <w:tc>
          <w:tcPr>
            <w:tcW w:type="dxa" w:w="20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855</w:t>
            </w:r>
          </w:p>
        </w:tc>
        <w:tc>
          <w:tcPr>
            <w:tcW w:type="dxa" w:w="25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85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1,114</w:t>
            </w:r>
          </w:p>
        </w:tc>
      </w:tr>
    </w:tbl>
    <w:p>
      <w:pPr>
        <w:spacing w:after="240" w:before="80"/>
        <w:jc w:val="center"/>
      </w:pPr>
      <w:r>
        <w:rPr>
          <w:rFonts w:ascii="Calibri" w:cs="Calibri" w:eastAsia="Calibri" w:hAnsi="Calibri"/>
          <w:color w:val="4A6274"/>
          <w:sz w:val="18"/>
          <w:szCs w:val="18"/>
        </w:rPr>
        <w:t xml:space="preserve">Figure 8: Confusion matrix for selected risk classification model (Accuracy 0.894 | Macro-F1 0.891 | Test records 3,000)</w:t>
      </w:r>
    </w:p>
    <w:p>
      <w:pPr>
        <w:pStyle w:val="Heading2"/>
        <w:spacing w:after="160" w:before="240"/>
      </w:pPr>
      <w:r>
        <w:rPr>
          <w:rFonts w:ascii="Calibri" w:cs="Calibri" w:eastAsia="Calibri" w:hAnsi="Calibri"/>
          <w:b/>
          <w:bCs/>
          <w:color w:val="1A2B3C"/>
          <w:sz w:val="26"/>
          <w:szCs w:val="26"/>
        </w:rPr>
        <w:t xml:space="preserve">6.5 Error Analysis</w:t>
      </w:r>
    </w:p>
    <w:p>
      <w:pPr>
        <w:spacing w:after="160" w:before="0"/>
        <w:jc w:val="both"/>
      </w:pPr>
      <w:r>
        <w:rPr>
          <w:rFonts w:ascii="Calibri" w:cs="Calibri" w:eastAsia="Calibri" w:hAnsi="Calibri"/>
          <w:b w:val="false"/>
          <w:bCs w:val="false"/>
          <w:color w:val="2C2C2C"/>
          <w:sz w:val="22"/>
          <w:szCs w:val="22"/>
        </w:rPr>
        <w:t xml:space="preserve">Error analysis shows that prediction mistakes near risk thresholds are the most important operational concern. A student with an actual score of 69 and predicted score of 71 may move from Monitor to On Track even though the practical academic difference is small. Therefore, the dashboard should show score, risk band, and confidence or margin near threshold rather than relying on the category alone. The 94 High Risk students misclassified as Monitor represent the most operationally significant error group and should be reviewed first in real use.</w:t>
      </w:r>
    </w:p>
    <w:p>
      <w:pPr>
        <w:pStyle w:val="Heading2"/>
        <w:spacing w:after="160" w:before="240"/>
      </w:pPr>
      <w:r>
        <w:rPr>
          <w:rFonts w:ascii="Calibri" w:cs="Calibri" w:eastAsia="Calibri" w:hAnsi="Calibri"/>
          <w:b/>
          <w:bCs/>
          <w:color w:val="1A2B3C"/>
          <w:sz w:val="26"/>
          <w:szCs w:val="26"/>
        </w:rPr>
        <w:t xml:space="preserve">6.6 Sample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1800"/>
        <w:gridCol w:w="3360"/>
      </w:tblGrid>
      <w:tr>
        <w:trPr>
          <w:tblHeader/>
        </w:trPr>
        <w:tc>
          <w:tcPr>
            <w:tcW w:type="dxa" w:w="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w:t>
            </w:r>
          </w:p>
        </w:tc>
        <w:tc>
          <w:tcPr>
            <w:tcW w:type="dxa" w:w="1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Actual Score</w:t>
            </w:r>
          </w:p>
        </w:tc>
        <w:tc>
          <w:tcPr>
            <w:tcW w:type="dxa" w:w="1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Predicted Score</w:t>
            </w:r>
          </w:p>
        </w:tc>
        <w:tc>
          <w:tcPr>
            <w:tcW w:type="dxa" w:w="1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Actual Risk</w:t>
            </w:r>
          </w:p>
        </w:tc>
        <w:tc>
          <w:tcPr>
            <w:tcW w:type="dxa" w:w="33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Predicted Risk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44.3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40.81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 ✓</w:t>
            </w:r>
          </w:p>
        </w:tc>
      </w:tr>
      <w:tr>
        <w:tc>
          <w:tcPr>
            <w:tcW w:type="dxa" w:w="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46.4</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46.94</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High Risk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51.39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Monitor ✓</w:t>
            </w:r>
          </w:p>
        </w:tc>
      </w:tr>
      <w:tr>
        <w:tc>
          <w:tcPr>
            <w:tcW w:type="dxa" w:w="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48.2</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45.68</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High Risk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48.74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 ✓</w:t>
            </w:r>
          </w:p>
        </w:tc>
      </w:tr>
      <w:tr>
        <w:tc>
          <w:tcPr>
            <w:tcW w:type="dxa" w:w="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51.7</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55.67</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67.7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72.44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 ✗ (near boundary)</w:t>
            </w:r>
          </w:p>
        </w:tc>
      </w:tr>
      <w:tr>
        <w:tc>
          <w:tcPr>
            <w:tcW w:type="dxa" w:w="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8</w:t>
            </w:r>
          </w:p>
        </w:tc>
        <w:tc>
          <w:tcPr>
            <w:tcW w:type="dxa" w:w="1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60.4</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60.02</w:t>
            </w:r>
          </w:p>
        </w:tc>
        <w:tc>
          <w:tcPr>
            <w:tcW w:type="dxa" w:w="1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88.3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91.36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 ✓</w:t>
            </w:r>
          </w:p>
        </w:tc>
      </w:tr>
    </w:tbl>
    <w:p>
      <w:pPr>
        <w:spacing w:after="240" w:before="80"/>
        <w:jc w:val="center"/>
      </w:pPr>
      <w:r>
        <w:rPr>
          <w:rFonts w:ascii="Calibri" w:cs="Calibri" w:eastAsia="Calibri" w:hAnsi="Calibri"/>
          <w:color w:val="4A6274"/>
          <w:sz w:val="18"/>
          <w:szCs w:val="18"/>
        </w:rPr>
        <w:t xml:space="preserve">Table 12: Sample prediction output records from test set</w:t>
      </w:r>
    </w:p>
    <w:p>
      <w:r>
        <w:br w:type="page"/>
      </w:r>
    </w:p>
    <w:p>
      <w:pPr>
        <w:pStyle w:val="Heading1"/>
        <w:spacing w:after="160" w:before="400"/>
      </w:pPr>
      <w:r>
        <w:rPr>
          <w:rFonts w:ascii="Calibri" w:cs="Calibri" w:eastAsia="Calibri" w:hAnsi="Calibri"/>
          <w:b/>
          <w:bCs/>
          <w:color w:val="1A7A9A"/>
          <w:sz w:val="32"/>
          <w:szCs w:val="32"/>
        </w:rPr>
        <w:t xml:space="preserve">Chapter 7 – Power BI Dashboard</w:t>
      </w:r>
    </w:p>
    <w:p>
      <w:pPr>
        <w:pStyle w:val="Heading2"/>
        <w:spacing w:after="160" w:before="240"/>
      </w:pPr>
      <w:r>
        <w:rPr>
          <w:rFonts w:ascii="Calibri" w:cs="Calibri" w:eastAsia="Calibri" w:hAnsi="Calibri"/>
          <w:b/>
          <w:bCs/>
          <w:color w:val="1A2B3C"/>
          <w:sz w:val="26"/>
          <w:szCs w:val="26"/>
        </w:rPr>
        <w:t xml:space="preserve">7.1 Dashboard Architecture</w:t>
      </w:r>
    </w:p>
    <w:p>
      <w:pPr>
        <w:spacing w:after="160" w:before="0"/>
        <w:jc w:val="both"/>
      </w:pPr>
      <w:r>
        <w:rPr>
          <w:rFonts w:ascii="Calibri" w:cs="Calibri" w:eastAsia="Calibri" w:hAnsi="Calibri"/>
          <w:b w:val="false"/>
          <w:bCs w:val="false"/>
          <w:color w:val="2C2C2C"/>
          <w:sz w:val="22"/>
          <w:szCs w:val="22"/>
        </w:rPr>
        <w:t xml:space="preserve">The Power BI layer converts cleaned data, predictions, risk categories, and evaluation summaries into a faculty-friendly decision-support experience. The dashboard does not replace the model pipeline; it consumes model-ready outputs and presents them in an organized visual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Dashboard Input</w:t>
            </w:r>
          </w:p>
        </w:tc>
        <w:tc>
          <w:tcPr>
            <w:tcW w:type="dxa" w:w="3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Clean dataset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De-duplicated student records with standardized fields.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Supports overall analysis and filtering.</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Prediction table</w:t>
            </w:r>
          </w:p>
        </w:tc>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Actual score, predicted score, actual risk, predicted risk.</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Powers student explorer and risk views.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Feature importance table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Ranked feature contribution values.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Explains important performance signals.</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Evaluation table</w:t>
            </w:r>
          </w:p>
        </w:tc>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MAE, RMSE, R², accuracy, precision, recall, F1.</w:t>
            </w:r>
          </w:p>
        </w:tc>
        <w:tc>
          <w:tcPr>
            <w:tcW w:type="dxa" w:w="33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Supports model transparency.</w:t>
            </w:r>
          </w:p>
        </w:tc>
      </w:tr>
    </w:tbl>
    <w:p>
      <w:pPr>
        <w:spacing w:after="240" w:before="80"/>
        <w:jc w:val="center"/>
      </w:pPr>
      <w:r>
        <w:rPr>
          <w:rFonts w:ascii="Calibri" w:cs="Calibri" w:eastAsia="Calibri" w:hAnsi="Calibri"/>
          <w:color w:val="4A6274"/>
          <w:sz w:val="18"/>
          <w:szCs w:val="18"/>
        </w:rPr>
        <w:t xml:space="preserve">Table 13: Power BI dashboard data architecture</w:t>
      </w:r>
    </w:p>
    <w:p>
      <w:pPr>
        <w:pStyle w:val="Heading2"/>
        <w:spacing w:after="160" w:before="240"/>
      </w:pPr>
      <w:r>
        <w:rPr>
          <w:rFonts w:ascii="Calibri" w:cs="Calibri" w:eastAsia="Calibri" w:hAnsi="Calibri"/>
          <w:b/>
          <w:bCs/>
          <w:color w:val="1A2B3C"/>
          <w:sz w:val="26"/>
          <w:szCs w:val="26"/>
        </w:rPr>
        <w:t xml:space="preserve">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Page</w:t>
            </w:r>
          </w:p>
        </w:tc>
        <w:tc>
          <w:tcPr>
            <w:tcW w:type="dxa" w:w="3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Main Visuals</w:t>
            </w:r>
          </w:p>
        </w:tc>
        <w:tc>
          <w:tcPr>
            <w:tcW w:type="dxa" w:w="37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 Executive Overview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Total records, average score, grade distribution, risk distribution.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Gives the faculty a quick institutional performance view.</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 Student Performance Analysis</w:t>
            </w:r>
          </w:p>
        </w:tc>
        <w:tc>
          <w:tcPr>
            <w:tcW w:type="dxa" w:w="3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Score histograms, subject comparisons, attendance bands.</w:t>
            </w:r>
          </w:p>
        </w:tc>
        <w:tc>
          <w:tcPr>
            <w:tcW w:type="dxa" w:w="3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Detailed breakdown of academic performance patterns.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3. Risk Analysis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Risk category cards, risk distribution, high-risk student table.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Supports intervention prioritization.</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4. Performance Drivers</w:t>
            </w:r>
          </w:p>
        </w:tc>
        <w:tc>
          <w:tcPr>
            <w:tcW w:type="dxa" w:w="3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Grouped comparisons, correlation visuals, feature importance.</w:t>
            </w:r>
          </w:p>
        </w:tc>
        <w:tc>
          <w:tcPr>
            <w:tcW w:type="dxa" w:w="3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Shows which factors associate with stronger or weaker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5. Student Explorer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Student-level filters, score comparison, predicted risk.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Allows a faculty member to inspect selected records.</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6. Model Evaluation</w:t>
            </w:r>
          </w:p>
        </w:tc>
        <w:tc>
          <w:tcPr>
            <w:tcW w:type="dxa" w:w="3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Regression metrics, classification metrics, confusion matrix.</w:t>
            </w:r>
          </w:p>
        </w:tc>
        <w:tc>
          <w:tcPr>
            <w:tcW w:type="dxa" w:w="3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Documents reliability and limitations of the model.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7. Data Quality &amp; Methodology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Duplicate summary, cleaning steps, dataset profile.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Shows data integrity and project transparency.</w:t>
            </w:r>
          </w:p>
        </w:tc>
      </w:tr>
    </w:tbl>
    <w:p>
      <w:pPr>
        <w:spacing w:after="240" w:before="80"/>
        <w:jc w:val="center"/>
      </w:pPr>
      <w:r>
        <w:rPr>
          <w:rFonts w:ascii="Calibri" w:cs="Calibri" w:eastAsia="Calibri" w:hAnsi="Calibri"/>
          <w:color w:val="4A6274"/>
          <w:sz w:val="18"/>
          <w:szCs w:val="18"/>
        </w:rPr>
        <w:t xml:space="preserve">Table 14: Planned Power BI dashboard pages</w:t>
      </w:r>
    </w:p>
    <w:p>
      <w:pPr>
        <w:pStyle w:val="Heading2"/>
        <w:spacing w:after="160" w:before="240"/>
      </w:pPr>
      <w:r>
        <w:rPr>
          <w:rFonts w:ascii="Calibri" w:cs="Calibri" w:eastAsia="Calibri" w:hAnsi="Calibri"/>
          <w:b/>
          <w:bCs/>
          <w:color w:val="1A2B3C"/>
          <w:sz w:val="26"/>
          <w:szCs w:val="26"/>
        </w:rPr>
        <w:t xml:space="preserve">7.3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Formula / Meaning</w:t>
            </w:r>
          </w:p>
        </w:tc>
        <w:tc>
          <w:tcPr>
            <w:tcW w:type="dxa" w:w="41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Dashboard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Total Students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Count of clean records.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Shows analysis coverage: 15,000 after duplicate removal.</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Average Score</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Mean of overall_score.</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Institutional average: 64.02.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 Count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Students with score below 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Urgent support group: 3,970 students (26.5%).</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 Count</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Students between 50 and below 70.</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Follow-up group: 4,957 students (33.0%).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 Count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Students with score at or above 70.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Stable performance group: 6,073 students (40.5%).</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Model MAE</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Average absolute score error.</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Expected prediction error: ±3.32 marks.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Model R²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Variance explained by regression model.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Predictive fit: 0.953.</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Macro-F1</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Mean F1 across risk categories.</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Balanced classification quality: 0.891.</w:t>
            </w:r>
          </w:p>
        </w:tc>
      </w:tr>
    </w:tbl>
    <w:p>
      <w:pPr>
        <w:spacing w:after="240" w:before="80"/>
        <w:jc w:val="center"/>
      </w:pPr>
      <w:r>
        <w:rPr>
          <w:rFonts w:ascii="Calibri" w:cs="Calibri" w:eastAsia="Calibri" w:hAnsi="Calibri"/>
          <w:color w:val="4A6274"/>
          <w:sz w:val="18"/>
          <w:szCs w:val="18"/>
        </w:rPr>
        <w:t xml:space="preserve">Table 15: Dashboard KPI definitions</w:t>
      </w:r>
    </w:p>
    <w:p>
      <w:pPr>
        <w:pStyle w:val="Heading2"/>
        <w:spacing w:after="160" w:before="240"/>
      </w:pPr>
      <w:r>
        <w:rPr>
          <w:rFonts w:ascii="Calibri" w:cs="Calibri" w:eastAsia="Calibri" w:hAnsi="Calibri"/>
          <w:b/>
          <w:bCs/>
          <w:color w:val="1A2B3C"/>
          <w:sz w:val="26"/>
          <w:szCs w:val="26"/>
        </w:rPr>
        <w:t xml:space="preserve">7.4 Page-by-Page Layout Specifications</w:t>
      </w:r>
    </w:p>
    <w:p>
      <w:pPr>
        <w:spacing w:after="160" w:before="0"/>
        <w:jc w:val="both"/>
      </w:pPr>
      <w:r>
        <w:rPr>
          <w:rFonts w:ascii="Calibri" w:cs="Calibri" w:eastAsia="Calibri" w:hAnsi="Calibri"/>
          <w:b w:val="false"/>
          <w:bCs w:val="false"/>
          <w:color w:val="2C2C2C"/>
          <w:sz w:val="22"/>
          <w:szCs w:val="22"/>
        </w:rPr>
        <w:t xml:space="preserve">Executive Overview: Top KPI strip (Total Students 15,000 | Average Score 64.02 | High Risk 3,970 | On Track 6,073). Center area: grade distribution bar chart (A–F) and risk distribution donut chart side by side. Left panel: slicers for gender, school type, internet access, study method, parent education. Bottom: interpretation note that risk categories are support bands for faculty planning, not permanent student labels.</w:t>
      </w:r>
    </w:p>
    <w:p>
      <w:pPr>
        <w:spacing w:after="160" w:before="0"/>
        <w:jc w:val="both"/>
      </w:pPr>
      <w:r>
        <w:rPr>
          <w:rFonts w:ascii="Calibri" w:cs="Calibri" w:eastAsia="Calibri" w:hAnsi="Calibri"/>
          <w:b w:val="false"/>
          <w:bCs w:val="false"/>
          <w:color w:val="2C2C2C"/>
          <w:sz w:val="22"/>
          <w:szCs w:val="22"/>
        </w:rPr>
        <w:t xml:space="preserve">Student Performance Analysis: Score histogram (binned 0–100). Subject comparison grouped bars (Math 63.77, Science 63.75, English 63.71). Attendance bucket analysis (50–60%, 60–70%, 70–80%, 80–90%, 90–100%) with average score per bucket. Study hours scatter plot vs. overall score. Slicers for school type and gender.</w:t>
      </w:r>
    </w:p>
    <w:p>
      <w:pPr>
        <w:spacing w:after="160" w:before="0"/>
        <w:jc w:val="both"/>
      </w:pPr>
      <w:r>
        <w:rPr>
          <w:rFonts w:ascii="Calibri" w:cs="Calibri" w:eastAsia="Calibri" w:hAnsi="Calibri"/>
          <w:b w:val="false"/>
          <w:bCs w:val="false"/>
          <w:color w:val="2C2C2C"/>
          <w:sz w:val="22"/>
          <w:szCs w:val="22"/>
        </w:rPr>
        <w:t xml:space="preserve">Risk Analysis: Three KPI cards — High Risk (3,970 / 26.5%), Monitor (4,957 / 33.0%), On Track (6,073 / 40.5%). Priority table: student ID, predicted score, risk band, attendance, study hours, dominant subject gap. Threshold note: near-boundary students (score 47–53 or 67–73) need human review. Filter by subject score gap, attendance range, school type.</w:t>
      </w:r>
    </w:p>
    <w:p>
      <w:pPr>
        <w:spacing w:after="160" w:before="0"/>
        <w:jc w:val="both"/>
      </w:pPr>
      <w:r>
        <w:rPr>
          <w:rFonts w:ascii="Calibri" w:cs="Calibri" w:eastAsia="Calibri" w:hAnsi="Calibri"/>
          <w:b w:val="false"/>
          <w:bCs w:val="false"/>
          <w:color w:val="2C2C2C"/>
          <w:sz w:val="22"/>
          <w:szCs w:val="22"/>
        </w:rPr>
        <w:t xml:space="preserve">Performance Drivers: Study hours vs. score scatter with risk color overlay. Average score by study method (6 categories). Average score by internet access (yes/no). Average score by parent education (6 levels). Feature importance horizontal bar chart. Correlation table with overall score.</w:t>
      </w:r>
    </w:p>
    <w:p>
      <w:pPr>
        <w:spacing w:after="160" w:before="0"/>
        <w:jc w:val="both"/>
      </w:pPr>
      <w:r>
        <w:rPr>
          <w:rFonts w:ascii="Calibri" w:cs="Calibri" w:eastAsia="Calibri" w:hAnsi="Calibri"/>
          <w:b w:val="false"/>
          <w:bCs w:val="false"/>
          <w:color w:val="2C2C2C"/>
          <w:sz w:val="22"/>
          <w:szCs w:val="22"/>
        </w:rPr>
        <w:t xml:space="preserve">Student Explorer: Student ID search/select. Profile card showing actual score, predicted score, grade, risk band. Academic indicators: math, science, English, study hours, attendance. Context indicators: travel time, internet access, study method, school type. Faculty note banner: 'Use this output for mentoring conversation and support planning only.'</w:t>
      </w:r>
    </w:p>
    <w:p>
      <w:pPr>
        <w:spacing w:after="160" w:before="0"/>
        <w:jc w:val="both"/>
      </w:pPr>
      <w:r>
        <w:rPr>
          <w:rFonts w:ascii="Calibri" w:cs="Calibri" w:eastAsia="Calibri" w:hAnsi="Calibri"/>
          <w:b w:val="false"/>
          <w:bCs w:val="false"/>
          <w:color w:val="2C2C2C"/>
          <w:sz w:val="22"/>
          <w:szCs w:val="22"/>
        </w:rPr>
        <w:t xml:space="preserve">Model Evaluation: Regression metric cards (MAE 3.32, RMSE 4.10, R² 0.953). Classification metric cards (Accuracy 0.894, Macro-F1 0.891). Confusion matrix heatmap (3×3 grid with values). Short interpretation: most errors occur between adjacent risk bands. Limitations note: public dataset, threshold sensitivity, teacher review required.</w:t>
      </w:r>
    </w:p>
    <w:p>
      <w:pPr>
        <w:spacing w:after="160" w:before="0"/>
        <w:jc w:val="both"/>
      </w:pPr>
      <w:r>
        <w:rPr>
          <w:rFonts w:ascii="Calibri" w:cs="Calibri" w:eastAsia="Calibri" w:hAnsi="Calibri"/>
          <w:b w:val="false"/>
          <w:bCs w:val="false"/>
          <w:color w:val="2C2C2C"/>
          <w:sz w:val="22"/>
          <w:szCs w:val="22"/>
        </w:rPr>
        <w:t xml:space="preserve">Data Quality and Methodology: Timeline of data processing steps. Summary card: 25,000 raw → 10,000 duplicates removed → 15,000 clean. Missing values: 0. Train/test split: 12,000 / 3,000. Dataset profile table with column names, types, and value ranges.</w:t>
      </w:r>
    </w:p>
    <w:p>
      <w:pPr>
        <w:pStyle w:val="Heading2"/>
        <w:spacing w:after="160" w:before="240"/>
      </w:pPr>
      <w:r>
        <w:rPr>
          <w:rFonts w:ascii="Calibri" w:cs="Calibri" w:eastAsia="Calibri" w:hAnsi="Calibri"/>
          <w:b/>
          <w:bCs/>
          <w:color w:val="1A2B3C"/>
          <w:sz w:val="26"/>
          <w:szCs w:val="26"/>
        </w:rPr>
        <w:t xml:space="preserve">7.5 Navigation Design</w:t>
      </w:r>
    </w:p>
    <w:p>
      <w:pPr>
        <w:spacing w:after="160" w:before="0"/>
        <w:jc w:val="both"/>
      </w:pPr>
      <w:r>
        <w:rPr>
          <w:rFonts w:ascii="Calibri" w:cs="Calibri" w:eastAsia="Calibri" w:hAnsi="Calibri"/>
          <w:b w:val="false"/>
          <w:bCs w:val="false"/>
          <w:color w:val="2C2C2C"/>
          <w:sz w:val="22"/>
          <w:szCs w:val="22"/>
        </w:rPr>
        <w:t xml:space="preserve">All seven pages include a left-side navigation panel with page icons and labels. Active page is highlighted in teal. Every page includes a 'Back to Overview' button. Page-level titles use Calibri 24pt bold in the institutional teal color (#1A7A9A). Slicers are synchronized across pages where appropriate using Power BI's Sync Slicers feature. Drill-through from any student record in the Risk Analysis or Performance Analysis page opens the Student Explorer for that record.</w:t>
      </w:r>
    </w:p>
    <w:p>
      <w:r>
        <w:br w:type="page"/>
      </w:r>
    </w:p>
    <w:p>
      <w:pPr>
        <w:pStyle w:val="Heading1"/>
        <w:spacing w:after="160" w:before="400"/>
      </w:pPr>
      <w:r>
        <w:rPr>
          <w:rFonts w:ascii="Calibri" w:cs="Calibri" w:eastAsia="Calibri" w:hAnsi="Calibri"/>
          <w:b/>
          <w:bCs/>
          <w:color w:val="1A7A9A"/>
          <w:sz w:val="32"/>
          <w:szCs w:val="32"/>
        </w:rPr>
        <w:t xml:space="preserve">Chapter 8 – Discussion</w:t>
      </w:r>
    </w:p>
    <w:p>
      <w:pPr>
        <w:pStyle w:val="Heading2"/>
        <w:spacing w:after="160" w:before="240"/>
      </w:pPr>
      <w:r>
        <w:rPr>
          <w:rFonts w:ascii="Calibri" w:cs="Calibri" w:eastAsia="Calibri" w:hAnsi="Calibri"/>
          <w:b/>
          <w:bCs/>
          <w:color w:val="1A2B3C"/>
          <w:sz w:val="26"/>
          <w:szCs w:val="26"/>
        </w:rPr>
        <w:t xml:space="preserve">8.1 Key Findings</w:t>
      </w:r>
    </w:p>
    <w:p>
      <w:pPr>
        <w:spacing w:after="160" w:before="0"/>
        <w:jc w:val="both"/>
      </w:pPr>
      <w:r>
        <w:rPr>
          <w:rFonts w:ascii="Calibri" w:cs="Calibri" w:eastAsia="Calibri" w:hAnsi="Calibri"/>
          <w:b w:val="false"/>
          <w:bCs w:val="false"/>
          <w:color w:val="2C2C2C"/>
          <w:sz w:val="22"/>
          <w:szCs w:val="22"/>
        </w:rPr>
        <w:t xml:space="preserve">The project demonstrates that structured student records can be transformed into useful academic insight when data quality, model evaluation, and visualization are handled together. Duplicate removal was a major data quality step, showing that even clean-looking datasets require audit before modeling. The final evaluation indicates strong regression performance (R² 0.953) and reliable risk classification (Macro-F1 0.891) for the supplied dataset.</w:t>
      </w:r>
    </w:p>
    <w:p>
      <w:pPr>
        <w:spacing w:after="160" w:before="0"/>
        <w:jc w:val="both"/>
      </w:pPr>
      <w:r>
        <w:rPr>
          <w:rFonts w:ascii="Calibri" w:cs="Calibri" w:eastAsia="Calibri" w:hAnsi="Calibri"/>
          <w:b w:val="false"/>
          <w:bCs w:val="false"/>
          <w:color w:val="2C2C2C"/>
          <w:sz w:val="22"/>
          <w:szCs w:val="22"/>
        </w:rPr>
        <w:t xml:space="preserve">The most important educational finding is that model value does not come only from prediction. It comes from connecting prediction with explanation and action. Study hours, attendance, and subject scores are understandable factors, which makes the model easier to discuss with faculty than a purely black-box result.</w:t>
      </w:r>
    </w:p>
    <w:p>
      <w:pPr>
        <w:pStyle w:val="Heading2"/>
        <w:spacing w:after="160" w:before="240"/>
      </w:pPr>
      <w:r>
        <w:rPr>
          <w:rFonts w:ascii="Calibri" w:cs="Calibri" w:eastAsia="Calibri" w:hAnsi="Calibri"/>
          <w:b/>
          <w:bCs/>
          <w:color w:val="1A2B3C"/>
          <w:sz w:val="26"/>
          <w:szCs w:val="26"/>
        </w:rPr>
        <w:t xml:space="preserve">8.2 Academic Impact</w:t>
      </w:r>
    </w:p>
    <w:p>
      <w:pPr>
        <w:spacing w:after="160" w:before="0"/>
        <w:jc w:val="both"/>
      </w:pPr>
      <w:r>
        <w:rPr>
          <w:rFonts w:ascii="Calibri" w:cs="Calibri" w:eastAsia="Calibri" w:hAnsi="Calibri"/>
          <w:b w:val="false"/>
          <w:bCs w:val="false"/>
          <w:color w:val="2C2C2C"/>
          <w:sz w:val="22"/>
          <w:szCs w:val="22"/>
        </w:rPr>
        <w:t xml:space="preserve">For an academic project, EduInsight shows the full lifecycle expected from modern data science work. It includes problem definition, literature grounding, data preparation, EDA, feature engineering, modeling, evaluation, dashboard design, responsible AI discussion, and documentation. This breadth makes the project stronger than a simple algorithm comparison.</w:t>
      </w:r>
    </w:p>
    <w:p>
      <w:pPr>
        <w:pStyle w:val="Heading2"/>
        <w:spacing w:after="160" w:before="240"/>
      </w:pPr>
      <w:r>
        <w:rPr>
          <w:rFonts w:ascii="Calibri" w:cs="Calibri" w:eastAsia="Calibri" w:hAnsi="Calibri"/>
          <w:b/>
          <w:bCs/>
          <w:color w:val="1A2B3C"/>
          <w:sz w:val="26"/>
          <w:szCs w:val="26"/>
        </w:rPr>
        <w:t xml:space="preserve">8.3 Faculty Use Cases</w:t>
      </w:r>
    </w:p>
    <w:p>
      <w:pPr>
        <w:spacing w:after="160" w:before="0"/>
        <w:jc w:val="both"/>
      </w:pPr>
      <w:r>
        <w:rPr>
          <w:rFonts w:ascii="Calibri" w:cs="Calibri" w:eastAsia="Calibri" w:hAnsi="Calibri"/>
          <w:b w:val="false"/>
          <w:bCs w:val="false"/>
          <w:color w:val="2C2C2C"/>
          <w:sz w:val="22"/>
          <w:szCs w:val="22"/>
        </w:rPr>
        <w:t xml:space="preserve">Faculty can use EduInsight to identify students who require mentoring before final examinations, compare performance patterns across study method, attendance, or access factors, prepare targeted remedial sessions for subjects or groups showing weaker performance, use dashboard filters for academic review meetings and internal reporting, and monitor whether support planning should focus on urgent risk, moderate risk, or enrichment.</w:t>
      </w:r>
    </w:p>
    <w:p>
      <w:pPr>
        <w:pStyle w:val="Heading2"/>
        <w:spacing w:after="160" w:before="240"/>
      </w:pPr>
      <w:r>
        <w:rPr>
          <w:rFonts w:ascii="Calibri" w:cs="Calibri" w:eastAsia="Calibri" w:hAnsi="Calibri"/>
          <w:b/>
          <w:bCs/>
          <w:color w:val="1A2B3C"/>
          <w:sz w:val="26"/>
          <w:szCs w:val="26"/>
        </w:rPr>
        <w:t xml:space="preserve">8.4 Responsible AI Discussion</w:t>
      </w:r>
    </w:p>
    <w:p>
      <w:pPr>
        <w:spacing w:after="160" w:before="0"/>
        <w:jc w:val="both"/>
      </w:pPr>
      <w:r>
        <w:rPr>
          <w:rFonts w:ascii="Calibri" w:cs="Calibri" w:eastAsia="Calibri" w:hAnsi="Calibri"/>
          <w:b w:val="false"/>
          <w:bCs w:val="false"/>
          <w:color w:val="2C2C2C"/>
          <w:sz w:val="22"/>
          <w:szCs w:val="22"/>
        </w:rPr>
        <w:t xml:space="preserve">Responsible AI is critical in education because predictions can influence how students are perceived. EduInsight therefore treats model output as an advisory signal. Faculty judgment, context, and student conversation remain essential. The dashboard avoids language that labels a student permanently and communicates uncertainty near risk thresholds. The model should also be reviewed for fairness if deployed with real institutional data. Variables such as gender, parent education, internet access, travel time, and school type reflect social context. They should never be used to stigmatize students. Any real deployment would require consent, privacy protection, data governance, and periodic model review.</w:t>
      </w:r>
    </w:p>
    <w:p>
      <w:r>
        <w:br w:type="page"/>
      </w:r>
    </w:p>
    <w:p>
      <w:pPr>
        <w:pStyle w:val="Heading1"/>
        <w:spacing w:after="160" w:before="400"/>
      </w:pPr>
      <w:r>
        <w:rPr>
          <w:rFonts w:ascii="Calibri" w:cs="Calibri" w:eastAsia="Calibri" w:hAnsi="Calibri"/>
          <w:b/>
          <w:bCs/>
          <w:color w:val="1A7A9A"/>
          <w:sz w:val="32"/>
          <w:szCs w:val="32"/>
        </w:rPr>
        <w:t xml:space="preserve">Chapter 9 – Conclusion</w:t>
      </w:r>
    </w:p>
    <w:p>
      <w:pPr>
        <w:pStyle w:val="Heading2"/>
        <w:spacing w:after="160" w:before="240"/>
      </w:pPr>
      <w:r>
        <w:rPr>
          <w:rFonts w:ascii="Calibri" w:cs="Calibri" w:eastAsia="Calibri" w:hAnsi="Calibri"/>
          <w:b/>
          <w:bCs/>
          <w:color w:val="1A2B3C"/>
          <w:sz w:val="26"/>
          <w:szCs w:val="26"/>
        </w:rPr>
        <w:t xml:space="preserve">9.1 Project Summary</w:t>
      </w:r>
    </w:p>
    <w:p>
      <w:pPr>
        <w:spacing w:after="160" w:before="0"/>
        <w:jc w:val="both"/>
      </w:pPr>
      <w:r>
        <w:rPr>
          <w:rFonts w:ascii="Calibri" w:cs="Calibri" w:eastAsia="Calibri" w:hAnsi="Calibri"/>
          <w:b w:val="false"/>
          <w:bCs w:val="false"/>
          <w:color w:val="2C2C2C"/>
          <w:sz w:val="22"/>
          <w:szCs w:val="22"/>
        </w:rPr>
        <w:t xml:space="preserve">EduInsight is a complete student performance prediction and insight generation project built around a structured educational dataset. The project begins with data quality review and continues through EDA, feature engineering, regression modeling, risk classification, evaluation, explanation, and Power BI dashboard design. It converts raw records into an academic support system that is understandable and demonstrable.</w:t>
      </w:r>
    </w:p>
    <w:p>
      <w:pPr>
        <w:pStyle w:val="Heading2"/>
        <w:spacing w:after="160" w:before="240"/>
      </w:pPr>
      <w:r>
        <w:rPr>
          <w:rFonts w:ascii="Calibri" w:cs="Calibri" w:eastAsia="Calibri" w:hAnsi="Calibri"/>
          <w:b/>
          <w:bCs/>
          <w:color w:val="1A2B3C"/>
          <w:sz w:val="26"/>
          <w:szCs w:val="26"/>
        </w:rPr>
        <w:t xml:space="preserve">9.2 Achievements</w:t>
      </w:r>
    </w:p>
    <w:p>
      <w:pPr>
        <w:spacing w:after="160" w:before="0"/>
        <w:jc w:val="both"/>
      </w:pPr>
      <w:r>
        <w:rPr>
          <w:rFonts w:ascii="Calibri" w:cs="Calibri" w:eastAsia="Calibri" w:hAnsi="Calibri"/>
          <w:b w:val="false"/>
          <w:bCs w:val="false"/>
          <w:color w:val="2C2C2C"/>
          <w:sz w:val="22"/>
          <w:szCs w:val="22"/>
        </w:rPr>
        <w:t xml:space="preserve">A 25,000-record dataset was audited and cleaned into a 15,000-record analytical dataset by removing 10,000 exact duplicate records. Duplicate handling and missing value review were documented clearly. Regression and classification outputs were created for score forecasting (MAE 3.32, R² 0.953) and risk identification (Accuracy 0.894, Macro-F1 0.891). Feature importance and confusion matrix analysis were used to support interpretability. A seven-page Power BI dashboard concept was designed for faculty-friendly insight delivery.</w:t>
      </w:r>
    </w:p>
    <w:p>
      <w:pPr>
        <w:pStyle w:val="Heading2"/>
        <w:spacing w:after="160" w:before="240"/>
      </w:pPr>
      <w:r>
        <w:rPr>
          <w:rFonts w:ascii="Calibri" w:cs="Calibri" w:eastAsia="Calibri" w:hAnsi="Calibri"/>
          <w:b/>
          <w:bCs/>
          <w:color w:val="1A2B3C"/>
          <w:sz w:val="26"/>
          <w:szCs w:val="26"/>
        </w:rPr>
        <w:t xml:space="preserve">9.3 Contributions</w:t>
      </w:r>
    </w:p>
    <w:p>
      <w:pPr>
        <w:spacing w:after="160" w:before="0"/>
        <w:jc w:val="both"/>
      </w:pPr>
      <w:r>
        <w:rPr>
          <w:rFonts w:ascii="Calibri" w:cs="Calibri" w:eastAsia="Calibri" w:hAnsi="Calibri"/>
          <w:b w:val="false"/>
          <w:bCs w:val="false"/>
          <w:color w:val="2C2C2C"/>
          <w:sz w:val="22"/>
          <w:szCs w:val="22"/>
        </w:rPr>
        <w:t xml:space="preserve">The main contribution of the project is the integration of prediction, explanation, and visualization. Many academic projects demonstrate a model but leave the output inside code. EduInsight extends the work into a decision-support format that a faculty member can understand. The project also contributes a responsible AI framing that is important for educational technology.</w:t>
      </w:r>
    </w:p>
    <w:p>
      <w:pPr>
        <w:pStyle w:val="Heading1"/>
        <w:spacing w:after="160" w:before="400"/>
      </w:pPr>
      <w:r>
        <w:rPr>
          <w:rFonts w:ascii="Calibri" w:cs="Calibri" w:eastAsia="Calibri" w:hAnsi="Calibri"/>
          <w:b/>
          <w:bCs/>
          <w:color w:val="1A7A9A"/>
          <w:sz w:val="32"/>
          <w:szCs w:val="32"/>
        </w:rPr>
        <w:t xml:space="preserve">Future Scope</w:t>
      </w:r>
    </w:p>
    <w:p>
      <w:pPr>
        <w:spacing w:after="160" w:before="0"/>
        <w:jc w:val="both"/>
      </w:pPr>
      <w:r>
        <w:rPr>
          <w:rFonts w:ascii="Calibri" w:cs="Calibri" w:eastAsia="Calibri" w:hAnsi="Calibri"/>
          <w:b w:val="false"/>
          <w:bCs w:val="false"/>
          <w:color w:val="2C2C2C"/>
          <w:sz w:val="22"/>
          <w:szCs w:val="22"/>
        </w:rPr>
        <w:t xml:space="preserve">Integrate real-time attendance, assignment submission, and internal assessment data with proper institutional permission.</w:t>
      </w:r>
    </w:p>
    <w:p>
      <w:pPr>
        <w:spacing w:after="160" w:before="0"/>
        <w:jc w:val="both"/>
      </w:pPr>
      <w:r>
        <w:rPr>
          <w:rFonts w:ascii="Calibri" w:cs="Calibri" w:eastAsia="Calibri" w:hAnsi="Calibri"/>
          <w:b w:val="false"/>
          <w:bCs w:val="false"/>
          <w:color w:val="2C2C2C"/>
          <w:sz w:val="22"/>
          <w:szCs w:val="22"/>
        </w:rPr>
        <w:t xml:space="preserve">Use full Scikit-Learn pipelines with Random Forest, Gradient Boosting, and cross-validation for stronger model comparison.</w:t>
      </w:r>
    </w:p>
    <w:p>
      <w:pPr>
        <w:spacing w:after="160" w:before="0"/>
        <w:jc w:val="both"/>
      </w:pPr>
      <w:r>
        <w:rPr>
          <w:rFonts w:ascii="Calibri" w:cs="Calibri" w:eastAsia="Calibri" w:hAnsi="Calibri"/>
          <w:b w:val="false"/>
          <w:bCs w:val="false"/>
          <w:color w:val="2C2C2C"/>
          <w:sz w:val="22"/>
          <w:szCs w:val="22"/>
        </w:rPr>
        <w:t xml:space="preserve">Add fairness analysis across demographic and access-related segments before any real deployment.</w:t>
      </w:r>
    </w:p>
    <w:p>
      <w:pPr>
        <w:spacing w:after="160" w:before="0"/>
        <w:jc w:val="both"/>
      </w:pPr>
      <w:r>
        <w:rPr>
          <w:rFonts w:ascii="Calibri" w:cs="Calibri" w:eastAsia="Calibri" w:hAnsi="Calibri"/>
          <w:b w:val="false"/>
          <w:bCs w:val="false"/>
          <w:color w:val="2C2C2C"/>
          <w:sz w:val="22"/>
          <w:szCs w:val="22"/>
        </w:rPr>
        <w:t xml:space="preserve">Create alert workflows for faculty mentors when a student moves into a higher risk band.</w:t>
      </w:r>
    </w:p>
    <w:p>
      <w:pPr>
        <w:spacing w:after="160" w:before="0"/>
        <w:jc w:val="both"/>
      </w:pPr>
      <w:r>
        <w:rPr>
          <w:rFonts w:ascii="Calibri" w:cs="Calibri" w:eastAsia="Calibri" w:hAnsi="Calibri"/>
          <w:b w:val="false"/>
          <w:bCs w:val="false"/>
          <w:color w:val="2C2C2C"/>
          <w:sz w:val="22"/>
          <w:szCs w:val="22"/>
        </w:rPr>
        <w:t xml:space="preserve">Connect Power BI to a refreshed prediction table so dashboard values update automatically.</w:t>
      </w:r>
    </w:p>
    <w:p>
      <w:pPr>
        <w:spacing w:after="160" w:before="0"/>
        <w:jc w:val="both"/>
      </w:pPr>
      <w:r>
        <w:rPr>
          <w:rFonts w:ascii="Calibri" w:cs="Calibri" w:eastAsia="Calibri" w:hAnsi="Calibri"/>
          <w:b w:val="false"/>
          <w:bCs w:val="false"/>
          <w:color w:val="2C2C2C"/>
          <w:sz w:val="22"/>
          <w:szCs w:val="22"/>
        </w:rPr>
        <w:t xml:space="preserve">Add student-facing guidance summaries that convert model insights into constructive study recommendations.</w:t>
      </w:r>
    </w:p>
    <w:p>
      <w:pPr>
        <w:spacing w:after="160" w:before="0"/>
        <w:jc w:val="both"/>
      </w:pPr>
      <w:r>
        <w:rPr>
          <w:rFonts w:ascii="Calibri" w:cs="Calibri" w:eastAsia="Calibri" w:hAnsi="Calibri"/>
          <w:b w:val="false"/>
          <w:bCs w:val="false"/>
          <w:color w:val="2C2C2C"/>
          <w:sz w:val="22"/>
          <w:szCs w:val="22"/>
        </w:rPr>
        <w:t xml:space="preserve">Deploy a secure web interface for authorized faculty users with role-based access control.</w:t>
      </w:r>
    </w:p>
    <w:p>
      <w:r>
        <w:br w:type="page"/>
      </w:r>
    </w:p>
    <w:p>
      <w:pPr>
        <w:pStyle w:val="Heading1"/>
        <w:spacing w:after="160" w:before="400"/>
      </w:pPr>
      <w:r>
        <w:rPr>
          <w:rFonts w:ascii="Calibri" w:cs="Calibri" w:eastAsia="Calibri" w:hAnsi="Calibri"/>
          <w:b/>
          <w:bCs/>
          <w:color w:val="1A7A9A"/>
          <w:sz w:val="32"/>
          <w:szCs w:val="32"/>
        </w:rPr>
        <w:t xml:space="preserve">References</w:t>
      </w:r>
    </w:p>
    <w:p>
      <w:pPr>
        <w:spacing w:after="160" w:before="0"/>
        <w:jc w:val="both"/>
      </w:pPr>
      <w:r>
        <w:rPr>
          <w:rFonts w:ascii="Calibri" w:cs="Calibri" w:eastAsia="Calibri" w:hAnsi="Calibri"/>
          <w:b w:val="false"/>
          <w:bCs w:val="false"/>
          <w:color w:val="2C2C2C"/>
          <w:sz w:val="22"/>
          <w:szCs w:val="22"/>
        </w:rPr>
        <w:t xml:space="preserve">1. Romero, C., and Ventura, S. (2010). Educational Data Mining: A Review of the State of the Art. IEEE Transactions on Systems, Man, and Cybernetics, Part C.</w:t>
      </w:r>
    </w:p>
    <w:p>
      <w:pPr>
        <w:spacing w:after="160" w:before="0"/>
        <w:jc w:val="both"/>
      </w:pPr>
      <w:r>
        <w:rPr>
          <w:rFonts w:ascii="Calibri" w:cs="Calibri" w:eastAsia="Calibri" w:hAnsi="Calibri"/>
          <w:b w:val="false"/>
          <w:bCs w:val="false"/>
          <w:color w:val="2C2C2C"/>
          <w:sz w:val="22"/>
          <w:szCs w:val="22"/>
        </w:rPr>
        <w:t xml:space="preserve">2. Cortez, P., and Silva, A. (2008). Using Data Mining to Predict Secondary School Student Performance.</w:t>
      </w:r>
    </w:p>
    <w:p>
      <w:pPr>
        <w:spacing w:after="160" w:before="0"/>
        <w:jc w:val="both"/>
      </w:pPr>
      <w:r>
        <w:rPr>
          <w:rFonts w:ascii="Calibri" w:cs="Calibri" w:eastAsia="Calibri" w:hAnsi="Calibri"/>
          <w:b w:val="false"/>
          <w:bCs w:val="false"/>
          <w:color w:val="2C2C2C"/>
          <w:sz w:val="22"/>
          <w:szCs w:val="22"/>
        </w:rPr>
        <w:t xml:space="preserve">3. Baker, R. S. J. d., and Inventado, P. S. (2014). Educational Data Mining and Learning Analytics.</w:t>
      </w:r>
    </w:p>
    <w:p>
      <w:pPr>
        <w:spacing w:after="160" w:before="0"/>
        <w:jc w:val="both"/>
      </w:pPr>
      <w:r>
        <w:rPr>
          <w:rFonts w:ascii="Calibri" w:cs="Calibri" w:eastAsia="Calibri" w:hAnsi="Calibri"/>
          <w:b w:val="false"/>
          <w:bCs w:val="false"/>
          <w:color w:val="2C2C2C"/>
          <w:sz w:val="22"/>
          <w:szCs w:val="22"/>
        </w:rPr>
        <w:t xml:space="preserve">4. Pedregosa, F. et al. (2011). Scikit-Learn: Machine Learning in Python. Journal of Machine Learning Research.</w:t>
      </w:r>
    </w:p>
    <w:p>
      <w:pPr>
        <w:spacing w:after="160" w:before="0"/>
        <w:jc w:val="both"/>
      </w:pPr>
      <w:r>
        <w:rPr>
          <w:rFonts w:ascii="Calibri" w:cs="Calibri" w:eastAsia="Calibri" w:hAnsi="Calibri"/>
          <w:b w:val="false"/>
          <w:bCs w:val="false"/>
          <w:color w:val="2C2C2C"/>
          <w:sz w:val="22"/>
          <w:szCs w:val="22"/>
        </w:rPr>
        <w:t xml:space="preserve">5. McKinney, W. (2010). Data Structures for Statistical Computing in Python. Proceedings of the Python in Science Conference.</w:t>
      </w:r>
    </w:p>
    <w:p>
      <w:pPr>
        <w:spacing w:after="160" w:before="0"/>
        <w:jc w:val="both"/>
      </w:pPr>
      <w:r>
        <w:rPr>
          <w:rFonts w:ascii="Calibri" w:cs="Calibri" w:eastAsia="Calibri" w:hAnsi="Calibri"/>
          <w:b w:val="false"/>
          <w:bCs w:val="false"/>
          <w:color w:val="2C2C2C"/>
          <w:sz w:val="22"/>
          <w:szCs w:val="22"/>
        </w:rPr>
        <w:t xml:space="preserve">6. Pandas Development Team. Pandas Documentation for data analysis and preprocessing.</w:t>
      </w:r>
    </w:p>
    <w:p>
      <w:pPr>
        <w:spacing w:after="160" w:before="0"/>
        <w:jc w:val="both"/>
      </w:pPr>
      <w:r>
        <w:rPr>
          <w:rFonts w:ascii="Calibri" w:cs="Calibri" w:eastAsia="Calibri" w:hAnsi="Calibri"/>
          <w:b w:val="false"/>
          <w:bCs w:val="false"/>
          <w:color w:val="2C2C2C"/>
          <w:sz w:val="22"/>
          <w:szCs w:val="22"/>
        </w:rPr>
        <w:t xml:space="preserve">7. NumPy Developers. NumPy Documentation for numerical computing.</w:t>
      </w:r>
    </w:p>
    <w:p>
      <w:pPr>
        <w:spacing w:after="160" w:before="0"/>
        <w:jc w:val="both"/>
      </w:pPr>
      <w:r>
        <w:rPr>
          <w:rFonts w:ascii="Calibri" w:cs="Calibri" w:eastAsia="Calibri" w:hAnsi="Calibri"/>
          <w:b w:val="false"/>
          <w:bCs w:val="false"/>
          <w:color w:val="2C2C2C"/>
          <w:sz w:val="22"/>
          <w:szCs w:val="22"/>
        </w:rPr>
        <w:t xml:space="preserve">8. Microsoft. Power BI Documentation for dashboards, reports, relationships, and visualization design.</w:t>
      </w:r>
    </w:p>
    <w:p>
      <w:pPr>
        <w:spacing w:after="160" w:before="0"/>
        <w:jc w:val="both"/>
      </w:pPr>
      <w:r>
        <w:rPr>
          <w:rFonts w:ascii="Calibri" w:cs="Calibri" w:eastAsia="Calibri" w:hAnsi="Calibri"/>
          <w:b w:val="false"/>
          <w:bCs w:val="false"/>
          <w:color w:val="2C2C2C"/>
          <w:sz w:val="22"/>
          <w:szCs w:val="22"/>
        </w:rPr>
        <w:t xml:space="preserve">9. Kaggle public student performance dataset supplied as Student_Performance.csv for academic use.</w:t>
      </w:r>
    </w:p>
    <w:p>
      <w:r>
        <w:br w:type="page"/>
      </w:r>
    </w:p>
    <w:p>
      <w:pPr>
        <w:pStyle w:val="Heading1"/>
        <w:spacing w:after="160" w:before="400"/>
      </w:pPr>
      <w:r>
        <w:rPr>
          <w:rFonts w:ascii="Calibri" w:cs="Calibri" w:eastAsia="Calibri" w:hAnsi="Calibri"/>
          <w:b/>
          <w:bCs/>
          <w:color w:val="1A7A9A"/>
          <w:sz w:val="32"/>
          <w:szCs w:val="32"/>
        </w:rPr>
        <w:t xml:space="preserve">Appendix</w:t>
      </w:r>
    </w:p>
    <w:p>
      <w:pPr>
        <w:pStyle w:val="Heading2"/>
        <w:spacing w:after="160" w:before="240"/>
      </w:pPr>
      <w:r>
        <w:rPr>
          <w:rFonts w:ascii="Calibri" w:cs="Calibri" w:eastAsia="Calibri" w:hAnsi="Calibri"/>
          <w:b/>
          <w:bCs/>
          <w:color w:val="1A2B3C"/>
          <w:sz w:val="26"/>
          <w:szCs w:val="26"/>
        </w:rPr>
        <w:t xml:space="preserve">Appendix A –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Data Type</w:t>
            </w:r>
          </w:p>
        </w:tc>
        <w:tc>
          <w:tcPr>
            <w:tcW w:type="dxa" w:w="552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student_id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Integer</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Reference only; excluded from modeling.</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age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Integer</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Student age (14–19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gender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Male / Female / Other.</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school_type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Public or private school.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parent_education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No Formal / High School / Diploma / Graduate / Post Graduate / PhD.</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study_hours</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Study duration (0.5–8.0 hours).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attendance_percentage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Attendance percentage (50–100).</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internet_access</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Yes /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travel_time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&lt;15 min / 15–30 min / 30–60 min / &gt;60 min.</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extra_activities</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Yes /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study_method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Mixed / Textbook / Notes / Online Videos / Group Study / Coaching.</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math_score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Mathematics score (0–100).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science_score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Science score (0–100).</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english_score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English score (0–100).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overall_score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Regression target (0–100).</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final_grade</w:t>
            </w:r>
          </w:p>
        </w:tc>
        <w:tc>
          <w:tcPr>
            <w:tcW w:type="dxa" w:w="144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Categorical</w:t>
            </w:r>
          </w:p>
        </w:tc>
        <w:tc>
          <w:tcPr>
            <w:tcW w:type="dxa" w:w="552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Original grade label (A–F).</w:t>
            </w:r>
          </w:p>
        </w:tc>
      </w:tr>
    </w:tbl>
    <w:p>
      <w:pPr>
        <w:spacing w:after="240" w:before="80"/>
        <w:jc w:val="center"/>
      </w:pPr>
      <w:r>
        <w:rPr>
          <w:rFonts w:ascii="Calibri" w:cs="Calibri" w:eastAsia="Calibri" w:hAnsi="Calibri"/>
          <w:color w:val="4A6274"/>
          <w:sz w:val="18"/>
          <w:szCs w:val="18"/>
        </w:rPr>
        <w:t xml:space="preserve">Table 16: Data dictionary for supplied CSV</w:t>
      </w:r>
    </w:p>
    <w:p>
      <w:pPr>
        <w:pStyle w:val="Heading2"/>
        <w:spacing w:after="160" w:before="240"/>
      </w:pPr>
      <w:r>
        <w:rPr>
          <w:rFonts w:ascii="Calibri" w:cs="Calibri" w:eastAsia="Calibri" w:hAnsi="Calibri"/>
          <w:b/>
          <w:bCs/>
          <w:color w:val="1A2B3C"/>
          <w:sz w:val="26"/>
          <w:szCs w:val="26"/>
        </w:rPr>
        <w:t xml:space="preserve">Appendix B – Risk Category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Threshold</w:t>
            </w:r>
          </w:p>
        </w:tc>
        <w:tc>
          <w:tcPr>
            <w:tcW w:type="dxa" w:w="41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 in Dashboard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High Risk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overall_score &lt; 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Urgent support and mentoring list.</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Monitor</w:t>
            </w:r>
          </w:p>
        </w:tc>
        <w:tc>
          <w:tcPr>
            <w:tcW w:type="dxa" w:w="28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50 ≤ overall_score &lt; 70</w:t>
            </w:r>
          </w:p>
        </w:tc>
        <w:tc>
          <w:tcPr>
            <w:tcW w:type="dxa" w:w="41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Follow-up list for improvement tracking.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On Track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overall_score ≥ 70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Stable performance group.</w:t>
            </w:r>
          </w:p>
        </w:tc>
      </w:tr>
    </w:tbl>
    <w:p>
      <w:pPr>
        <w:spacing w:after="240" w:before="80"/>
        <w:jc w:val="center"/>
      </w:pPr>
      <w:r>
        <w:rPr>
          <w:rFonts w:ascii="Calibri" w:cs="Calibri" w:eastAsia="Calibri" w:hAnsi="Calibri"/>
          <w:color w:val="4A6274"/>
          <w:sz w:val="18"/>
          <w:szCs w:val="18"/>
        </w:rPr>
        <w:t xml:space="preserve">Table 17: Appendix risk threshold table</w:t>
      </w:r>
    </w:p>
    <w:p>
      <w:pPr>
        <w:pStyle w:val="Heading2"/>
        <w:spacing w:after="160" w:before="240"/>
      </w:pPr>
      <w:r>
        <w:rPr>
          <w:rFonts w:ascii="Calibri" w:cs="Calibri" w:eastAsia="Calibri" w:hAnsi="Calibri"/>
          <w:b/>
          <w:bCs/>
          <w:color w:val="1A2B3C"/>
          <w:sz w:val="26"/>
          <w:szCs w:val="26"/>
        </w:rPr>
        <w:t xml:space="preserve">Appendix C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 Card Field</w:t>
            </w:r>
          </w:p>
        </w:tc>
        <w:tc>
          <w:tcPr>
            <w:tcW w:type="dxa" w:w="576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Model 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EduInsight Ridge Score Model</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Primary Use</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Overall score prediction and academic risk segmentation.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Training Data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12,000 clean records after duplicate removal.</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Test Data</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3,000 clean records reserved for evaluation.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Input Features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Demographic, study behavior, access/context, and subject score variables.</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Regression Metrics</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MAE 3.32, RMSE 4.10, R² 0.953.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Classification 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Accuracy 0.894, Macro-F1 0.891.</w:t>
            </w:r>
          </w:p>
        </w:tc>
      </w:tr>
      <w:tr>
        <w:tc>
          <w:tcPr>
            <w:tcW w:type="dxa" w:w="360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Limitations</w:t>
            </w:r>
          </w:p>
        </w:tc>
        <w:tc>
          <w:tcPr>
            <w:tcW w:type="dxa" w:w="576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Public dataset; correlations are not causal; risk bands require faculty review.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Responsible Use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Support signal only; not a final judgment about student ability.</w:t>
            </w:r>
          </w:p>
        </w:tc>
      </w:tr>
    </w:tbl>
    <w:p>
      <w:pPr>
        <w:spacing w:after="240" w:before="80"/>
        <w:jc w:val="center"/>
      </w:pPr>
      <w:r>
        <w:rPr>
          <w:rFonts w:ascii="Calibri" w:cs="Calibri" w:eastAsia="Calibri" w:hAnsi="Calibri"/>
          <w:color w:val="4A6274"/>
          <w:sz w:val="18"/>
          <w:szCs w:val="18"/>
        </w:rPr>
        <w:t xml:space="preserve">Table 18: EduInsight model card</w:t>
      </w:r>
    </w:p>
    <w:p>
      <w:pPr>
        <w:pStyle w:val="Heading2"/>
        <w:spacing w:after="160" w:before="240"/>
      </w:pPr>
      <w:r>
        <w:rPr>
          <w:rFonts w:ascii="Calibri" w:cs="Calibri" w:eastAsia="Calibri" w:hAnsi="Calibri"/>
          <w:b/>
          <w:bCs/>
          <w:color w:val="1A2B3C"/>
          <w:sz w:val="26"/>
          <w:szCs w:val="26"/>
        </w:rPr>
        <w:t xml:space="preserve">Appendix D – Reproducibility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Checklist Item</w:t>
            </w:r>
          </w:p>
        </w:tc>
        <w:tc>
          <w:tcPr>
            <w:tcW w:type="dxa" w:w="4680"/>
            <w:tcBorders>
              <w:top w:val="single" w:color="CCCCCC" w:sz="1"/>
              <w:left w:val="single" w:color="CCCCCC" w:sz="1"/>
              <w:bottom w:val="single" w:color="CCCCCC" w:sz="1"/>
              <w:right w:val="single" w:color="CCCCCC" w:sz="1"/>
            </w:tcBorders>
            <w:shd w:fill="1A7A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 in EduInsight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Source file identified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Student_Performance.csv supplied with the project materials.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Raw record count recorded</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25,000 raw records documented before cleaning.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Duplicate count recorded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10,000 exact duplicates identified and removed.</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Missing value audit</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No missing values detected in original columns.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Train-test split documented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80:20 split with 12,000 training records and 3,000 test records.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Metrics reported</w:t>
            </w:r>
          </w:p>
        </w:tc>
        <w:tc>
          <w:tcPr>
            <w:tcW w:type="dxa" w:w="4680"/>
            <w:tcBorders>
              <w:top w:val="single" w:color="CCCCCC" w:sz="1"/>
              <w:left w:val="single" w:color="CCCCCC" w:sz="1"/>
              <w:bottom w:val="single" w:color="CCCCCC" w:sz="1"/>
              <w:right w:val="single" w:color="CCCCCC" w:sz="1"/>
            </w:tcBorders>
            <w:shd w:fill="F0F7FA" w:val="clear"/>
            <w:tcMar>
              <w:top w:type="dxa" w:w="60"/>
              <w:left w:type="dxa" w:w="120"/>
              <w:bottom w:type="dxa" w:w="60"/>
              <w:right w:type="dxa" w:w="120"/>
            </w:tcMar>
          </w:tcPr>
          <w:p>
            <w:r>
              <w:rPr>
                <w:rFonts w:ascii="Calibri" w:cs="Calibri" w:eastAsia="Calibri" w:hAnsi="Calibri"/>
                <w:color w:val="2C2C2C"/>
                <w:sz w:val="20"/>
                <w:szCs w:val="20"/>
              </w:rPr>
              <w:t xml:space="preserve">Regression and classification metrics included in Chapter 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Responsible use documented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C2C2C"/>
                <w:sz w:val="20"/>
                <w:szCs w:val="20"/>
              </w:rPr>
              <w:t xml:space="preserve">Predictions positioned as support signals, not final labels.</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9A" w:sz="4" w:space="1"/>
      </w:pBdr>
      <w:jc w:val="center"/>
    </w:pPr>
    <w:r>
      <w:rPr>
        <w:rFonts w:ascii="Calibri" w:cs="Calibri" w:eastAsia="Calibri" w:hAnsi="Calibri"/>
        <w:color w:val="4A6274"/>
        <w:sz w:val="18"/>
        <w:szCs w:val="18"/>
      </w:rPr>
      <w:t xml:space="preserve">D.A.V. College, Kanpur  |  AICW Commerce Spoke  |  Page </w:t>
    </w:r>
    <w:r>
      <w:rPr>
        <w:rFonts w:ascii="Calibri" w:cs="Calibri" w:eastAsia="Calibri" w:hAnsi="Calibri"/>
        <w:color w:val="1A7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9A" w:sz="4" w:space="1"/>
      </w:pBdr>
    </w:pPr>
    <w:r>
      <w:rPr>
        <w:rFonts w:ascii="Calibri" w:cs="Calibri" w:eastAsia="Calibri" w:hAnsi="Calibri"/>
        <w:color w:val="4A6274"/>
        <w:sz w:val="18"/>
        <w:szCs w:val="18"/>
      </w:rPr>
      <w:t xml:space="preserve">EduInsight – Student Performance Prediction and Insight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7A9A"/>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A2B3C"/>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A62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2026-06-03T01:18:27.977Z</dcterms:created>
  <dcterms:modified xsi:type="dcterms:W3CDTF">2026-06-03T01:18:27.977Z</dcterms:modified>
</cp:coreProperties>
</file>

<file path=docProps/custom.xml><?xml version="1.0" encoding="utf-8"?>
<Properties xmlns="http://schemas.openxmlformats.org/officeDocument/2006/custom-properties" xmlns:vt="http://schemas.openxmlformats.org/officeDocument/2006/docPropsVTypes"/>
</file>