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A0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center"/>
        <w:textAlignment w:val="auto"/>
        <w:outlineLvl w:val="0"/>
        <w:rPr>
          <w:rFonts w:ascii="Arial" w:hAnsi="Arial" w:eastAsia="等线" w:cs="Arial"/>
          <w:b/>
          <w:sz w:val="52"/>
        </w:rPr>
      </w:pPr>
      <w:r>
        <w:rPr>
          <w:rFonts w:ascii="Arial" w:hAnsi="Arial" w:eastAsia="等线" w:cs="Arial"/>
          <w:b/>
          <w:sz w:val="52"/>
        </w:rPr>
        <w:t>2026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数学建模</w:t>
      </w:r>
      <w:r>
        <w:rPr>
          <w:rFonts w:ascii="Arial" w:hAnsi="Arial" w:eastAsia="等线" w:cs="Arial"/>
          <w:b/>
          <w:sz w:val="52"/>
        </w:rPr>
        <w:t>国赛AI全自动自查表</w:t>
      </w:r>
      <w:bookmarkStart w:id="0" w:name="heading_1"/>
    </w:p>
    <w:p w14:paraId="706DE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/>
        <w:jc w:val="center"/>
        <w:textAlignment w:val="auto"/>
        <w:outlineLvl w:val="0"/>
        <w:rPr>
          <w:sz w:val="52"/>
          <w:szCs w:val="52"/>
        </w:rPr>
      </w:pPr>
      <w:r>
        <w:rPr>
          <w:rFonts w:ascii="Arial" w:hAnsi="Arial" w:eastAsia="等线" w:cs="Arial"/>
          <w:b/>
          <w:sz w:val="52"/>
          <w:szCs w:val="52"/>
        </w:rPr>
        <w:t>（</w:t>
      </w:r>
      <w:r>
        <w:rPr>
          <w:rFonts w:hint="eastAsia" w:ascii="Arial" w:hAnsi="Arial" w:eastAsia="等线" w:cs="Arial"/>
          <w:b/>
          <w:sz w:val="52"/>
          <w:szCs w:val="52"/>
          <w:lang w:val="en-US" w:eastAsia="zh-CN"/>
        </w:rPr>
        <w:t>评委评审·标准版</w:t>
      </w:r>
      <w:r>
        <w:rPr>
          <w:rFonts w:ascii="Arial" w:hAnsi="Arial" w:eastAsia="等线" w:cs="Arial"/>
          <w:b/>
          <w:sz w:val="52"/>
          <w:szCs w:val="52"/>
        </w:rPr>
        <w:t>）</w:t>
      </w:r>
      <w:bookmarkEnd w:id="0"/>
    </w:p>
    <w:p w14:paraId="28C6B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sz w:val="22"/>
        </w:rPr>
        <w:t>本表为</w:t>
      </w:r>
      <w:r>
        <w:rPr>
          <w:rFonts w:hint="eastAsia" w:ascii="Arial" w:hAnsi="Arial" w:eastAsia="等线" w:cs="Arial"/>
          <w:sz w:val="22"/>
          <w:lang w:val="en-US" w:eastAsia="zh-CN"/>
        </w:rPr>
        <w:t>国赛</w:t>
      </w:r>
      <w:r>
        <w:rPr>
          <w:rFonts w:ascii="Arial" w:hAnsi="Arial" w:eastAsia="等线" w:cs="Arial"/>
          <w:sz w:val="22"/>
        </w:rPr>
        <w:t>AI全自动核查专用，无需人工主观判断，所有条目均可直接丢给AI自动检测、自动判定问题、自动输出整改方案</w:t>
      </w:r>
      <w:r>
        <w:rPr>
          <w:rFonts w:hint="eastAsia" w:ascii="Arial" w:hAnsi="Arial" w:eastAsia="等线" w:cs="Arial"/>
          <w:sz w:val="22"/>
          <w:lang w:val="en-US" w:eastAsia="zh-CN"/>
        </w:rPr>
        <w:t>等</w:t>
      </w:r>
      <w:r>
        <w:rPr>
          <w:rFonts w:ascii="Arial" w:hAnsi="Arial" w:eastAsia="等线" w:cs="Arial"/>
          <w:sz w:val="22"/>
        </w:rPr>
        <w:t>。全覆盖</w:t>
      </w:r>
      <w:r>
        <w:rPr>
          <w:rFonts w:ascii="Arial" w:hAnsi="Arial" w:eastAsia="等线" w:cs="Arial"/>
          <w:b/>
          <w:bCs/>
          <w:sz w:val="22"/>
        </w:rPr>
        <w:t>2026国赛AI合规红线、AI幻觉与数据真实性、建模逻辑与题意适配、求解结果合理性、官方写作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规范</w:t>
      </w:r>
      <w:r>
        <w:rPr>
          <w:rFonts w:ascii="Arial" w:hAnsi="Arial" w:eastAsia="等线" w:cs="Arial"/>
          <w:b/>
          <w:bCs/>
          <w:sz w:val="22"/>
        </w:rPr>
        <w:t>、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论文排版及</w:t>
      </w:r>
      <w:r>
        <w:rPr>
          <w:rFonts w:ascii="Arial" w:hAnsi="Arial" w:eastAsia="等线" w:cs="Arial"/>
          <w:b/>
          <w:bCs/>
          <w:sz w:val="22"/>
        </w:rPr>
        <w:t>篇幅</w:t>
      </w:r>
      <w:r>
        <w:rPr>
          <w:rFonts w:hint="eastAsia" w:ascii="Arial" w:hAnsi="Arial" w:eastAsia="等线" w:cs="Arial"/>
          <w:sz w:val="22"/>
          <w:lang w:val="en-US" w:eastAsia="zh-CN"/>
        </w:rPr>
        <w:t>等</w:t>
      </w:r>
      <w:r>
        <w:rPr>
          <w:rFonts w:ascii="Arial" w:hAnsi="Arial" w:eastAsia="等线" w:cs="Arial"/>
          <w:b/>
          <w:bCs/>
          <w:color w:val="FF0000"/>
          <w:sz w:val="22"/>
        </w:rPr>
        <w:t>六大核心维度</w:t>
      </w:r>
      <w:r>
        <w:rPr>
          <w:rFonts w:hint="eastAsia" w:ascii="Arial" w:hAnsi="Arial" w:eastAsia="等线" w:cs="Arial"/>
          <w:b/>
          <w:bCs/>
          <w:color w:val="FF0000"/>
          <w:sz w:val="22"/>
          <w:lang w:val="en-US" w:eastAsia="zh-CN"/>
        </w:rPr>
        <w:t>和26个子维度层面</w:t>
      </w:r>
      <w:r>
        <w:rPr>
          <w:rFonts w:ascii="Arial" w:hAnsi="Arial" w:eastAsia="等线" w:cs="Arial"/>
          <w:sz w:val="22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进行全方位AI核查！</w:t>
      </w:r>
    </w:p>
    <w:p w14:paraId="1829F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PS：使用AI自查表需要上传四个文件：参赛论文、比赛题目、附件（如有）、自查表</w:t>
      </w:r>
    </w:p>
    <w:tbl>
      <w:tblPr>
        <w:tblStyle w:val="5"/>
        <w:tblW w:w="10120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85"/>
        <w:gridCol w:w="3705"/>
        <w:gridCol w:w="1173"/>
        <w:gridCol w:w="1200"/>
        <w:gridCol w:w="1187"/>
        <w:gridCol w:w="1270"/>
      </w:tblGrid>
      <w:tr w14:paraId="694C2ED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19" w:hRule="atLeast"/>
          <w:jc w:val="center"/>
        </w:trPr>
        <w:tc>
          <w:tcPr>
            <w:tcW w:w="1585" w:type="dxa"/>
            <w:tcBorders>
              <w:top w:val="single" w:color="4874CB" w:themeColor="accent1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9B3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hint="eastAsia" w:ascii="Calibri" w:hAnsi="Arial" w:eastAsia="宋体" w:cs="Arial"/>
                <w:b/>
                <w:i w:val="0"/>
                <w:color w:val="FFFFFF"/>
                <w:sz w:val="21"/>
                <w:szCs w:val="21"/>
                <w:lang w:val="en-US" w:eastAsia="zh-CN"/>
              </w:rPr>
              <w:t>AI</w:t>
            </w:r>
            <w:r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  <w:t>核查</w:t>
            </w:r>
          </w:p>
          <w:p w14:paraId="438F21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  <w:t>一级维度</w:t>
            </w:r>
          </w:p>
        </w:tc>
        <w:tc>
          <w:tcPr>
            <w:tcW w:w="370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B28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  <w:t>核查</w:t>
            </w:r>
            <w:r>
              <w:rPr>
                <w:rFonts w:hint="eastAsia" w:ascii="Calibri" w:hAnsi="Arial" w:eastAsia="宋体" w:cs="Arial"/>
                <w:b/>
                <w:i w:val="0"/>
                <w:color w:val="FFFFFF"/>
                <w:sz w:val="21"/>
                <w:szCs w:val="21"/>
                <w:lang w:val="en-US" w:eastAsia="zh-CN"/>
              </w:rPr>
              <w:t>二</w:t>
            </w:r>
            <w:r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  <w:t>级维度</w:t>
            </w:r>
          </w:p>
          <w:p w14:paraId="41B01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libri" w:eastAsia="宋体"/>
                <w:b/>
                <w:i w:val="0"/>
                <w:color w:val="FFFFFF"/>
                <w:sz w:val="21"/>
                <w:szCs w:val="21"/>
                <w:lang w:val="en-US" w:eastAsia="zh-CN"/>
              </w:rPr>
            </w:pPr>
            <w:r>
              <w:rPr>
                <w:rFonts w:hint="eastAsia" w:ascii="Calibri" w:hAnsi="Arial" w:eastAsia="宋体" w:cs="Arial"/>
                <w:b/>
                <w:i w:val="0"/>
                <w:color w:val="FFFFFF"/>
                <w:sz w:val="21"/>
                <w:szCs w:val="21"/>
                <w:lang w:val="en-US" w:eastAsia="zh-CN"/>
              </w:rPr>
              <w:t>(</w:t>
            </w:r>
            <w:r>
              <w:rPr>
                <w:rFonts w:ascii="Calibri" w:hAnsi="Arial" w:eastAsia="宋体" w:cs="Arial"/>
                <w:b/>
                <w:i w:val="0"/>
                <w:color w:val="FFFFFF"/>
                <w:sz w:val="21"/>
                <w:szCs w:val="21"/>
              </w:rPr>
              <w:t>AI全自动核查条目</w:t>
            </w:r>
            <w:r>
              <w:rPr>
                <w:rFonts w:hint="eastAsia" w:ascii="Calibri" w:hAnsi="Arial" w:eastAsia="宋体" w:cs="Arial"/>
                <w:b/>
                <w:i w:val="0"/>
                <w:color w:val="FFFFFF"/>
                <w:sz w:val="21"/>
                <w:szCs w:val="21"/>
                <w:lang w:val="en-US" w:eastAsia="zh-CN"/>
              </w:rPr>
              <w:t>)</w:t>
            </w:r>
          </w:p>
        </w:tc>
        <w:tc>
          <w:tcPr>
            <w:tcW w:w="117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CE5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核查结果</w:t>
            </w:r>
          </w:p>
          <w:p w14:paraId="7589AB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libri" w:eastAsia="宋体"/>
                <w:b/>
                <w:i w:val="0"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Calibri" w:eastAsia="宋体"/>
                <w:b/>
                <w:i w:val="0"/>
                <w:color w:val="FFFFFF"/>
                <w:sz w:val="21"/>
                <w:szCs w:val="21"/>
                <w:lang w:eastAsia="zh-CN"/>
              </w:rPr>
              <w:t>（</w:t>
            </w: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合格/存在问题/待核实</w:t>
            </w:r>
            <w:r>
              <w:rPr>
                <w:rFonts w:hint="eastAsia" w:ascii="Calibri" w:eastAsia="宋体"/>
                <w:b/>
                <w:i w:val="0"/>
                <w:color w:val="FFFFFF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12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4CA1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问题位置</w:t>
            </w:r>
          </w:p>
          <w:p w14:paraId="17A714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（页码/段落）</w:t>
            </w:r>
          </w:p>
        </w:tc>
        <w:tc>
          <w:tcPr>
            <w:tcW w:w="11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8471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问题</w:t>
            </w:r>
          </w:p>
          <w:p w14:paraId="28E4E3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简述</w:t>
            </w:r>
          </w:p>
        </w:tc>
        <w:tc>
          <w:tcPr>
            <w:tcW w:w="127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4874CB" w:themeFill="accent1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7C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整改</w:t>
            </w:r>
          </w:p>
          <w:p w14:paraId="09D714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</w:pPr>
            <w:r>
              <w:rPr>
                <w:rFonts w:ascii="Calibri" w:eastAsia="宋体"/>
                <w:b/>
                <w:i w:val="0"/>
                <w:color w:val="FFFFFF"/>
                <w:sz w:val="21"/>
                <w:szCs w:val="21"/>
              </w:rPr>
              <w:t>建议</w:t>
            </w:r>
          </w:p>
        </w:tc>
      </w:tr>
      <w:tr w14:paraId="391C502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4874CB" w:themeColor="accent1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7B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一、2026国赛AI新规合规</w:t>
            </w:r>
          </w:p>
        </w:tc>
        <w:tc>
          <w:tcPr>
            <w:tcW w:w="3705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1B10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AI自动核查1：核心建模AI主导痕迹检测。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自动识别模型构建、公式推导、机理分析、求解逻辑等核心板块，精准判定核心建模与核心分析是否存在重度AI主导生成痕迹，核查是否违反“人工主导核心建模”官方硬性规则</w:t>
            </w:r>
          </w:p>
        </w:tc>
        <w:tc>
          <w:tcPr>
            <w:tcW w:w="1173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0B9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20C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C0A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4874CB" w:themeColor="accent1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3327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4248432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3F7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3D23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AI自动核查2：核心写作AI痕迹筛查。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智能检测摘要、建模分析、结果论述、结论总结等核心写作板块，识别模板化文风、无个性化思考、AI通用套话堆砌等典型AI写作痕迹，判定核心内容是否过度依赖AI生成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0FC3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200D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561B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B9A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01C44DD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DB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0A8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AI自动核查3：AI声明真实性匹配核查。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自动比对全文AI使用痕迹与论文AI使用声明，筛查瞒报、漏报、虚假声明、用途不符等合规问题，排查刻意隐藏AI使用痕迹的违规行为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0195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7CFF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0AB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818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75C696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5C1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B27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AI自动核查4：AI内容人工核验痕迹检测。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筛查所有AI生成段落，识别原生未修改、无场景适配、无人工打磨的纯AI内容，排查直接提交未校验AI核心内容的官方违规问题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1EA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35E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649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2C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72195F8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FED09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Arial" w:eastAsia="等线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二、AI幻觉与数据真实性</w:t>
            </w:r>
            <w:r>
              <w:rPr>
                <w:rFonts w:hint="eastAsia" w:ascii="Arial" w:hAnsi="Arial" w:eastAsia="等线" w:cs="Arial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  <w:t>核查</w:t>
            </w: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94BA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AI自动核查1：原始数据真实性核查。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自动校验全文数据是否完全源自赛题原题，无虚构、篡改、私自新增题目外数据、修改数据精度等AI幻觉问题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B2C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F95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working/附件结构审计.json；results/复现清单.json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620C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附件1–4行数、字段与题面一致，附件1及result1模板已记录SHA-256；附件2/3/4未记录哈希，“365天”与“输出334天”并存需说明。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E832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补全附件2/3/4溯源哈希；论文明确1月为热启动期、2–12月为输出期。</w:t>
            </w:r>
          </w:p>
        </w:tc>
      </w:tr>
      <w:tr w14:paraId="346599C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F7E3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8F9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AI自动核查2：文献与结论真实性核查。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智能排查参考文献、行业结论、仿真数据是否真实有效，无AI编造虚假文献、虚假行业结论、虚假实验成果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198C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待核实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21C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docs/三_模型选择阶段.md 末尾候选文献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1E292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8条候选文献经典可追溯、DOI格式规范；项目记忆标注双引擎检索部分未交叉匹配，目前为候选文献、尚未写入正文。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6651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定稿前逐条打开DOI核对作者、题名、年份、卷期页后再引用。</w:t>
            </w:r>
          </w:p>
        </w:tc>
      </w:tr>
      <w:tr w14:paraId="110F8E2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EBF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4B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AI自动核查3：图表数值匹配核查。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自动比对所有图表、表格、拟合结果、公式数值与原始计算数据，排查AI凭空造数、制图、数值前后不匹配问题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docs/七_结果分析阶段.md；results/问题2至4_结果分析统计.json；results/问题二至四模型检验/检验摘要.json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结果分析、模型检验和正式结果采用同一批动态净负荷分位数结果；四种策略总成本、逐日统计、分位数轨迹、约束残差及扰动指标均可回溯到CSV或JSON。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论文撰写时从当前结果文件生成图表，并人工核对图题、单位和正文引用。</w:t>
            </w:r>
          </w:p>
        </w:tc>
      </w:tr>
      <w:tr w14:paraId="569E7DA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190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9D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AI自动核查4：逻辑因果真实性核查。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自动检测全文推导逻辑、因果关系，排查AI强行关联、虚假因果、无依据得出结论的致命问题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docs/七_结果分析阶段.md；问题二至四_模型检验.md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结论按当前正式基准重新核对：问题三相对问题二节省1.722%，问题四滚动分支相对日前分支节省1.658%；扰动检验明确区分数值可行与性能稳定。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论文撰写时继续保留价格信息前提、并网容量边界及冻结压力检验口径。</w:t>
            </w:r>
          </w:p>
        </w:tc>
      </w:tr>
      <w:tr w14:paraId="3769B8F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EC33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三、建模逻辑与题意适配</w:t>
            </w:r>
            <w:r>
              <w:rPr>
                <w:rFonts w:hint="eastAsia" w:ascii="Arial" w:hAnsi="Arial" w:eastAsia="等线" w:cs="Arial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  <w:t>度核查</w:t>
            </w: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EA09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AI自动核查1：题意理解准确性核查。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自动判定论文是否精准匹配赛题背景、核心要求、约束条件，无场景错配、题意误读、核心条件遗漏问题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877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A00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C题.pdf 对照 问题1_求解说明.md、问题2至4_求解说明.md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BC9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四问题意、附件使用、结果文件命名均一致；问题4电价可见性题面未明说，当前按0:00已知全天144点实现并已披露。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237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论文明示问题4电价信息假设（0:00已知全天或仅历史可见）。</w:t>
            </w:r>
          </w:p>
        </w:tc>
      </w:tr>
      <w:tr w14:paraId="29C36A2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8B6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A09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AI自动核查2：建模逻辑自洽核查。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全自动检测全文建模假设、推导过程、求解逻辑是否自洽统一，无前后矛盾、逻辑断裂、推导跳跃问题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模型假设.md 第5条；q234_solve.py 的 _dispatch_milp、solve_day_ahead、solve_rolling；独立跨日审计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问题2—4已统一为混合整数规划；二元变量与有限功率上界严格保证充放电互斥。SOC按实际末状态传递至次日，不再逐日强制首末相等，仅在整个计算区间末端回到6000 kWh。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保留跨日衔接、全年末端状态和二元互斥的自动化回归测试。</w:t>
            </w:r>
          </w:p>
        </w:tc>
      </w:tr>
      <w:tr w14:paraId="1734DE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AE9E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F8F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AI自动核查3：全子问题闭环核查。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自动核对赛题所有子问题，排查漏题、空白作答、子问题未建模、未求解、未回应的基础扣分问题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0E0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3FA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results/result1–4-3.xlsx；问题2至4_求解说明.md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C24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问题1–4均有建模、求解、结果与检验；问题3已回应是否引入其他预报（VOI为负，不建议增加）。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5807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论文四问逐一给出对应表与结果文件，勿遗漏问题3的VOI结论。</w:t>
            </w:r>
          </w:p>
        </w:tc>
      </w:tr>
      <w:tr w14:paraId="6FAC132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CC5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520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AI自动核查4：模型选型适配核查。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自动判定模型是否贴合本题场景，无盲目堆砌高阶模型、通用模板模型，模型与问题匹配度合规合理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D8A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7891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docs/三_模型选择阶段.md、docs/七_结果分析阶段.md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2E6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确定性问题用MILP/LP，预测用相似日/分位数/官方预报因果更新；CVaR/DRO/Copula仅作备选，未盲目堆砌。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F72A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宋体" w:hAnsi="宋体" w:eastAsia="宋体"/>
                <w:sz w:val="18"/>
              </w:rPr>
              <w:t>论文避免把备选高阶方案写成已实现结果，保证模型与结果对应。</w:t>
            </w:r>
          </w:p>
        </w:tc>
      </w:tr>
      <w:tr w14:paraId="3587BE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4A7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04D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AI自动核查5：约束条件纳入核查。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自动检测题目关键约束、限定条件是否全部纳入建模，无脱离题目硬性条件建模的问题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合格（并网容量待说明）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q234_solve.py 的 _dispatch_milp；问题2至4_求解说明.md 关键口径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SOC、功率、效率、5倍、1.5倍、0.5倍、弃光、禁售和问题1首末相等均已纳入；问题2—4改为跨日连续且仅全年末端回归，并以二元状态严格互斥。题目未给并网购电功率上限。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论文声明未设置并网购电功率上限的假设，并在获得设备或并网参数后补做上限敏感性分析。</w:t>
            </w:r>
          </w:p>
        </w:tc>
      </w:tr>
      <w:tr w14:paraId="05DFAC1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93C0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四、</w:t>
            </w:r>
            <w:r>
              <w:rPr>
                <w:rFonts w:hint="eastAsia" w:ascii="Arial" w:hAnsi="Arial" w:eastAsia="等线" w:cs="Arial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  <w:t>模型</w:t>
            </w: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求解</w:t>
            </w:r>
            <w:r>
              <w:rPr>
                <w:rFonts w:hint="eastAsia" w:ascii="Arial" w:hAnsi="Arial" w:eastAsia="等线" w:cs="Arial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  <w:t>及</w:t>
            </w: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结果合理性</w:t>
            </w:r>
            <w:r>
              <w:rPr>
                <w:rFonts w:hint="eastAsia" w:ascii="Arial" w:hAnsi="Arial" w:eastAsia="等线" w:cs="Arial"/>
                <w:b/>
                <w:bCs/>
                <w:i w:val="0"/>
                <w:color w:val="000000"/>
                <w:sz w:val="26"/>
                <w:szCs w:val="26"/>
                <w:lang w:val="en-US" w:eastAsia="zh-CN"/>
              </w:rPr>
              <w:t>核查</w:t>
            </w: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54D0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AI自动核查1：结果常识合理性核查。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自动校验所有计算结果是否符合客观常识、行业规律、赛题背景，无异常数值、常识性错误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results/问题1_求解摘要.json；results/问题2至4_运行摘要.json；results/问题二至四模型检验/检验摘要.json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问题二至四正式评价期总成本为1641.35、1613.09、1714.88和1686.44万元；四种策略供需与SOC残差均小于1e-11 kWh，SOC范围、互斥和跨日衔接均通过独立回代。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保留年度总量、逐日极值和异常日期的人工复核，并在论文撰写时核对单位换算。</w:t>
            </w:r>
          </w:p>
        </w:tc>
      </w:tr>
      <w:tr w14:paraId="3323DE2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6A3B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EE4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AI自动核查2：求解方法适配核查。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自动判定求解方式与模型类型是否匹配，无求解方法误用导致结果失效、逻辑错误的问题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problem1_solve.py、q234_solve.py；问题2至4_运行摘要.json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问题1和问题2—4均采用HiGHS混合整数规划。问题2—4执行两层词典序优化：首层最小化题目费用，次层在首层最优费用容差内最小化吞吐量；结果另行独立回代。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持续记录求解状态、最优容差、约束残差、跨日衔接和全年末端SOC。</w:t>
            </w:r>
          </w:p>
        </w:tc>
      </w:tr>
      <w:tr w14:paraId="7887D7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6C0A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08FF3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AI自动核查3：参数取值合规核查。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自动检测关键参数取值是否有合理依据，无随意赋值、无依据乱设参数的问题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合格</w:t>
            </w: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q234_solve.py 的 DynamicQuantileParameters；q234_validate.py；问题二至四_模型检验.md</w:t>
            </w: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日前分支不再固定使用负荷0.80、光伏0.20，而是直接预测净负荷，并在0.50—0.95候选集中依据近期样本外平均成本、尾部成本及切换惩罚逐日选择；选择只使用决策日前历史。</w:t>
            </w: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保留候选集、验证窗、风险权重和稳定权重的配置记录；论文撰写时说明其因果选参流程。</w:t>
            </w:r>
          </w:p>
        </w:tc>
      </w:tr>
      <w:tr w14:paraId="1CDD614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4E0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五、官方写作规范全自动核查</w:t>
            </w: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6804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AI自动核查1：摘要官方合规核查。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自动检测摘要是否单独一页、不跨页、不溢出，字数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80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0-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00字，包含量化结果、核心模型、创新点，无空泛套话，严格符合官方摘要要求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7C1A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14DD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62E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FE6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28FCA65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1F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922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AI自动核查2：全文结构完整性核查。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自动校验论文是否完整包含题目、关键词、摘要、问题重述、问题分析、模型假设、符号说明、建模求解、结果分析、模型检验、优缺点、参考文献全模块，无结构缺失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A99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5D7B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268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286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1D58CF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7AB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508E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AI自动核查3：核心检验完整性核查。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自动排查是否包含误差分析、灵敏度分析、稳健性分析三大必备检验，无核心模块缺失扣分问题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146A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6A578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94BF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B678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6B44D35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BAF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2A00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AI自动核查4：内容呼应性核查。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自动检测摘要、结论、结果、建模过程是否完全呼应，无前后矛盾、内容脱节、结论无支撑的写作问题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4A0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F20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9530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C97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62C191F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AD3F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3B3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AI自动核查5：模型假设合规核查。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自动检测模型假设数量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4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-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条、贴合题意、合理简化，无过度简化、无效假设、致命假设问题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8727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1AEE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70D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A447B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63DC0C7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109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E36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AI自动核查6：写作同质化核查。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自动排查全文是否存在大面积AI通用套话、万能模板段落，核心内容是否为本题专属写作，无同质化敷衍内容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1F1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022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8F0A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3E7D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77CFD3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restart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70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/>
                <w:bCs/>
                <w:i w:val="0"/>
                <w:color w:val="000000"/>
                <w:sz w:val="26"/>
                <w:szCs w:val="26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6"/>
                <w:szCs w:val="26"/>
              </w:rPr>
              <w:t>六、官方排版&amp;页数全自动核查</w:t>
            </w: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D1B1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Arial" w:eastAsia="等线"/>
                <w:b w:val="0"/>
                <w:i w:val="0"/>
                <w:color w:val="000000"/>
                <w:sz w:val="22"/>
                <w:lang w:eastAsia="zh-CN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AI自动核查1：正文页数合规核查。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自动统计正文页数（不含封面/附录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等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），核查是否处于官方合规区间20-32页，最优25-30页，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val="en-US" w:eastAsia="zh-CN"/>
              </w:rPr>
              <w:t>尽量不要超30页，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杜绝页数不足、超标扣分问题</w:t>
            </w:r>
            <w:r>
              <w:rPr>
                <w:rFonts w:hint="eastAsia" w:ascii="Arial" w:hAnsi="Arial" w:eastAsia="等线" w:cs="Arial"/>
                <w:b w:val="0"/>
                <w:i w:val="0"/>
                <w:color w:val="000000"/>
                <w:sz w:val="22"/>
                <w:lang w:eastAsia="zh-CN"/>
              </w:rPr>
              <w:t>。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D4D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9198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33D7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08FF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7E2FAB1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2CA0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C5F57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AI自动核查2：全局格式统一性核查。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自动检测字体、字号、行距、缩进、页边距全文统一，标题层级编号连续，无错乱、跳号、重号问题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C5F6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183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1C96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35AC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61276D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AD6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EC15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AI自动核查3：图表公式排版核查。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自动校验三线表规范、图片高清合规、公式居中编号规范、图文对应，无排版错乱、格式错误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1DA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DED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A2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B5C7EA" w:themeColor="accent1" w:themeTint="66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339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  <w:tr w14:paraId="3E8A910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85" w:type="dxa"/>
            <w:vMerge w:val="continue"/>
            <w:tcBorders>
              <w:top w:val="single" w:color="B5C7EA" w:themeColor="accent1" w:themeTint="66" w:sz="6" w:space="0"/>
              <w:left w:val="single" w:color="4874CB" w:themeColor="accent1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0F11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3705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69F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left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  <w:r>
              <w:rPr>
                <w:rFonts w:ascii="Arial" w:hAnsi="Arial" w:eastAsia="等线" w:cs="Arial"/>
                <w:b/>
                <w:bCs/>
                <w:i w:val="0"/>
                <w:color w:val="000000"/>
                <w:sz w:val="22"/>
              </w:rPr>
              <w:t>AI自动核查4：匿名合规核查。</w:t>
            </w:r>
            <w:r>
              <w:rPr>
                <w:rFonts w:ascii="Arial" w:hAnsi="Arial" w:eastAsia="等线" w:cs="Arial"/>
                <w:b w:val="0"/>
                <w:i w:val="0"/>
                <w:color w:val="000000"/>
                <w:sz w:val="22"/>
              </w:rPr>
              <w:t>自动筛查全文是否存在学校、姓名、队伍、隐私信息，彻底符合国赛匿名评审规则</w:t>
            </w:r>
          </w:p>
        </w:tc>
        <w:tc>
          <w:tcPr>
            <w:tcW w:w="1173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BF4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0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4CF7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187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B5C7EA" w:themeColor="accent1" w:themeTint="66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937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  <w:tc>
          <w:tcPr>
            <w:tcW w:w="1270" w:type="dxa"/>
            <w:tcBorders>
              <w:top w:val="single" w:color="B5C7EA" w:themeColor="accent1" w:themeTint="66" w:sz="6" w:space="0"/>
              <w:left w:val="single" w:color="B5C7EA" w:themeColor="accent1" w:themeTint="66" w:sz="6" w:space="0"/>
              <w:bottom w:val="single" w:color="4874CB" w:themeColor="accent1" w:sz="6" w:space="0"/>
              <w:right w:val="single" w:color="4874CB" w:themeColor="accent1" w:sz="6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CA7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57" w:beforeLines="50" w:after="157" w:afterLines="50" w:line="240" w:lineRule="auto"/>
              <w:ind w:left="0" w:leftChars="0" w:right="0" w:rightChars="0" w:firstLine="0" w:firstLineChars="0"/>
              <w:jc w:val="center"/>
              <w:textAlignment w:val="auto"/>
              <w:rPr>
                <w:rFonts w:ascii="Arial" w:eastAsia="等线"/>
                <w:b w:val="0"/>
                <w:i w:val="0"/>
                <w:color w:val="000000"/>
                <w:sz w:val="22"/>
              </w:rPr>
            </w:pPr>
          </w:p>
        </w:tc>
      </w:tr>
    </w:tbl>
    <w:p w14:paraId="053FA10A">
      <w:pPr>
        <w:rPr>
          <w:rFonts w:ascii="Arial" w:hAnsi="Arial" w:eastAsia="等线" w:cs="Arial"/>
          <w:b/>
          <w:sz w:val="32"/>
        </w:rPr>
      </w:pPr>
      <w:bookmarkStart w:id="1" w:name="heading_3"/>
      <w:r>
        <w:rPr>
          <w:rFonts w:ascii="Arial" w:hAnsi="Arial" w:eastAsia="等线" w:cs="Arial"/>
          <w:b/>
          <w:sz w:val="32"/>
        </w:rPr>
        <w:br w:type="page"/>
      </w:r>
    </w:p>
    <w:p w14:paraId="42DF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  <w:outlineLvl w:val="1"/>
      </w:pPr>
      <w:r>
        <w:rPr>
          <w:rFonts w:hint="eastAsia" w:ascii="Arial" w:hAnsi="Arial" w:eastAsia="等线" w:cs="Arial"/>
          <w:b/>
          <w:sz w:val="32"/>
          <w:lang w:val="en-US" w:eastAsia="zh-CN"/>
        </w:rPr>
        <w:t>标准</w:t>
      </w:r>
      <w:r>
        <w:rPr>
          <w:rFonts w:ascii="Arial" w:hAnsi="Arial" w:eastAsia="等线" w:cs="Arial"/>
          <w:b/>
          <w:sz w:val="32"/>
        </w:rPr>
        <w:t>版·AI全自动自查总结报告</w:t>
      </w:r>
      <w:bookmarkEnd w:id="1"/>
    </w:p>
    <w:p w14:paraId="79D409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  <w:rPr>
          <w:rFonts w:hint="eastAsia" w:ascii="Arial" w:hAnsi="Arial" w:eastAsia="等线" w:cs="Arial"/>
          <w:b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sz w:val="22"/>
          <w:lang w:val="en-US" w:eastAsia="zh-CN"/>
        </w:rPr>
        <w:t>1.自查结果汇总表</w:t>
      </w:r>
    </w:p>
    <w:p w14:paraId="044FDE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  <w:rPr>
          <w:rFonts w:hint="default" w:ascii="Arial" w:hAnsi="Arial" w:eastAsia="等线" w:cs="Arial"/>
          <w:b/>
          <w:sz w:val="22"/>
          <w:lang w:val="en-US" w:eastAsia="zh-CN"/>
        </w:rPr>
      </w:pPr>
      <w:r>
        <w:rPr>
          <w:rFonts w:hint="eastAsia" w:ascii="Arial" w:hAnsi="Arial" w:eastAsia="等线" w:cs="Arial"/>
          <w:b/>
          <w:sz w:val="22"/>
          <w:lang w:val="en-US" w:eastAsia="zh-CN"/>
        </w:rPr>
        <w:t>（给出本次论文AI自查结果汇总统计表）</w:t>
      </w:r>
    </w:p>
    <w:p w14:paraId="09A9DD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</w:pP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 xml:space="preserve">. </w:t>
      </w:r>
      <w:r>
        <w:rPr>
          <w:rFonts w:ascii="Arial" w:hAnsi="Arial" w:eastAsia="等线" w:cs="Arial"/>
          <w:b/>
          <w:sz w:val="22"/>
        </w:rPr>
        <w:t>整体合规判定</w:t>
      </w:r>
      <w:r>
        <w:rPr>
          <w:rFonts w:ascii="Arial" w:hAnsi="Arial" w:eastAsia="等线" w:cs="Arial"/>
          <w:sz w:val="22"/>
        </w:rPr>
        <w:t>：_________________________________________________________________</w:t>
      </w:r>
    </w:p>
    <w:p w14:paraId="649A71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</w:pP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 xml:space="preserve">. </w:t>
      </w:r>
      <w:r>
        <w:rPr>
          <w:rFonts w:ascii="Arial" w:hAnsi="Arial" w:eastAsia="等线" w:cs="Arial"/>
          <w:b/>
          <w:sz w:val="22"/>
        </w:rPr>
        <w:t>问题分级汇总（致命扣分/一般缺陷/轻微瑕疵）</w:t>
      </w:r>
      <w:r>
        <w:rPr>
          <w:rFonts w:ascii="Arial" w:hAnsi="Arial" w:eastAsia="等线" w:cs="Arial"/>
          <w:sz w:val="22"/>
        </w:rPr>
        <w:t>：_________________________________________________________________</w:t>
      </w:r>
    </w:p>
    <w:p w14:paraId="365D43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</w:pPr>
      <w:r>
        <w:rPr>
          <w:rFonts w:hint="eastAsia" w:ascii="Arial" w:hAnsi="Arial" w:eastAsia="等线" w:cs="Arial"/>
          <w:sz w:val="22"/>
          <w:lang w:val="en-US" w:eastAsia="zh-CN"/>
        </w:rPr>
        <w:t>4</w:t>
      </w:r>
      <w:r>
        <w:rPr>
          <w:rFonts w:ascii="Arial" w:hAnsi="Arial" w:eastAsia="等线" w:cs="Arial"/>
          <w:sz w:val="22"/>
        </w:rPr>
        <w:t xml:space="preserve">. </w:t>
      </w:r>
      <w:r>
        <w:rPr>
          <w:rFonts w:ascii="Arial" w:hAnsi="Arial" w:eastAsia="等线" w:cs="Arial"/>
          <w:b/>
          <w:sz w:val="22"/>
        </w:rPr>
        <w:t>优先级整改清单（按扣分权重排序）</w:t>
      </w:r>
      <w:r>
        <w:rPr>
          <w:rFonts w:ascii="Arial" w:hAnsi="Arial" w:eastAsia="等线" w:cs="Arial"/>
          <w:sz w:val="22"/>
        </w:rPr>
        <w:t>：_________________________________________________________________</w:t>
      </w:r>
    </w:p>
    <w:p w14:paraId="69587A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ind w:left="0"/>
        <w:jc w:val="left"/>
        <w:textAlignment w:val="auto"/>
      </w:pPr>
      <w:r>
        <w:rPr>
          <w:rFonts w:hint="eastAsia" w:ascii="Arial" w:hAnsi="Arial" w:eastAsia="等线" w:cs="Arial"/>
          <w:sz w:val="22"/>
          <w:lang w:val="en-US" w:eastAsia="zh-CN"/>
        </w:rPr>
        <w:t>5</w:t>
      </w:r>
      <w:r>
        <w:rPr>
          <w:rFonts w:ascii="Arial" w:hAnsi="Arial" w:eastAsia="等线" w:cs="Arial"/>
          <w:sz w:val="22"/>
        </w:rPr>
        <w:t xml:space="preserve">. </w:t>
      </w:r>
      <w:r>
        <w:rPr>
          <w:rFonts w:ascii="Arial" w:hAnsi="Arial" w:eastAsia="等线" w:cs="Arial"/>
          <w:b/>
          <w:sz w:val="22"/>
        </w:rPr>
        <w:t>官方规范适配度与潜在风险预警</w:t>
      </w:r>
      <w:r>
        <w:rPr>
          <w:rFonts w:ascii="Arial" w:hAnsi="Arial" w:eastAsia="等线" w:cs="Arial"/>
          <w:sz w:val="22"/>
        </w:rPr>
        <w:t>：_________________________________________________________________</w:t>
      </w:r>
    </w:p>
    <w:p w14:paraId="26B5B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240" w:lineRule="auto"/>
        <w:textAlignment w:val="auto"/>
      </w:pPr>
    </w:p>
    <w:p w14:paraId="5808C0F1">
      <w:pPr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pacing w:before="0" w:beforeLines="50" w:after="0" w:afterLines="50" w:line="360" w:lineRule="auto"/>
        <w:ind w:left="0"/>
        <w:jc w:val="left"/>
        <w:textAlignment w:val="auto"/>
        <w:rPr>
          <w:rFonts w:hint="eastAsia" w:ascii="等线" w:hAnsi="等线" w:eastAsia="等线" w:cs="等线"/>
          <w:b/>
          <w:bCs/>
          <w:color w:val="0000FF"/>
          <w:lang w:val="en-US" w:eastAsia="zh-CN"/>
        </w:rPr>
      </w:pPr>
      <w:r>
        <w:rPr>
          <w:rFonts w:hint="eastAsia" w:ascii="等线" w:hAnsi="等线" w:eastAsia="等线" w:cs="等线"/>
          <w:b/>
          <w:bCs/>
          <w:color w:val="0000FF"/>
          <w:lang w:val="en-US" w:eastAsia="zh-CN"/>
        </w:rPr>
        <w:t>自查结束后，请将上述全部输出内容进行排版和可视化优化等，确保排版规范、美观度高且内容丰富等！将全部输出内容以Word+PDF版本输出，并给出HTML精美版本及HTML对应的PDF版本！</w:t>
      </w: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CF281B">
    <w:pPr>
      <w:pStyle w:val="4"/>
      <w:jc w:val="center"/>
      <w:rPr>
        <w:rFonts w:hint="default" w:eastAsiaTheme="minorEastAsia"/>
        <w:b/>
        <w:bCs/>
        <w:color w:val="FF0000"/>
        <w:lang w:val="en-US" w:eastAsia="zh-C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725FA5"/>
    <w:rsid w:val="0622059D"/>
    <w:rsid w:val="069262A4"/>
    <w:rsid w:val="0ACF5233"/>
    <w:rsid w:val="10797237"/>
    <w:rsid w:val="240750AB"/>
    <w:rsid w:val="267B5952"/>
    <w:rsid w:val="2C50163A"/>
    <w:rsid w:val="2D725FA5"/>
    <w:rsid w:val="3DA373EB"/>
    <w:rsid w:val="50FD7827"/>
    <w:rsid w:val="64D272F5"/>
    <w:rsid w:val="69EB1FDC"/>
    <w:rsid w:val="79BA7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jc w:val="left"/>
      <w:outlineLvl w:val="0"/>
    </w:pPr>
    <w:rPr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2219</Words>
  <Characters>2584</Characters>
  <Lines>0</Lines>
  <Paragraphs>0</Paragraphs>
  <TotalTime>167</TotalTime>
  <ScaleCrop>false</ScaleCrop>
  <LinksUpToDate>false</LinksUpToDate>
  <CharactersWithSpaces>2588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2026-08-18T07:44:00Z</dcterms:created>
  <dc:creator>数学建模老哥团队</dc:creator>
  <cp:lastModifiedBy>蚂蚁科研</cp:lastModifiedBy>
  <dcterms:modified xsi:type="dcterms:W3CDTF">2026-08-19T02:15:19Z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6439A7DC4BD548F585332B1A50425029_13</vt:lpwstr>
  </property>
  <property fmtid="{D5CDD505-2E9C-101B-9397-08002B2CF9AE}" pid="4" name="KSOTemplateDocerSaveRecord">
    <vt:lpwstr>eyJoZGlkIjoiMTExNzFiNzAyOThjYjY1MTRhN2I1YjEwNzgzY2EzODUiLCJ1c2VySWQiOiIyNzg5NDI3MjYifQ==</vt:lpwstr>
  </property>
</Properties>
</file>