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问题一数学模型完整建模说明</w:t>
      </w:r>
    </w:p>
    <w:p>
      <w:pPr>
        <w:spacing w:after="360"/>
        <w:jc w:val="center"/>
      </w:pPr>
      <w:r>
        <w:rPr>
          <w:rFonts w:ascii="Times New Roman" w:hAnsi="Times New Roman" w:eastAsia="宋体"/>
          <w:color w:val="000000"/>
          <w:sz w:val="26"/>
        </w:rPr>
        <w:t>确定性单日微网购电与储能联合调度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本文针对第一问建立含充放电互斥、弃光变量、储能效率和终端电量约束的改进混合整数线性规划模型。模型以10分钟为决策粒度，在确保小区负荷完全满足、储能安全运行且日初日末电量相等的条件下，联合优化外部电网购电和储能充放电，使全天购电费用最小。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模型直接使用处理后的144条附件1数据。经质量检查，附件1不存在数值缺失、负功率、负电价或四分位距候选异常，因此不需要插值、删除或异常值替换；优化阶段保留千瓦、千瓦时和元每千瓦时等原始物理单位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核心结论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第一问属于具有时序耦合约束的单目标优化问题。除充放电状态互斥需要二元变量外，目标函数、供需平衡、储能递推、容量边界和功率约束均为线性关系，因此采用混合整数线性规划既能严格反映物理运行规律，又能获得可复现的全局最优解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内容结构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一  问题重述与模型选择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二  模型准备与处理后数据诊断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三  参数与变量定义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四  模型假设及其合理性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五  核心公式推导与完整优化模型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六  建模流程 求解步骤 结果校验与输出映射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一 问题重述与模型选择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已知某日每隔10分钟的外部电网购电价格、小区负荷功率和光伏预测功率，以及储能容量、充放电功率、效率与初始电量。需要决定各时段的电网购电量、储能充电量、储能放电量、弃光量和储能状态。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所制定方案必须保证每个时段的负荷均被完全满足，储能电量始终位于安全区间，充放电功率不超过额定功率，同一时段不同时充放电，并且0:00与24:00储能电量相等。在满足这些条件的全部方案中选择全天购电费用最低的方案。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普通线性规划不能直接表达严格的充放电互斥逻辑；动态规划需要离散储能状态并可能产生离散误差；启发式算法不能保证全局最优。因此，以混合整数线性规划作为正式主模型，以无储能方案和线性松弛作为验证基准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二 模型准备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2.1 时间离散与能量换算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将一天划分为144个连续的10分钟时段，时段集合记为T={1,2,…,144}。单个时段长度为：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1537" cy="540689"/>
                  <wp:docPr id="1" name="Picture 1" descr="公式1 时段长度" title="公式1 时段长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537" cy="540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附件中负荷和光伏的单位为千瓦，而结果文件要求购电量和充放电量以千瓦时表示，因此将功率乘以时段长度：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72608" cy="572494"/>
                  <wp:docPr id="2" name="Picture 2" descr="公式2 功率到时段电量的转换" title="公式2 功率到时段电量的转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608" cy="5724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（2）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如果遗漏除以6的换算，储能状态和购电量会被放大6倍，是第一问最常见的量纲错误。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2.2 数据质量与使用原则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74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223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处理后结果</w:t>
            </w:r>
          </w:p>
        </w:tc>
        <w:tc>
          <w:tcPr>
            <w:tcW w:type="dxa" w:w="33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建模处理</w:t>
            </w:r>
          </w:p>
        </w:tc>
      </w:tr>
      <w:tr>
        <w:trPr>
          <w:cantSplit/>
        </w:trPr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总时段数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144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7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数值型缺失记录</w:t>
            </w:r>
          </w:p>
        </w:tc>
        <w:tc>
          <w:tcPr>
            <w:tcW w:type="dxa" w:w="223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38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无需填补</w:t>
            </w:r>
          </w:p>
        </w:tc>
      </w:tr>
      <w:tr>
        <w:trPr>
          <w:cantSplit/>
        </w:trPr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四分位距候选异常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无需修正</w:t>
            </w:r>
          </w:p>
        </w:tc>
      </w:tr>
      <w:tr>
        <w:trPr>
          <w:cantSplit/>
        </w:trPr>
        <w:tc>
          <w:tcPr>
            <w:tcW w:type="dxa" w:w="37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负功率或负电价</w:t>
            </w:r>
          </w:p>
        </w:tc>
        <w:tc>
          <w:tcPr>
            <w:tcW w:type="dxa" w:w="223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38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日期时段键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7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优化变量是否标准化</w:t>
            </w:r>
          </w:p>
        </w:tc>
        <w:tc>
          <w:tcPr>
            <w:tcW w:type="dxa" w:w="223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338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保留物理量纲</w:t>
            </w:r>
          </w:p>
        </w:tc>
      </w:tr>
    </w:tbl>
    <w:p>
      <w:pPr>
        <w:spacing w:after="40"/>
      </w:pP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距离类和机器学习预测模型可以使用标准分数，但第一问优化模型不得使用标准化后的功率或电量，否则1200至10800千瓦时的储能边界和5000千瓦的功率上限将失去物理意义。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2.3 处理后数据诊断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50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50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全天负荷电量</w:t>
            </w:r>
          </w:p>
        </w:tc>
        <w:tc>
          <w:tcPr>
            <w:tcW w:type="dxa" w:w="43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111024.8081 千瓦时</w:t>
            </w:r>
          </w:p>
        </w:tc>
      </w:tr>
      <w:tr>
        <w:trPr>
          <w:cantSplit/>
        </w:trPr>
        <w:tc>
          <w:tcPr>
            <w:tcW w:type="dxa" w:w="504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全天光伏预测电量</w:t>
            </w:r>
          </w:p>
        </w:tc>
        <w:tc>
          <w:tcPr>
            <w:tcW w:type="dxa" w:w="43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55482.8357 千瓦时</w:t>
            </w:r>
          </w:p>
        </w:tc>
      </w:tr>
      <w:tr>
        <w:trPr>
          <w:cantSplit/>
        </w:trPr>
        <w:tc>
          <w:tcPr>
            <w:tcW w:type="dxa" w:w="50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负荷减光伏的代数和</w:t>
            </w:r>
          </w:p>
        </w:tc>
        <w:tc>
          <w:tcPr>
            <w:tcW w:type="dxa" w:w="43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55541.9724 千瓦时</w:t>
            </w:r>
          </w:p>
        </w:tc>
      </w:tr>
      <w:tr>
        <w:trPr>
          <w:cantSplit/>
        </w:trPr>
        <w:tc>
          <w:tcPr>
            <w:tcW w:type="dxa" w:w="504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最大正净负荷</w:t>
            </w:r>
          </w:p>
        </w:tc>
        <w:tc>
          <w:tcPr>
            <w:tcW w:type="dxa" w:w="43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826.0833 千瓦时每时段</w:t>
            </w:r>
          </w:p>
        </w:tc>
      </w:tr>
      <w:tr>
        <w:trPr>
          <w:cantSplit/>
        </w:trPr>
        <w:tc>
          <w:tcPr>
            <w:tcW w:type="dxa" w:w="50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最大光伏富余</w:t>
            </w:r>
          </w:p>
        </w:tc>
        <w:tc>
          <w:tcPr>
            <w:tcW w:type="dxa" w:w="43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352.9209 千瓦时每时段</w:t>
            </w:r>
          </w:p>
        </w:tc>
      </w:tr>
      <w:tr>
        <w:trPr>
          <w:cantSplit/>
        </w:trPr>
        <w:tc>
          <w:tcPr>
            <w:tcW w:type="dxa" w:w="504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光伏富余时段数</w:t>
            </w:r>
          </w:p>
        </w:tc>
        <w:tc>
          <w:tcPr>
            <w:tcW w:type="dxa" w:w="43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50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光伏富余总量</w:t>
            </w:r>
          </w:p>
        </w:tc>
        <w:tc>
          <w:tcPr>
            <w:tcW w:type="dxa" w:w="43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6247.9630 千瓦时</w:t>
            </w:r>
          </w:p>
        </w:tc>
      </w:tr>
      <w:tr>
        <w:trPr>
          <w:cantSplit/>
        </w:trPr>
        <w:tc>
          <w:tcPr>
            <w:tcW w:type="dxa" w:w="504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最低电价</w:t>
            </w:r>
          </w:p>
        </w:tc>
        <w:tc>
          <w:tcPr>
            <w:tcW w:type="dxa" w:w="43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0.3713 元每千瓦时</w:t>
            </w:r>
          </w:p>
        </w:tc>
      </w:tr>
      <w:tr>
        <w:trPr>
          <w:cantSplit/>
        </w:trPr>
        <w:tc>
          <w:tcPr>
            <w:tcW w:type="dxa" w:w="50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最高电价</w:t>
            </w:r>
          </w:p>
        </w:tc>
        <w:tc>
          <w:tcPr>
            <w:tcW w:type="dxa" w:w="43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1.3952 元每千瓦时</w:t>
            </w:r>
          </w:p>
        </w:tc>
      </w:tr>
      <w:tr>
        <w:trPr>
          <w:cantSplit/>
        </w:trPr>
        <w:tc>
          <w:tcPr>
            <w:tcW w:type="dxa" w:w="504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无储能购电量基准</w:t>
            </w:r>
          </w:p>
        </w:tc>
        <w:tc>
          <w:tcPr>
            <w:tcW w:type="dxa" w:w="43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61789.9354 千瓦时</w:t>
            </w:r>
          </w:p>
        </w:tc>
      </w:tr>
      <w:tr>
        <w:trPr>
          <w:cantSplit/>
        </w:trPr>
        <w:tc>
          <w:tcPr>
            <w:tcW w:type="dxa" w:w="50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无储能购电费基准</w:t>
            </w:r>
          </w:p>
        </w:tc>
        <w:tc>
          <w:tcPr>
            <w:tcW w:type="dxa" w:w="43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48052.0466 元</w:t>
            </w:r>
          </w:p>
        </w:tc>
      </w:tr>
    </w:tbl>
    <w:p>
      <w:pPr>
        <w:spacing w:after="40"/>
      </w:pP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无储能基准按正净负荷购电、负净负荷弃光计算：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31958" cy="572494"/>
                  <wp:docPr id="3" name="Picture 3" descr="公式3 无储能购电量和弃光量" title="公式3 无储能购电量和弃光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958" cy="5724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（3）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无储能基准仅用于模型校验，不是最终调度结果。优化后的购电费用原则上不应高于48052.0466元。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三 参数与变量定义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3.1 模型参数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396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80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94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10分钟时段序号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1至144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Δt</w:t>
            </w:r>
          </w:p>
        </w:tc>
        <w:tc>
          <w:tcPr>
            <w:tcW w:type="dxa" w:w="39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单个时段长度</w:t>
            </w:r>
          </w:p>
        </w:tc>
        <w:tc>
          <w:tcPr>
            <w:tcW w:type="dxa" w:w="180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小时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1/6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pₜ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第t时段购电价格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元每千瓦时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附件1给定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Pᴸₜ</w:t>
            </w:r>
          </w:p>
        </w:tc>
        <w:tc>
          <w:tcPr>
            <w:tcW w:type="dxa" w:w="39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第t时段负荷功率</w:t>
            </w:r>
          </w:p>
        </w:tc>
        <w:tc>
          <w:tcPr>
            <w:tcW w:type="dxa" w:w="180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附件1给定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Pᴾⱽₜ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第t时段光伏预测功率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附件1给定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Lₜ</w:t>
            </w:r>
          </w:p>
        </w:tc>
        <w:tc>
          <w:tcPr>
            <w:tcW w:type="dxa" w:w="39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第t时段负荷电量</w:t>
            </w:r>
          </w:p>
        </w:tc>
        <w:tc>
          <w:tcPr>
            <w:tcW w:type="dxa" w:w="180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千瓦时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Pᴸₜ/6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Rₜ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第t时段可用光伏电量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千瓦时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Pᴾⱽₜ/6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Eᵐⁱⁿ</w:t>
            </w:r>
          </w:p>
        </w:tc>
        <w:tc>
          <w:tcPr>
            <w:tcW w:type="dxa" w:w="39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储能安全下限</w:t>
            </w:r>
          </w:p>
        </w:tc>
        <w:tc>
          <w:tcPr>
            <w:tcW w:type="dxa" w:w="180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千瓦时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1200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Eᵘᵖ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储能安全上限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千瓦时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10800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E⁰</w:t>
            </w:r>
          </w:p>
        </w:tc>
        <w:tc>
          <w:tcPr>
            <w:tcW w:type="dxa" w:w="39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0:00初始储能电量</w:t>
            </w:r>
          </w:p>
        </w:tc>
        <w:tc>
          <w:tcPr>
            <w:tcW w:type="dxa" w:w="180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千瓦时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6000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Pᶜʰ,ᵐᵃˣ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最大充电功率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Pᵈⁱˢ,ᵐᵃˣ</w:t>
            </w:r>
          </w:p>
        </w:tc>
        <w:tc>
          <w:tcPr>
            <w:tcW w:type="dxa" w:w="39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最大放电功率</w:t>
            </w:r>
          </w:p>
        </w:tc>
        <w:tc>
          <w:tcPr>
            <w:tcW w:type="dxa" w:w="180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16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q̄ᶜʰ q̄ᵈⁱˢ</w:t>
            </w:r>
          </w:p>
        </w:tc>
        <w:tc>
          <w:tcPr>
            <w:tcW w:type="dxa" w:w="39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每时段最大充放电量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千瓦时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833.3333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ηᶜʰ ηᵈⁱˢ</w:t>
            </w:r>
          </w:p>
        </w:tc>
        <w:tc>
          <w:tcPr>
            <w:tcW w:type="dxa" w:w="39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充电与放电效率</w:t>
            </w:r>
          </w:p>
        </w:tc>
        <w:tc>
          <w:tcPr>
            <w:tcW w:type="dxa" w:w="180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主方案均为0.90</w:t>
            </w:r>
          </w:p>
        </w:tc>
      </w:tr>
    </w:tbl>
    <w:p>
      <w:pPr>
        <w:spacing w:after="40"/>
      </w:pP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主方案将题目中的90%解释为充电效率和放电效率各为90%，对应往返效率0.81。若官方将90%定义为总往返效率，则令充电效率和放电效率均为根号0.9，约为0.948683，并将其作为敏感性方案。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3.2 决策变量 中间变量和目标变量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309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94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类型与单位</w:t>
            </w:r>
          </w:p>
        </w:tc>
        <w:tc>
          <w:tcPr>
            <w:tcW w:type="dxa" w:w="216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约束范围</w:t>
            </w:r>
          </w:p>
        </w:tc>
      </w:tr>
      <w:tr>
        <w:trPr>
          <w:cantSplit/>
        </w:trPr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决策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gₜ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外部电网购电量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连续 千瓦时</w:t>
            </w:r>
          </w:p>
        </w:tc>
        <w:tc>
          <w:tcPr>
            <w:tcW w:type="dxa" w:w="21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0至Lₜ+833.3333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决策</w:t>
            </w:r>
          </w:p>
        </w:tc>
        <w:tc>
          <w:tcPr>
            <w:tcW w:type="dxa" w:w="11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cₜ</w:t>
            </w:r>
          </w:p>
        </w:tc>
        <w:tc>
          <w:tcPr>
            <w:tcW w:type="dxa" w:w="309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储能交流侧充电量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连续 千瓦时</w:t>
            </w:r>
          </w:p>
        </w:tc>
        <w:tc>
          <w:tcPr>
            <w:tcW w:type="dxa" w:w="21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0至833.3333</w:t>
            </w:r>
          </w:p>
        </w:tc>
      </w:tr>
      <w:tr>
        <w:trPr>
          <w:cantSplit/>
        </w:trPr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决策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dₜ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储能交流侧放电量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连续 千瓦时</w:t>
            </w:r>
          </w:p>
        </w:tc>
        <w:tc>
          <w:tcPr>
            <w:tcW w:type="dxa" w:w="21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0至833.3333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决策</w:t>
            </w:r>
          </w:p>
        </w:tc>
        <w:tc>
          <w:tcPr>
            <w:tcW w:type="dxa" w:w="11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wₜ</w:t>
            </w:r>
          </w:p>
        </w:tc>
        <w:tc>
          <w:tcPr>
            <w:tcW w:type="dxa" w:w="309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弃光量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连续 千瓦时</w:t>
            </w:r>
          </w:p>
        </w:tc>
        <w:tc>
          <w:tcPr>
            <w:tcW w:type="dxa" w:w="21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0至Rₜ</w:t>
            </w:r>
          </w:p>
        </w:tc>
      </w:tr>
      <w:tr>
        <w:trPr>
          <w:cantSplit/>
        </w:trPr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决策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uᶜʰₜ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是否允许充电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二元</w:t>
            </w:r>
          </w:p>
        </w:tc>
        <w:tc>
          <w:tcPr>
            <w:tcW w:type="dxa" w:w="21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0或1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决策</w:t>
            </w:r>
          </w:p>
        </w:tc>
        <w:tc>
          <w:tcPr>
            <w:tcW w:type="dxa" w:w="11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uᵈⁱˢₜ</w:t>
            </w:r>
          </w:p>
        </w:tc>
        <w:tc>
          <w:tcPr>
            <w:tcW w:type="dxa" w:w="309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是否允许放电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二元</w:t>
            </w:r>
          </w:p>
        </w:tc>
        <w:tc>
          <w:tcPr>
            <w:tcW w:type="dxa" w:w="21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0或1</w:t>
            </w:r>
          </w:p>
        </w:tc>
      </w:tr>
      <w:tr>
        <w:trPr>
          <w:cantSplit/>
        </w:trPr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中间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Eₜ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时段结束储能电量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连续 千瓦时</w:t>
            </w:r>
          </w:p>
        </w:tc>
        <w:tc>
          <w:tcPr>
            <w:tcW w:type="dxa" w:w="21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1200至10800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中间</w:t>
            </w:r>
          </w:p>
        </w:tc>
        <w:tc>
          <w:tcPr>
            <w:tcW w:type="dxa" w:w="11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Nₜ</w:t>
            </w:r>
          </w:p>
        </w:tc>
        <w:tc>
          <w:tcPr>
            <w:tcW w:type="dxa" w:w="309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未考虑储能的净负荷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连续 千瓦时</w:t>
            </w:r>
          </w:p>
        </w:tc>
        <w:tc>
          <w:tcPr>
            <w:tcW w:type="dxa" w:w="21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Lₜ-Rₜ</w:t>
            </w:r>
          </w:p>
        </w:tc>
      </w:tr>
      <w:tr>
        <w:trPr>
          <w:cantSplit/>
        </w:trPr>
        <w:tc>
          <w:tcPr>
            <w:tcW w:type="dxa" w:w="10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中间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全天储能吞吐量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连续 千瓦时</w:t>
            </w:r>
          </w:p>
        </w:tc>
        <w:tc>
          <w:tcPr>
            <w:tcW w:type="dxa" w:w="21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非负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目标</w:t>
            </w:r>
          </w:p>
        </w:tc>
        <w:tc>
          <w:tcPr>
            <w:tcW w:type="dxa" w:w="11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Cgrid</w:t>
            </w:r>
          </w:p>
        </w:tc>
        <w:tc>
          <w:tcPr>
            <w:tcW w:type="dxa" w:w="309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全天外部电网购电费</w:t>
            </w:r>
          </w:p>
        </w:tc>
        <w:tc>
          <w:tcPr>
            <w:tcW w:type="dxa" w:w="194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连续 元</w:t>
            </w:r>
          </w:p>
        </w:tc>
        <w:tc>
          <w:tcPr>
            <w:tcW w:type="dxa" w:w="216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非负</w:t>
            </w:r>
          </w:p>
        </w:tc>
      </w:tr>
    </w:tbl>
    <w:p>
      <w:pPr>
        <w:spacing w:after="40"/>
      </w:pP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充电量cₜ定义为交流母线送入储能的电量，放电量dₜ定义为储能送回交流母线的电量。因此，真正进入电池的能量为ηᶜʰcₜ；为了向母线提供dₜ，电池内部需要减少dₜ/ηᵈⁱˢ。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四 模型假设及合理性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46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388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合理性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一</w:t>
            </w:r>
          </w:p>
        </w:tc>
        <w:tc>
          <w:tcPr>
            <w:tcW w:type="dxa" w:w="468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第一问中的当天电价、负荷和光伏预测在决策时已知，作为确定性参数。</w:t>
            </w:r>
          </w:p>
        </w:tc>
        <w:tc>
          <w:tcPr>
            <w:tcW w:type="dxa" w:w="388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第一问重点是建立单日基础调度框架，不要求研究预测误差。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二</w:t>
            </w:r>
          </w:p>
        </w:tc>
        <w:tc>
          <w:tcPr>
            <w:tcW w:type="dxa" w:w="468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每个10分钟时段内负荷、光伏功率和电价保持为给定平均值。</w:t>
            </w:r>
          </w:p>
        </w:tc>
        <w:tc>
          <w:tcPr>
            <w:tcW w:type="dxa" w:w="388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原始数据粒度即为10分钟，分段常数假设与数据结构一致。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三</w:t>
            </w:r>
          </w:p>
        </w:tc>
        <w:tc>
          <w:tcPr>
            <w:tcW w:type="dxa" w:w="468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允许弃光，但不允许向外部电网售电。</w:t>
            </w:r>
          </w:p>
        </w:tc>
        <w:tc>
          <w:tcPr>
            <w:tcW w:type="dxa" w:w="388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题目没有给出售电价格；弃光变量保证光伏富余且储能已满时模型仍可行。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四</w:t>
            </w:r>
          </w:p>
        </w:tc>
        <w:tc>
          <w:tcPr>
            <w:tcW w:type="dxa" w:w="468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外部电网能够提供足够的购电功率。</w:t>
            </w:r>
          </w:p>
        </w:tc>
        <w:tc>
          <w:tcPr>
            <w:tcW w:type="dxa" w:w="388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题目未给电网容量上限；如取得上限，只需增加购电上界约束。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五</w:t>
            </w:r>
          </w:p>
        </w:tc>
        <w:tc>
          <w:tcPr>
            <w:tcW w:type="dxa" w:w="468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除储能效率外，忽略线路损耗、自放电、温度变化和单日容量衰减。</w:t>
            </w:r>
          </w:p>
        </w:tc>
        <w:tc>
          <w:tcPr>
            <w:tcW w:type="dxa" w:w="388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题目未给相关参数，且单日内影响相对有限；循环成本另作次级规则。</w:t>
            </w:r>
          </w:p>
        </w:tc>
      </w:tr>
    </w:tbl>
    <w:p>
      <w:pPr>
        <w:spacing w:after="40"/>
      </w:pP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负荷必须被完全满足属于题目强制条件，不作为可放宽假设。模型不设置负荷缺供变量。混合整数优化也不要求电价、负荷和光伏相互独立；需要验证的是时段索引唯一、数据对齐、量纲一致和约束可行。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五 核心公式推导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5.1 净负荷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定义不考虑储能时的净负荷为：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650004"/>
                  <wp:docPr id="4" name="Picture 4" descr="公式4 净负荷定义" title="公式4 净负荷定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650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（4）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当Nₜ大于0时，光伏不足，需要电网购电或储能放电；当Nₜ小于0时，光伏富余，可以给储能充电或弃光。当前数据存在30个光伏富余时段，因此必须显式描述富余电量的去向。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5.2 微网电量平衡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第t时段进入交流母线的电量包括电网购电、可用光伏和储能放电；流出母线的电量包括小区负荷、储能充电和弃光。因此：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25794" cy="540689"/>
                  <wp:docPr id="5" name="Picture 5" descr="公式5 每时段供需平衡" title="公式5 每时段供需平衡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794" cy="540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（5）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该等式将题目中的供电不低于负荷转化为严格能量守恒。弃光变量吸收无法利用的光伏余量，避免出现无去向的能量。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5.3 储能状态递推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考虑充电损耗和放电损耗，时段结束储能状态为：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540689"/>
                  <wp:docPr id="6" name="Picture 6" descr="公式6 储能状态递推" title="公式6 储能状态递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540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（6）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当充放电效率均为0.9时，交流侧充入100千瓦时仅使电池增加90千瓦时；若之后交流侧输出81千瓦时，电池恰好减少90千瓦时。该例说明效率不能同时在供需平衡式和状态方程中重复计算。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5.4 容量和功率约束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为避免过充和过放，储能状态必须保持在安全区间；最大功率换算为每10分钟最大电量后为833.3333千瓦时：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452837"/>
                  <wp:docPr id="7" name="Picture 7" descr="公式7 储能容量和时段功率上限" title="公式7 储能容量和时段功率上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52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（7）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储能额定容量为12000千瓦时，但题目要求运行在1200至10800千瓦时之间，因此实际可调节区间为9600千瓦时。初始电量6000千瓦时位于区间中点，上下可用空间均为4800千瓦时。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5.5 充放电互斥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使用两个二元变量分别控制充电和放电，并限制两种状态不能同时出现：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512016"/>
                  <wp:docPr id="8" name="Picture 8" descr="公式8 充放电功率和互斥约束" title="公式8 充放电功率和互斥约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12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（8）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当两个二元变量均为0时储能空闲；充电状态和放电状态不能同时取1。该约束排除了求解器在多重最优解下产生的非物理同时充放电。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5.6 弃光与禁止售电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弃光不能超过该时段的可用光伏量，购电量保持非负。由供需平衡还能得到一个不改变可行域的紧购电上界：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7133" cy="540689"/>
                  <wp:docPr id="9" name="Picture 9" descr="公式9 弃光和购电范围" title="公式9 弃光和购电范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133" cy="540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（9）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模型中没有售电变量，也不允许负购电量，因此富余电量只能用于负荷、储能充电或弃光。</w:t>
      </w:r>
    </w:p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5.7 初始和终端条件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题目规定0:00初始储能为6000千瓦时，并要求0:00与24:00储能相等，因此：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19060" cy="520810"/>
                  <wp:docPr id="10" name="Picture 10" descr="公式10 日初日末储能状态" title="公式10 日初日末储能状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060" cy="520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（10）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若删除终端约束，模型会倾向于在最后的高价时段耗尽储能，将补能成本转移到下一日，导致当天费用虚低。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六 目标函数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6.1 主目标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题目要求尽可能节省微网购电费用，因此主目标为：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61575" cy="572494"/>
                  <wp:docPr id="11" name="Picture 11" descr="公式11 全天购电费用最小" title="公式11 全天购电费用最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575" cy="5724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（11）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6.2 小额循环成本的处理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题目没有给出电池折旧成本，不宜直接加入任意较大的循环费用。推荐采用两层词典序优化：第一层先获得最小购电费C*；第二层在购电费保持最优的条件下，使全天充放电吞吐量最小：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63763" cy="572494"/>
                  <wp:docPr id="12" name="Picture 12" descr="公式12 购电费优先的次级吞吐量目标" title="公式12 购电费优先的次级吞吐量目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763" cy="5724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（12）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这种处理不会改变题目的首要目标，却能在多个成本等价方案中选择充放电次数更少、无效循环更少的方案。如果后续取得可信的电池循环寿命数据，再将单位吞吐量折旧成本加入总成本。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七 完整数学模型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第一问的改进混合整数线性规划可汇总为：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31349" cy="2651758"/>
                  <wp:docPr id="13" name="Picture 13" descr="公式13 第一问完整优化模型" title="公式13 第一问完整优化模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349" cy="2651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（13）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模型包含144个购电变量、144个充电变量、144个放电变量、144个弃光变量、144个期末储能状态变量以及288个充放电状态二元变量。该规模较小，标准混合整数线性规划求解器可快速获得全局最优解。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八 模型机理与可解释性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8.1 储能套利条件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若在低价时段i从电网购电充入储能，并在高价时段j释放，则不考虑折旧成本时，储能套利有利的条件为：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6020" cy="556591"/>
                  <wp:docPr id="14" name="Picture 14" descr="公式14 考虑往返效率的套利条件" title="公式14 考虑往返效率的套利条件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020" cy="5565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（14）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当充电和放电效率均为0.9时，往返效率为0.81。当前最低电价0.3713元每千瓦时、最高电价1.3952元每千瓦时，且0.81乘以1.3952等于1.1301，大于0.3713，因此低价充电、高价放电具有明显经济可行性。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8.2 全日能量守恒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将储能状态递推式在全天求和，并利用日初日末电量相等，可得：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4841" cy="572494"/>
                  <wp:docPr id="15" name="Picture 15" descr="公式15 全天充放电能量关系" title="公式15 全天充放电能量关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841" cy="5724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（15）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进一步将供需平衡式在全天求和，并代入处理后数据与0.81往返效率，可得到结果审计式：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565220"/>
                  <wp:docPr id="16" name="Picture 16" descr="公式16 全天购电量守恒审计式" title="公式16 全天购电量守恒审计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6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（16）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式中第一项是全天负荷减去全部预测光伏，第二项是弃光造成的额外购电，第三项是储能循环损耗造成的额外购电。任何最终结果都应满足该关系。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九 建模流程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984999"/>
            <wp:docPr id="17" name="Picture 17" descr="第一问从处理后数据到结果输出的完整建模流程图" title="第一问从处理后数据到结果输出的完整建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建模流程图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8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图1  第一问完整建模流程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十 具体建模与求解步骤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步骤一 载入处理后数据  </w:t>
      </w:r>
      <w:r>
        <w:rPr>
          <w:rFonts w:ascii="Times New Roman" w:hAnsi="Times New Roman" w:eastAsia="宋体"/>
          <w:color w:val="000000"/>
          <w:sz w:val="22"/>
        </w:rPr>
        <w:t>读取每个时段的序号、电价、负荷功率和光伏预测功率，以时段序号作为唯一主键。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步骤二 完成单位统一  </w:t>
      </w:r>
      <w:r>
        <w:rPr>
          <w:rFonts w:ascii="Times New Roman" w:hAnsi="Times New Roman" w:eastAsia="宋体"/>
          <w:color w:val="000000"/>
          <w:sz w:val="22"/>
        </w:rPr>
        <w:t>计算负荷电量和光伏电量，所有决策变量与储能状态统一使用千瓦时。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步骤三 建立决策变量  </w:t>
      </w:r>
      <w:r>
        <w:rPr>
          <w:rFonts w:ascii="Times New Roman" w:hAnsi="Times New Roman" w:eastAsia="宋体"/>
          <w:color w:val="000000"/>
          <w:sz w:val="22"/>
        </w:rPr>
        <w:t>对每个时段建立购电、充电、放电、弃光、储能状态及充放电二元变量。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步骤四 加入供需平衡  </w:t>
      </w:r>
      <w:r>
        <w:rPr>
          <w:rFonts w:ascii="Times New Roman" w:hAnsi="Times New Roman" w:eastAsia="宋体"/>
          <w:color w:val="000000"/>
          <w:sz w:val="22"/>
        </w:rPr>
        <w:t>逐时段加入能量平衡等式，强制所有负荷都被电网、光伏或储能满足。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步骤五 连接储能状态  </w:t>
      </w:r>
      <w:r>
        <w:rPr>
          <w:rFonts w:ascii="Times New Roman" w:hAnsi="Times New Roman" w:eastAsia="宋体"/>
          <w:color w:val="000000"/>
          <w:sz w:val="22"/>
        </w:rPr>
        <w:t>从E₀=6000出发，根据充放电量和效率递推E₁至E₁₄₄。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步骤六 加入运行约束  </w:t>
      </w:r>
      <w:r>
        <w:rPr>
          <w:rFonts w:ascii="Times New Roman" w:hAnsi="Times New Roman" w:eastAsia="宋体"/>
          <w:color w:val="000000"/>
          <w:sz w:val="22"/>
        </w:rPr>
        <w:t>加入容量安全区间、功率上限、充放电互斥、弃光范围及禁止售电约束。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步骤七 加入终端条件  </w:t>
      </w:r>
      <w:r>
        <w:rPr>
          <w:rFonts w:ascii="Times New Roman" w:hAnsi="Times New Roman" w:eastAsia="宋体"/>
          <w:color w:val="000000"/>
          <w:sz w:val="22"/>
        </w:rPr>
        <w:t>设置E₁₄₄=6000，防止通过透支下一日储能人为降低成本。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步骤八 构造目标函数  </w:t>
      </w:r>
      <w:r>
        <w:rPr>
          <w:rFonts w:ascii="Times New Roman" w:hAnsi="Times New Roman" w:eastAsia="宋体"/>
          <w:color w:val="000000"/>
          <w:sz w:val="22"/>
        </w:rPr>
        <w:t>第一层最小化全天购电费；存在等价最优方案时，第二层最小化储能吞吐量。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步骤九 求解模型  </w:t>
      </w:r>
      <w:r>
        <w:rPr>
          <w:rFonts w:ascii="Times New Roman" w:hAnsi="Times New Roman" w:eastAsia="宋体"/>
          <w:color w:val="000000"/>
          <w:sz w:val="22"/>
        </w:rPr>
        <w:t>调用混合整数线性规划求解器，确认模型达到最优状态并满足设定精度。</w:t>
      </w:r>
    </w:p>
    <w:p>
      <w:pPr>
        <w:pStyle w:val="正文"/>
        <w:ind w:firstLine="0"/>
      </w:pPr>
      <w:r>
        <w:rPr>
          <w:rFonts w:ascii="Times New Roman" w:hAnsi="Times New Roman" w:eastAsia="黑体"/>
          <w:b/>
          <w:color w:val="000000"/>
          <w:sz w:val="22"/>
        </w:rPr>
        <w:t xml:space="preserve">步骤十 回代与输出  </w:t>
      </w:r>
      <w:r>
        <w:rPr>
          <w:rFonts w:ascii="Times New Roman" w:hAnsi="Times New Roman" w:eastAsia="宋体"/>
          <w:color w:val="000000"/>
          <w:sz w:val="22"/>
        </w:rPr>
        <w:t>重新计算成本和约束残差，汇总指定时段与4小时充放电量，并写入result1.xlsx。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十一 模型校验体系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11.1 逐时段平衡残差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对每个时段重新计算供需平衡残差，并要求最大绝对误差不超过10的负6次方：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576470"/>
                  <wp:docPr id="18" name="Picture 18" descr="公式17 供需平衡残差" title="公式17 供需平衡残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576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（17）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11.2 储能递推残差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对储能状态方程进行独立回代：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556430"/>
                  <wp:docPr id="19" name="Picture 19" descr="公式18 储能状态递推残差" title="公式18 储能状态递推残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56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（18）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11.3 边界与互斥检查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全部储能状态满足1200≤Eₜ≤10800。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日末状态满足E₁₄₄=6000。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不存在充电量和放电量同时大于数值容差的时段。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所有购电量、充放电量和弃光量均非负。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逐时段重新计算的购电费用之和与求解器目标值一致。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5"/>
        </w:rPr>
        <w:t>11.4 基准与下界比较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去掉二元互斥变量或将其放松为0至1之间的连续变量，可以得到线性松弛下界。正确结果应满足：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51513" cy="544664"/>
                  <wp:docPr id="20" name="Picture 20" descr="公式19 线性下界 最优解和无储能基准的关系" title="公式19 线性下界 最优解和无储能基准的关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513" cy="544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（19）</w:t>
            </w:r>
          </w:p>
        </w:tc>
      </w:tr>
    </w:tbl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若最优购电费高于无储能基准，应重点检查效率是否重复计算、时段是否错位、终端条件是否错误以及充放电变量的符号方向。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十二 结果文件映射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60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输出内容</w:t>
            </w:r>
          </w:p>
        </w:tc>
        <w:tc>
          <w:tcPr>
            <w:tcW w:type="dxa" w:w="47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模型映射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每10分钟计划购电量</w:t>
            </w:r>
          </w:p>
        </w:tc>
        <w:tc>
          <w:tcPr>
            <w:tcW w:type="dxa" w:w="47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直接输出gₜ</w:t>
            </w:r>
          </w:p>
        </w:tc>
      </w:tr>
      <w:tr>
        <w:trPr>
          <w:cantSplit/>
        </w:trPr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题目指定时段购电量</w:t>
            </w:r>
          </w:p>
        </w:tc>
        <w:tc>
          <w:tcPr>
            <w:tcW w:type="dxa" w:w="47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读取对应时段的gₜ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全天购电量</w:t>
            </w:r>
          </w:p>
        </w:tc>
        <w:tc>
          <w:tcPr>
            <w:tcW w:type="dxa" w:w="47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对全部gₜ求和</w:t>
            </w:r>
          </w:p>
        </w:tc>
      </w:tr>
      <w:tr>
        <w:trPr>
          <w:cantSplit/>
        </w:trPr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全天购电费</w:t>
            </w:r>
          </w:p>
        </w:tc>
        <w:tc>
          <w:tcPr>
            <w:tcW w:type="dxa" w:w="47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对pₜgₜ求和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每个4小时块充电量</w:t>
            </w:r>
          </w:p>
        </w:tc>
        <w:tc>
          <w:tcPr>
            <w:tcW w:type="dxa" w:w="47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对时间块内cₜ求和</w:t>
            </w:r>
          </w:p>
        </w:tc>
      </w:tr>
      <w:tr>
        <w:trPr>
          <w:cantSplit/>
        </w:trPr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每个4小时块放电量</w:t>
            </w:r>
          </w:p>
        </w:tc>
        <w:tc>
          <w:tcPr>
            <w:tcW w:type="dxa" w:w="47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对时间块内dₜ求和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0:00储能电量</w:t>
            </w:r>
          </w:p>
        </w:tc>
        <w:tc>
          <w:tcPr>
            <w:tcW w:type="dxa" w:w="47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E₀=6000</w:t>
            </w:r>
          </w:p>
        </w:tc>
      </w:tr>
      <w:tr>
        <w:trPr>
          <w:cantSplit/>
        </w:trPr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24:00储能电量</w:t>
            </w:r>
          </w:p>
        </w:tc>
        <w:tc>
          <w:tcPr>
            <w:tcW w:type="dxa" w:w="475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E₁₄₄=6000</w:t>
            </w:r>
          </w:p>
        </w:tc>
      </w:tr>
    </w:tbl>
    <w:p>
      <w:pPr>
        <w:spacing w:after="40"/>
      </w:pP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若第k个4小时时间块包含时段集合Bₖ，则对应汇总公式为：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720"/>
      </w:tblGrid>
      <w:tr>
        <w:tc>
          <w:tcPr>
            <w:tcW w:type="dxa" w:w="864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1088" cy="560567"/>
                  <wp:docPr id="21" name="Picture 21" descr="公式20 四小时充放电量汇总" title="公式20 四小时充放电量汇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088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（20）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十三 时段标签映射注意事项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原附件1时刻从00:10开始，最后一条为0:00+1；处理后数据将最后一条规范为24:00。官方result1.xlsx模板区间从0:10-0:20开始，最后为0:00+1-0:10+1。实现时必须避免因文本标签造成整体错位。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模型内部统一以时段序号1至144为主键。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处理后数据第t行与变量gₜ、cₜ、dₜ一一对应。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写入官方模板时按模板行顺序填入，不使用文本时刻直接连接。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0:00和24:00储能状态通过E₀与E₁₄₄单独输出。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当前建议采用官方模板的区间起点口径；若后续官方说明采用区间终点口径，只调整映射，不改变模型结构。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十四 最终建模结论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第一问模型通过在低价时段和光伏富余时段安排储能充电，在高价、光伏不足时段安排储能放电，实现购电时移和光伏消纳。供需平衡保证负荷始终得到满足，状态递推与容量边界保证储能安全，功率上限和互斥约束保证运行方案具有物理可执行性，日末回归约束防止透支未来储能。</w:t>
      </w:r>
    </w:p>
    <w:p>
      <w:pPr>
        <w:pStyle w:val="正文"/>
      </w:pPr>
      <w:r>
        <w:rPr>
          <w:rFonts w:ascii="Times New Roman" w:hAnsi="Times New Roman" w:eastAsia="宋体"/>
          <w:color w:val="000000"/>
          <w:sz w:val="22"/>
        </w:rPr>
        <w:t>该模型与第一问的目标和数据结构完全匹配，能够直接生成result1.xlsx所需的逐时段购电量、4小时充放电汇总、全天购电量、购电费用以及0:00和24:00储能状态，并可由标准混合整数线性规划求解器获得可复现的全局最优解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0"/>
        </w:rPr>
        <w:t>数据与题目依据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题目文件  C题.pdf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处理后数据  working/prepared_data/附件1处理后.json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质量检查  working/prepared_data/质量检查.json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描述统计  working/prepared_data/描述统计.json</w:t>
      </w:r>
    </w:p>
    <w:p>
      <w:pPr>
        <w:pStyle w:val="列表"/>
      </w:pPr>
      <w:r>
        <w:rPr>
          <w:rFonts w:ascii="Times New Roman" w:hAnsi="Times New Roman" w:eastAsia="宋体"/>
          <w:color w:val="000000"/>
          <w:sz w:val="21"/>
        </w:rPr>
        <w:t>预处理汇总  outputs/01a08ae9-b1f2-7cb1-8533-3abdadca9c5b/数据预处理结果.xlsx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000000"/>
        <w:sz w:val="17"/>
      </w:rPr>
      <w:t>微网与外部电网电力调控策略  问题一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Times New Roman" w:hAnsi="Times New Roman" w:eastAsia="宋体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pPr>
      <w:spacing w:line="348" w:lineRule="auto" w:after="100"/>
      <w:ind w:firstLine="440"/>
      <w:jc w:val="both"/>
    </w:pPr>
    <w:rPr>
      <w:rFonts w:ascii="Times New Roman" w:hAnsi="Times New Roman" w:eastAsia="宋体"/>
      <w:sz w:val="22"/>
    </w:rPr>
  </w:style>
  <w:style w:type="paragraph" w:customStyle="1" w:styleId="列表">
    <w:name w:val="列表"/>
    <w:pPr>
      <w:spacing w:line="324" w:lineRule="auto" w:after="60"/>
      <w:ind w:left="440" w:hanging="200"/>
    </w:pPr>
    <w:rPr>
      <w:rFonts w:ascii="Times New Roman" w:hAnsi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问题一数学模型完整建模说明</dc:title>
  <dc:subject>微网与外部电网电力调控策略第一问</dc:subject>
  <dc:creator>数学建模项目组</dc:creator>
  <cp:keywords>数学建模, 微网, 储能, 购电优化, 混合整数线性规划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