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1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Беспристрастный HR: дискриминация в автоматическом скрининге резюме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Механизм воспроизведения дискриминации моделью при нейтральных признаках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Распределение ответственности за дискриминационные решения системы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Меры по устранению смещения и предупреждению дискриминации</w:t>
      </w:r>
      <w:r>
        <w:rPr>
          <w:rFonts w:ascii="Times New Roman" w:hAnsi="Times New Roman"/>
          <w:b w:val="0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12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Автоматический скрининг резюме стал массовой практикой крупного найма: модели машинного обучения ранжируют кандидатов до первого контакта с рекрутером. Этическая привлекательность автоматизации основана на ожидании беспристрастности — алгоритм «не устаёт», «не предвзят» и «не видит» пола и возраста, если эти признаки исключены из данных.</w:t>
      </w:r>
    </w:p>
    <w:p>
      <w:pPr>
        <w:pStyle w:val="BodyText"/>
        <w:spacing w:line="360" w:lineRule="auto"/>
        <w:ind w:firstLine="709"/>
        <w:jc w:val="both"/>
      </w:pPr>
      <w:r>
        <w:t>Ситуация кейса опровергает это ожидание. Модель, обученная на исторических «успешных наймах» компании, систематически занижает рейтинг женщин с перерывами в стаже и кандидатов старше 45 лет, хотя прямые признаки пола и возраста в неё не подавались. Отбор выполняется автоматически, без участия человека, значит дискриминационный эффект воспроизводится в каждом решении.</w:t>
      </w:r>
    </w:p>
    <w:p>
      <w:pPr>
        <w:pStyle w:val="BodyText"/>
        <w:spacing w:line="360" w:lineRule="auto"/>
        <w:ind w:firstLine="709"/>
        <w:jc w:val="both"/>
      </w:pPr>
      <w:r>
        <w:t>Цель работы — объяснить механизм возникновения смещения при формально нейтральных признаках, определить круг ответственных за дискриминационные решения и предложить комплекс мер по устранению смещения. Задачи соответствуют пунктам задания кейса и раскрыты в разделах 1–3.</w:t>
      </w:r>
    </w:p>
    <w:p>
      <w:pPr>
        <w:pStyle w:val="Heading1"/>
        <w:ind w:firstLine="0"/>
      </w:pPr>
      <w:r>
        <w:t>1 Механизм воспроизведения дискриминации моделью при нейтральных признаках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Объясните, почему модель воспроизводит и усиливает историческую дискриминацию, если прямые признаки пола и возраста исключены. Опишите механизм возникновения смещения (proxy-признаки, смещённая обучающая выборка, обратная связь).</w:t>
      </w:r>
    </w:p>
    <w:p>
      <w:pPr>
        <w:pStyle w:val="BodyText"/>
        <w:spacing w:line="360" w:lineRule="auto"/>
        <w:ind w:firstLine="709"/>
        <w:jc w:val="both"/>
      </w:pPr>
      <w:r>
        <w:t>Модель машинного обучения не «оценивает заслуги» кандидата — она минимизирует ошибку предсказания целевой переменной на обучающей выборке. Целевой переменной здесь выступает исторический факт «успешного найма», то есть решения прошлых нанимающих менеджеров. Если эти решения в прошлом принимались с уклоном против женщин с перерывами в стаже и кандидатов старшего возраста, то именно этот уклон зафиксирован в данных как «паттерн успеха». Модель не придумала предвзятость — она воспроизвела статистическую закономерность исторической кадровой политики компании.</w:t>
      </w:r>
    </w:p>
    <w:p>
      <w:pPr>
        <w:pStyle w:val="BodyText"/>
        <w:spacing w:line="360" w:lineRule="auto"/>
        <w:ind w:firstLine="709"/>
        <w:jc w:val="both"/>
      </w:pPr>
      <w:r>
        <w:t>Исключение прямых признаков («пол», «возраст», «дата рождения») не устраняет дискриминацию, потому что в данных существуют прокси-признаки (proxy variables) — корреляты защищённых характеристик. Перерывы в стаже типично связаны с декретными отпусками; формулировки обязанностей и грамматический род глаголов прошлого времени в резюме маркируют пол; год выпуска из учебного заведения почти прямо указывает на возрастную группу. Статистический алгоритм обязан «найти» наиболее информативные комбинации таких признаков — это его функция, а не дефект.</w:t>
      </w:r>
    </w:p>
    <w:p>
      <w:pPr>
        <w:pStyle w:val="TableCaption"/>
      </w:pPr>
      <w:r>
        <w:t>Таблица 1 — Источники смещения, механизм их действия и контрмеры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Источник смещения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Механизм действия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Контрмера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Смещённая историческая выборка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«Успешные наймы» отражают прошлую кадровую политику; модель копирует уклон как «закономерность успеха»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Переопределить целевую переменную по объективным критериям результативности; переобучить на аудированных данных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Proxy-признаки (перерывы стажа, формулировки, год выпуска)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Признаки коррелируют с полом и возрастом и служат модельной «заменой» исключённых признаков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Аудит признаков на проксикорреляцию; удаление или преобразование прокси-признаков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Обратная связь (feedback loop)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Отобранные моделью сотрудники становятся будущей обучающей выборкой; смещение усиливается с каждым циклом найма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Разрыв петли: обязательная человеческая проверка отклонённых, мониторинг распределения решений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Нерепрезентативность выборки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Отдельные группы представлены слабо, ошибки модели для них выше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Дозбор данных по недопредставленным группам; оценка качества по группам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Сводный механизм показан в таблице 1: смещение попадает в модель через обучающую выборку (таблица 1, строка 1), закрепляется через прокси-признаки (строка 2) и самоусиливается через обратную связь отбора (строка 3). Особенно опасен контур обратной связи: кандидат, отклонённый моделью, никогда не попадает в историю «успешных наймов», поэтому будущие переобучения воспринимают отклонение как подтверждённую закономерность. Дискриминация перестаёт быть разовой ошибкой и становится самоподдерживающимся процессом.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модель воспроизводит историческую дискриминацию, потому что обучалась на смещённых решениях о найме и воссоздала их через прокси-признаки пола и возраста; автоматический контур отбора замыкает обратную связь и усиливает смещение с каждым циклом. Исключение прямых признаков — необходимое, но недостаточное условие беспристрастности.</w:t>
      </w:r>
    </w:p>
    <w:p>
      <w:pPr>
        <w:pStyle w:val="Heading1"/>
        <w:ind w:firstLine="0"/>
      </w:pPr>
      <w:r>
        <w:t>2 Распределение ответственности за дискриминационные решения системы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Определите круг ответственных за произошедшее: работодатель, разработчики системы, HR-директор, сама система. Обоснуйте распределение моральной и юридической ответственности; ответьте, может ли ИИ быть субъектом ответственности, и каким должно быть участие человека в решениях о найме.</w:t>
      </w:r>
    </w:p>
    <w:p>
      <w:pPr>
        <w:pStyle w:val="BodyText"/>
        <w:spacing w:line="360" w:lineRule="auto"/>
        <w:ind w:firstLine="709"/>
        <w:jc w:val="both"/>
      </w:pPr>
      <w:r>
        <w:t>Ответственность за дискриминационные решения системы распределяется между организационными субъектами по характеру их вклада и степени контроля над риском. Ни один алгоритм субъектом права не является: нейросеть не обладает волей, интересами и имущественной обособленностью, не может быть стороной трудовых и деликтных отношений, поэтому ответственность не может быть делегирована «машине». Формула «так решил алгоритм» юридически несостоятельна — решение всегда принадлежит работодателю, использующему инструмент.</w:t>
      </w:r>
    </w:p>
    <w:p>
      <w:pPr>
        <w:pStyle w:val="BodyText"/>
        <w:spacing w:line="360" w:lineRule="auto"/>
        <w:ind w:firstLine="709"/>
        <w:jc w:val="both"/>
      </w:pPr>
      <w:r>
        <w:t>Юридическая основа ответственности работодателя — запрет дискриминации в сфере труда: статьёй 3 Трудового кодекса РФ запрещено ограничение прав независимо от пола, возраста и других обстоятельств, не связанных с деловыми качествами работника; статья 64 запрещает необоснованный отказ в заключении трудового договора. Работодатель как оператор системы отвечает за любой отбор, выполненный от его имени, включая автоматический. Для систем найма это требование закреплено и наднационально: Искусственный интеллектуальный акт ЕС (Регламент (ЕС) 2024/1689) относит системы найма к высокому риску и обязывает провайдеров и эксплуатантов к управлению рисками, тестированию и человеческому надзору.</w:t>
      </w:r>
    </w:p>
    <w:p>
      <w:pPr>
        <w:pStyle w:val="BodyText"/>
        <w:spacing w:line="360" w:lineRule="auto"/>
        <w:ind w:firstLine="709"/>
        <w:jc w:val="both"/>
      </w:pPr>
      <w:r>
        <w:t>– Работодатель (компания) — несёт основную юридическую ответственность перед кандидатами: именно перед ним возникают трудоправовые последствия дискриминационного отказа; он выбрал систему, ввёл её в эксплуатацию и получал выгоду от её работы.</w:t>
      </w:r>
    </w:p>
    <w:p>
      <w:pPr>
        <w:pStyle w:val="BodyText"/>
        <w:spacing w:line="360" w:lineRule="auto"/>
        <w:ind w:firstLine="709"/>
        <w:jc w:val="both"/>
      </w:pPr>
      <w:r>
        <w:t>– Разработчики системы — ответственны за качество и безопасность продукта: полноту тестов на смещение, документирование ограничений модели, предупреждение заказчика о недопустимости полностью автоматического применения.</w:t>
      </w:r>
    </w:p>
    <w:p>
      <w:pPr>
        <w:pStyle w:val="BodyText"/>
        <w:spacing w:line="360" w:lineRule="auto"/>
        <w:ind w:firstLine="709"/>
        <w:jc w:val="both"/>
      </w:pPr>
      <w:r>
        <w:t>– HR-директор — ответственный за внедрение: принял решение об эксплуатации без пилотной валидации, регулярного аудита и мониторинга; его вина — организационная и профессиональная.</w:t>
      </w:r>
    </w:p>
    <w:p>
      <w:pPr>
        <w:pStyle w:val="BodyText"/>
        <w:spacing w:line="360" w:lineRule="auto"/>
        <w:ind w:firstLine="709"/>
        <w:jc w:val="both"/>
      </w:pPr>
      <w:r>
        <w:t>– Нейросеть — не субъект права; её «поведение» есть материализованные решения людей: выбор данных, архитектуры, метрик качества и порядка применения.</w:t>
      </w:r>
    </w:p>
    <w:p>
      <w:pPr>
        <w:pStyle w:val="BodyText"/>
        <w:spacing w:line="360" w:lineRule="auto"/>
        <w:ind w:firstLine="709"/>
        <w:jc w:val="both"/>
      </w:pPr>
      <w:r>
        <w:t>Моральная ответственность соответствует юридической, но шире по содержанию: каждая из сторон контроля должна была предвидеть риск косвенной дискриминации — этот риск хорошо известен и описан в литературе о справедливости машинного обучения. Ответственность разработчика не поглощается ответственностью заказчика: продать систему найма без тестов на смещение — профессиональная небрежность. Ответственность HR-директора также самостоятельна: внедрение средства, принимающего решения о людях, без человеческой проверки — прямое нарушение профессионального долга.</w:t>
      </w:r>
    </w:p>
    <w:p>
      <w:pPr>
        <w:pStyle w:val="BodyText"/>
        <w:spacing w:line="360" w:lineRule="auto"/>
        <w:ind w:firstLine="709"/>
        <w:jc w:val="both"/>
      </w:pPr>
      <w:r>
        <w:t>Отсюда следует нормативное требование к участию человека (human-in-the-loop): решение, существенно влияющее на права и трудовую судьбу кандидата, должно приниматься человеком, оснащённым, а не заменённым алгоритмом. Регламент (ЕС) 2016/679 (GDPR) в статье 22 прямо ограничивает решения, основанные исключительно на автоматизированной обработке; отнесение кандидата к «отклонённым» без содержательного человеческого рассмотрения таким решением и является. Человеческая проверка должна быть действенной: проверяющий должен видеть обоснование рейтинга и иметь полномочия изменить результат.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субъектом ответственности является работодатель как оператор системы; самостоятельная ответственность лежит на разработчиках (аудит и тесты на смещение) и на HR-директоре (внедрение без валидации и мониторинга); нейросеть субъектом права не является. Обязательный элемент законного отбора — действующий human-in-the-loop при принятии решения о кандидате.</w:t>
      </w:r>
    </w:p>
    <w:p>
      <w:pPr>
        <w:pStyle w:val="Heading1"/>
        <w:ind w:firstLine="0"/>
      </w:pPr>
      <w:r>
        <w:t>3 Меры по устранению смещения и предупреждению дискриминации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Предложите комплекс мер по устранению дискриминации: работа с признаками и данными, методы debiasing, метрики справедливости, организационные процедуры (аудит, участие человека, прозрачность отказа кандидату).</w:t>
      </w:r>
    </w:p>
    <w:p>
      <w:pPr>
        <w:pStyle w:val="BodyText"/>
        <w:spacing w:line="360" w:lineRule="auto"/>
        <w:ind w:firstLine="709"/>
        <w:jc w:val="both"/>
      </w:pPr>
      <w:r>
        <w:t>Устранение смещения ведётся на трёх уровнях: данные и признаки, обучение модели, организационный контур эксплуатации. На уровне данных выполняется аудит признаков на проксикорреляцию с защищёнными характеристиками: перерывы стажа переосмысляются как нейтральный факт, формулировки резюме нормализуются, год выпуска исключается в пользу стажа «после последней роли». На уровне обучения применяются методы debiasing: перевзвешивание примеров (reweighing), adversarial debiasing (обучение предсказателя с одновременным подавлением способности восстановить защищённый признак), пороговая калибровка по группам.</w:t>
      </w:r>
    </w:p>
    <w:p>
      <w:pPr>
        <w:pStyle w:val="BodyText"/>
        <w:spacing w:line="360" w:lineRule="auto"/>
        <w:ind w:firstLine="709"/>
        <w:jc w:val="both"/>
      </w:pPr>
      <w:r>
        <w:t>Методы debiasing не принимаются «на веру» — они контролируются метриками справедливости на отложенных выборках с известной защитной принадлежностью (используемой только для контроля, не для отбора). Основные метрики приведены в таблице 2; устойчивая система мониторинга отслеживает их по группам и по времени.</w:t>
      </w:r>
    </w:p>
    <w:p>
      <w:pPr>
        <w:pStyle w:val="TableCaption"/>
      </w:pPr>
      <w:r>
        <w:t>Таблица 2 — Метрики справедливости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фиксирует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Demographic parity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Доля положительных решений одинакова по группам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Равенство исходов отбора (доступа к следующему этапу)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Equalized odds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Равные вероятности ошибки первого и второго рода по группам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Равенство качества модели для групп: одинаково частая ошибочная отбраковка достойных кандидатов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Equal opportunity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Равные вероятности истинно положительного решения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Равный шанс «пройти дальше» при реальной квалификации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Calibration by group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Равная калибровка рейтинга по группам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Одинаковая интерпретируемость рейтинга независимо от группы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Организационный контур делает технические меры устойчивыми (таблица 1, строка 3). Минимальный набор процедур: регулярный независимый аудит справедливости (до внедрения и периодически); обязательная человеческая проверка всех отклонённых кандидатов; запрет полностью автоматического отказа; логирование решений с основаниями; право кандидата на содержательное объяснение отказа и на пересмотр человеком; публичная модельная карта (model card) с описанием назначения, ограничений и результатов проверки справедливости.</w:t>
      </w:r>
    </w:p>
    <w:p>
      <w:pPr>
        <w:pStyle w:val="BodyText"/>
        <w:spacing w:line="360" w:lineRule="auto"/>
        <w:ind w:firstLine="709"/>
        <w:jc w:val="both"/>
      </w:pPr>
      <w:r>
        <w:t>– аудит и очистка признаков: удаление/преобразование прокси-признаков, контроль корреляций с защищёнными характеристиками;</w:t>
      </w:r>
    </w:p>
    <w:p>
      <w:pPr>
        <w:pStyle w:val="BodyText"/>
        <w:spacing w:line="360" w:lineRule="auto"/>
        <w:ind w:firstLine="709"/>
        <w:jc w:val="both"/>
      </w:pPr>
      <w:r>
        <w:t>– переобучение на объективной целевой переменной и аудированных данных; дозбор по недопредставленным группам;</w:t>
      </w:r>
    </w:p>
    <w:p>
      <w:pPr>
        <w:pStyle w:val="BodyText"/>
        <w:spacing w:line="360" w:lineRule="auto"/>
        <w:ind w:firstLine="709"/>
        <w:jc w:val="both"/>
      </w:pPr>
      <w:r>
        <w:t>– debiasing: перевзвешивание, adversarial debiasing, пороговая калибровка по группам;</w:t>
      </w:r>
    </w:p>
    <w:p>
      <w:pPr>
        <w:pStyle w:val="BodyText"/>
        <w:spacing w:line="360" w:lineRule="auto"/>
        <w:ind w:firstLine="709"/>
        <w:jc w:val="both"/>
      </w:pPr>
      <w:r>
        <w:t>– контроль метрик справедливости (таблица 2) на отложенных выборках и в эксплуатации;</w:t>
      </w:r>
    </w:p>
    <w:p>
      <w:pPr>
        <w:pStyle w:val="BodyText"/>
        <w:spacing w:line="360" w:lineRule="auto"/>
        <w:ind w:firstLine="709"/>
        <w:jc w:val="both"/>
      </w:pPr>
      <w:r>
        <w:t>– обязательный human-in-the-loop: человек проверяет отклонённых и утверждает отказы;</w:t>
      </w:r>
    </w:p>
    <w:p>
      <w:pPr>
        <w:pStyle w:val="BodyText"/>
        <w:spacing w:line="360" w:lineRule="auto"/>
        <w:ind w:firstLine="709"/>
        <w:jc w:val="both"/>
      </w:pPr>
      <w:r>
        <w:t>– регулярный аудит, логирование, объяснение причин отказа кандидату, model card.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дискриминация устраняется сочетанием технических мер (работа с данными, debiasing, метрики справедливости из таблицы 2) и организационных процедур (регулярный аудит, обязательная человеческая проверка отклонённых, прозрачность отказа). Разрыв контура обратной связи — приоритетная мера: без него любое переобучение воспроизводит смещение.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показано: модель дискриминирует не вопреки «нейтральным» признакам, а благодаря прокси-признакам и смещённой обучающей выборке; автоматический отбор замыкает обратную связь, из-за которой историческая предвзятость компании воспроизводится и усиливается.</w:t>
      </w:r>
    </w:p>
    <w:p>
      <w:pPr>
        <w:pStyle w:val="BodyText"/>
        <w:spacing w:line="360" w:lineRule="auto"/>
        <w:ind w:firstLine="709"/>
        <w:jc w:val="both"/>
      </w:pPr>
      <w:r>
        <w:t>В пункте (b) определено распределение ответственности: юридически отвечает работодатель как оператор системы; разработчики отвечают за аудит и тесты на смещение, HR-директор — за внедрение без валидации и мониторинга; нейросеть субъектом права не является. Законный отбор требует действующего human-in-the-loop (ст. 3 и 64 ТК РФ, ст. 22 GDPR, высокий риск по Регламенту (ЕС) 2024/1689).</w:t>
      </w:r>
    </w:p>
    <w:p>
      <w:pPr>
        <w:pStyle w:val="BodyText"/>
        <w:spacing w:line="360" w:lineRule="auto"/>
        <w:ind w:firstLine="709"/>
        <w:jc w:val="both"/>
      </w:pPr>
      <w:r>
        <w:t>В пункте (c) предложен комплекс мер: аудит и очистка прокси-признаков, переобучение на объективной целевой переменной, debiasing (перевзвешивание, adversarial debiasing), контроль метрик справедливости (таблица 2), регулярный аудит, человеческая проверка отклонённых кандидатов и прозрачное объяснение причин отказа.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«беспристрастность» алгоритма — свойство не кода, а всей системы найма: данных, метрик, процедур проверки и распределения ответственности. Без организационного контура справедливости автоматизация не уменьшает, а масштабирует историческую дискриминацию.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Трудовой кодекс Российской Федерации от 30.12.2001 № 197-ФЗ (ст. 3, 64)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2. Регламент (ЕС) 2016/679 Европейского парламента и Совета от 27 апреля 2016 г. «О защите физических лиц при обработке персональных данных и о свободном обращении таких данных» (General Data Protection Regulation, ст. 22) // EUR-Lex : [сайт]. — URL: https://eur-lex.europa.eu/eli/reg/2016/679/oj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2024/1689 Европейского парламента и Совета от 13 июня 2024 г., устанавливающий гармонизированные правила в области искусственного интеллекта (Artificial Intelligence Act) // EUR-Lex : [сайт]. — URL: https://eur-lex.europa.eu/eli/reg/2024/1689/oj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NIST AI Risk Management Framework (AI RMF 1.0) / National Institute of Standards and Technology. — Gaithersburg, 2023. — URL: https://doi.org/10.6028/NIST.AI.100-1 (дата обращения: 27.10.2026).</w:t>
      </w:r>
    </w:p>
    <w:p>
      <w:pPr>
        <w:pStyle w:val="BodyText"/>
        <w:spacing w:line="360" w:lineRule="auto"/>
        <w:ind w:hanging="425" w:left="425"/>
        <w:jc w:val="both"/>
      </w:pPr>
      <w:r>
        <w:t>5. ГОСТ Р 59276-2020. Системы искусственного интеллекта. Способы обеспечения доверия. Общие положения. — Москва : Стандартинформ, 2020.</w:t>
      </w:r>
    </w:p>
    <w:p>
      <w:pPr>
        <w:pStyle w:val="BodyText"/>
        <w:spacing w:line="360" w:lineRule="auto"/>
        <w:ind w:hanging="425" w:left="425"/>
        <w:jc w:val="both"/>
      </w:pPr>
      <w:r>
        <w:t>6. Mehrabi, N. A Survey on Bias and Fairness in Machine Learning / N. Mehrabi, F. Morstatter, N. Saxena, K. Lerman, A. Galstyan // ACM Computing Surveys. — 2021. — Vol. 54, № 6. — Article 115. — DOI 10.1145/3457607.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