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2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Умный медицинский ассистент на основе LLM: границы доверия и ответственность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Вероятностная природа LLM и этические границы применения в медицине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Система ограждений (guardrails) и декларативных ограничений ассистента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Распределение ответственности между участниками внедрения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Большие языковые модели (LLM) активно внедряются в здравоохранение: чат-ассистенты отвечают пациентам, подсказывают препараты и режим. Экономическая привлекательность решения очевидна, однако цена ошибки в медицине — здоровье и жизнь пациента, поэтому стандарт «работает в большинстве случаев» здесь неприемлем.</w:t>
      </w:r>
    </w:p>
    <w:p>
      <w:pPr>
        <w:pStyle w:val="BodyText"/>
        <w:spacing w:line="360" w:lineRule="auto"/>
        <w:ind w:firstLine="709"/>
        <w:jc w:val="both"/>
      </w:pPr>
      <w:r>
        <w:t>Ситуация кейса: ассистент стартапа в частной клинике подбирает безрецептурные препараты по жалобам пациента; база знаний не редактировалась профильным врачом; в тестах модель уверенно рекомендовала противопоказанные препараты и однажды проигнорировала упоминание аллергии. Руководство предлагает подключить ассистента к медкартам, врач пилота сомневается.</w:t>
      </w:r>
    </w:p>
    <w:p>
      <w:pPr>
        <w:pStyle w:val="BodyText"/>
        <w:spacing w:line="360" w:lineRule="auto"/>
        <w:ind w:firstLine="709"/>
        <w:jc w:val="both"/>
      </w:pPr>
      <w:r>
        <w:t>Цель работы — определить допустимую роль LLM-ассистента в медицинском контуре, спроектировать систему технических и организационных ограждений и распределить ответственность между участниками внедрения.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Вероятностная природа LLM и этические границы применения в медицине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Объясните, почему выходные данные LLM принципиально нельзя считать медицинским заключением: вероятностная природа генерации, галлюцинации, правдоподобие vs истинность. Какие этические принципы требуют ограничить роль ассистента?</w:t>
      </w:r>
    </w:p>
    <w:p>
      <w:pPr>
        <w:pStyle w:val="BodyText"/>
        <w:spacing w:line="360" w:lineRule="auto"/>
        <w:ind w:firstLine="709"/>
        <w:jc w:val="both"/>
      </w:pPr>
      <w:r>
        <w:t>LLM генерирует текст вероятностно: на каждом шаге модель выбирает продолжение, наиболее правдоподобное по статистическим закономерностям обучающего корпуса. Правдоподобие и истинность — разные свойства: фраза может быть типичной для медицинских текстов и при этом ложной конкретно для данного пациента. Модель не обращается к проверенной базе знаний и не «знает» факт — она строит правдоподобную форму ответа.</w:t>
      </w:r>
    </w:p>
    <w:p>
      <w:pPr>
        <w:pStyle w:val="BodyText"/>
        <w:spacing w:line="360" w:lineRule="auto"/>
        <w:ind w:firstLine="709"/>
        <w:jc w:val="both"/>
      </w:pPr>
      <w:r>
        <w:t>Из вероятностной природы следует неустранимость галлюцинаций на уровне самой архитектуры: генеративная модель способна сконструировать несуществующее взаимодействие препаратов или проигнорировать критический факт (аллергия), если статистический контекст этого «не требует». Уверенность формулировки не отражает вероятность истинности: особенно опасны уверенные ложные ответы. В медицине такой режим ошибок недопустим: пациент строит решения о своём здоровье на тексте ассистента, а «уверенная» ложь воспринимается как заключение специалиста.</w:t>
      </w:r>
    </w:p>
    <w:p>
      <w:pPr>
        <w:pStyle w:val="BodyText"/>
        <w:spacing w:line="360" w:lineRule="auto"/>
        <w:ind w:firstLine="709"/>
        <w:jc w:val="both"/>
      </w:pPr>
      <w:r>
        <w:t>Этическая оценка опирается на классические принципы биомедицинской этики (Beauchamp, Childress): beneficence (благо пациента), non-maleficence («не навреди»), автономия и справедливость. Принцип non-maleficence прямо запрещает использовать инструмент с известным и неустранимым классом ошибок там, где ошибка причиняет вред. Дополняет его принцип предосторожности: при риске непоправимого вреда бремя доказательства безопасности лежит на внедряющем, а не на сомневающемся. Отсюда нормативная граница роли: ассистент может быть информатором и навигатором (объяснить, напомнить, направить к врачу), но не диагностом и не назначающим субъектом. Всемирная организация здравоохранения в руководстве по этике ИИ в здравоохранении требует человеческого надзора и прозрачности ограничений систем ИИ.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выход LLM принципиально не является медицинским заключением: генерация вероятностна, галлюцинации не устранимы архитектурно, правдоподобие не равно истинности. Принципы non-maleficence и предосторожности требуют роль «информатор, не диагност»: доверять ассистенту жизнь пациента без программного контура безопасности нельзя.</w:t>
      </w:r>
    </w:p>
    <w:p>
      <w:pPr>
        <w:pStyle w:val="Heading1"/>
        <w:ind w:firstLine="0"/>
      </w:pPr>
      <w:r>
        <w:t>2 Система ограждений (guardrails) и декларативных ограничений ассистента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Спроектируйте набор технических и организационных ограждений (guardrails) и декларативных ограничений: обязательная проверка аллергий и взаимодействий по медкарте, программный фильтр противопоказаний, эскалация «красных флагов» к врачу, дисклеймеры, логирование и аудит, тестирование на устойчивость, ответственность за базу знаний.</w:t>
      </w:r>
    </w:p>
    <w:p>
      <w:pPr>
        <w:pStyle w:val="BodyText"/>
        <w:spacing w:line="360" w:lineRule="auto"/>
        <w:ind w:firstLine="709"/>
        <w:jc w:val="both"/>
      </w:pPr>
      <w:r>
        <w:t>Ключевой принцип проектирования — разделение слоёв: LLM отвечает только за диалог и формулировки; все решения, связанные с безопасностью, выполняет детерминированный программный контур. Проверка аллергий и взаимодействий — не задача языковой модели, а вызов программного фильтра по нормативному справочнику: аллергии читаются из медкарты обязательно (подключение к медкарте оправдано именно этим), и совпадение «препарат — противопоказание/аллергия» блокирует рекомендацию до её генерации. Подключение медкарты одновременно повышает требования к защите данных: здоровье — специальная категория персональных данных (ст. 10 закона № 152-ФЗ, ст. 9 GDPR).</w:t>
      </w:r>
    </w:p>
    <w:p>
      <w:pPr>
        <w:pStyle w:val="TableCaption"/>
      </w:pPr>
      <w:r>
        <w:t>Таблица 1 — Реестр ограждений (guardrails) ассистента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Ограждение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Обязательное чтение аллергий из медкарты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Рекомендация невозможна без актуального профиля аллергий; конфликт блокирует ответ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Программный фильтр аллергий и взаимодействий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Детерминированная проверка по справочнику ОТС-препаратов и взаимодействий; не выполняется LLM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Эскалация «красных флагов»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Симптомы тревожного списка (боль в груди, кровотечения, неврологические знаки) — прямой маршрут к врачу, никаких рекомендаций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Белый список тем и препаратов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Ассистент ограничен безрецептурным перечнем и общим уходом; вне перечня — совет обратиться к врачу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Дисклеймер «не медицинская консультация»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Каждая сессия маркирована; не заменяет осмотр и назначение врача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Логирование и аудит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Полная запись диалогов и решений фильтров; периодический клинический аудит выборки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Fail-safe поведение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Архитектура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 неопределённости, ошибке интеграции или низкой уверенности — эскалация к человеку, а не «лучший guess»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Adversarial-тестирование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Регулярные пробы на обход ограждений и редкие клинические сценарии; регресс-набор инцидентов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Врач-редактор базы знаний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Персональная ответственность врача за содержимое базы и её версии; обновление по регламенту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Реестр ограждений приведён в таблице 1: данные (строка 1), детерминированные правила (строки 2–4), интерфейс, архитектура и процессы (строки 5–9). Существенно, что каждое ограждение проверяемо: фильтр противопоказаний тестируется юнит-тестами, эскалация — сценариевыми прогонами, аудит — выборочной экспертизой. Декларативная часть — явные ограничения продукта: перечисление неподдерживаемых сценариев, обязательные дисклеймеры, запрет формулировок «диагноз» и «назначение» в ответах ассистента.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безопасная конфигурация строится по схеме «LLM — только диалог, безопасность — программный контур»: обязательное чтение аллергий из медкарты, детерминированный фильтр противопоказаний и взаимодействий, эскалация красных флагов, дисклеймеры, логирование, adversarial-тестирование и врач-редактор базы знаний (таблица 1).</w:t>
      </w:r>
    </w:p>
    <w:p>
      <w:pPr>
        <w:pStyle w:val="Heading1"/>
        <w:ind w:firstLine="0"/>
      </w:pPr>
      <w:r>
        <w:t>3 Распределение ответственности между участниками внедрения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Распределите ответственность между разработчиками LLM, стартапом (владельцем продукта), врачом, одобрившим внедрение, и клиникой. Обоснуйте долю каждой стороны и необходимые договорные и организационные гарантии.</w:t>
      </w:r>
    </w:p>
    <w:p>
      <w:pPr>
        <w:pStyle w:val="BodyText"/>
        <w:spacing w:line="360" w:lineRule="auto"/>
        <w:ind w:firstLine="709"/>
        <w:jc w:val="both"/>
      </w:pPr>
      <w:r>
        <w:t>Ответственность распределяется по способности каждой стороны предвидеть и контролировать соответствующий риск. Разработчики LLM отвечают за модель как таковую: документирование ограничений, корректность предупреждений о галлюцинациях, непредставление модели как медицинского изделия. Они не контролируют конкретное применение и потому не отвечают за клиническую конфигурацию продукта. Основная доля ответственности лежит на стартапе: он принял решения о назначении продукта, составе базы знаний, контуре безопасности и маркетинговых заявлениях; клиническая валидация и защита данных — его прямые обязанности производителя.</w:t>
      </w:r>
    </w:p>
    <w:p>
      <w:pPr>
        <w:pStyle w:val="BodyText"/>
        <w:spacing w:line="360" w:lineRule="auto"/>
        <w:ind w:firstLine="709"/>
        <w:jc w:val="both"/>
      </w:pPr>
      <w:r>
        <w:t>Врач, одобривший пилот, несёт профессиональную ответственность за протоколы: подпись врача придаёт продукту клинический статус, поэтому он обязан был удостовериться в наличии фильтров безопасности, клиническом аудите и границах применения. Клиника отвечает за процесс: лицензионность медицинской деятельности, порядок эксплуатации ассистента персоналом, информирование пациентов, сохранение медицинской тайны. Матрица ответственности приведена в таблице 2.</w:t>
      </w:r>
    </w:p>
    <w:p>
      <w:pPr>
        <w:pStyle w:val="TableCaption"/>
      </w:pPr>
      <w:r>
        <w:t>Таблица 2 — Матрица ответственности сторон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Сторона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Зона ответственности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 доли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Разработчики LLM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Документированные ограничения модели; предупреждения о галлюцинациях; недопущение позиционирования как медицинского изделия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Контролируют модель, но не конкретное применение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Стартап (владелец продукта)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Назначение продукта; база знаний; guardrails; клиническая валидация; защита персональных данных; договоры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Принимает все продуктовые решения и получает выгоду; основная доля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Врач, одобривший внедрение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Протоколы применения; подтверждение контура безопасности; клинический аудит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Профессиональная ответственность за придание клинического статуса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Клиника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Лицензионность деятельности; регламент работы персонала с ассистентом; информирование пациентов; медицинская тайна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Эксплуатация и организация процесса на своей территории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– договорные гарантии: гарантии качества и компенсации в договоре клиника–стартап; запрет автоматических решений без врача; аудит логов сторонами;</w:t>
      </w:r>
    </w:p>
    <w:p>
      <w:pPr>
        <w:pStyle w:val="BodyText"/>
        <w:spacing w:line="360" w:lineRule="auto"/>
        <w:ind w:firstLine="709"/>
        <w:jc w:val="both"/>
      </w:pPr>
      <w:r>
        <w:t>– организационные гарантии: назначенный врач-редактор базы знаний; регламент эскалации; обучение персонала; периодический клинический аудит;</w:t>
      </w:r>
    </w:p>
    <w:p>
      <w:pPr>
        <w:pStyle w:val="BodyText"/>
        <w:spacing w:line="360" w:lineRule="auto"/>
        <w:ind w:firstLine="709"/>
        <w:jc w:val="both"/>
      </w:pPr>
      <w:r>
        <w:t>– защита данных: основания обработки данных здоровья, явное согласие пациентов, минимизация и шифрование, оценка воздействия на защиту данных.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ответственность распределяется по контролю над риском: разработчики LLM — за документированные ограничения модели; стартап — основная доля (продукт, валидация, персональные данные); врач — профессиональная ответственность за протоколы; клиника — за процесс и лицензионность деятельности (таблица 2). Договорные и организационные гарантии закрепляют эту матрицу на практике.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LLM вероятностен, галлюцинации не устранимы архитектурно, правдоподобие не равно истинности; принципы non-maleficence и предосторожности допускают только роль «информатор, не диагност» — доверять модели решение о жизни пациента без программного контура безопасности нельзя.</w:t>
      </w:r>
    </w:p>
    <w:p>
      <w:pPr>
        <w:pStyle w:val="BodyText"/>
        <w:spacing w:line="360" w:lineRule="auto"/>
        <w:ind w:firstLine="709"/>
        <w:jc w:val="both"/>
      </w:pPr>
      <w:r>
        <w:t>В пункте (b) спроектирован реестр ограждений (таблица 1): обязательное чтение аллергий из медкарты, детерминированный фильтр аллергий и взаимодействий по белому списку ОТС-препаратов, эскалация «красных флагов» к врачу, дисклеймер «не медицинская консультация», логирование и аудит, fail-safe поведение, adversarial-тестирование и врач-редактор базы знаний.</w:t>
      </w:r>
    </w:p>
    <w:p>
      <w:pPr>
        <w:pStyle w:val="BodyText"/>
        <w:spacing w:line="360" w:lineRule="auto"/>
        <w:ind w:firstLine="709"/>
        <w:jc w:val="both"/>
      </w:pPr>
      <w:r>
        <w:t>В пункте (c) определена матрица ответственности (таблица 2): разработчики LLM — за документированные ограничения модели; стартап — основная доля (продукт, клиническая валидация, персональные данные); врач — профессиональная ответственность за протоколы; клиника — за процесс и лицензионность медицинской деятельности.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LLM-ассистент в клинике допустим как вспомогательный информационный сервис внутри программного контура безопасности и человеческого надзора; попытка использовать его как автономного «диагноста» противоречит и природе технологии, и биомедицинской этике.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Beauchamp, T. L. Principles of Biomedical Ethics / T. L. Beauchamp, J. F. Childress. — 9th ed. — New York : Oxford University Press, 2019.</w:t>
      </w:r>
    </w:p>
    <w:p>
      <w:pPr>
        <w:pStyle w:val="BodyText"/>
        <w:spacing w:line="360" w:lineRule="auto"/>
        <w:ind w:hanging="425" w:left="425"/>
        <w:jc w:val="both"/>
      </w:pPr>
      <w:r>
        <w:t>2. Федеральный закон от 27.07.2006 № 152-ФЗ «О персональных данных» (ст. 10 — специальные категории персональных данных)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2016/679 Европейского парламента и Совета от 27 апреля 2016 г. (General Data Protection Regulation, ст. 9)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Ethics and governance of artificial intelligence for health: WHO guidance / World Health Organization. — Geneva : WHO, 2021. — URL: https://www.who.int/publications/i/item/9789240029200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5. ГОСТ Р 59276-2020. Системы искусственного интеллекта. Способы обеспечения доверия. Общие положения. — Москва : Стандартинформ, 2020.</w:t>
      </w:r>
    </w:p>
    <w:p>
      <w:pPr>
        <w:pStyle w:val="BodyText"/>
        <w:spacing w:line="360" w:lineRule="auto"/>
        <w:ind w:hanging="425" w:left="425"/>
        <w:jc w:val="both"/>
      </w:pPr>
      <w:r>
        <w:t>6. Регламент (ЕС) 2024/1689 Европейского парламента и Совета от 13 июня 2024 г. (Artificial Intelligence Act: системы высокого риска, включая медицинские изделия) // EUR-Lex : [сайт]. — URL: https://eur-lex.europa.eu/eli/reg/2024/1689/oj (дата обращения: 27.10.2026). — Текст : электронный.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