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НЕГОСУДАРСТВЕННОЕ ОБРАЗОВАТЕЛЬНОЕ ЧАСТНОЕ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«МОСКОВСКИЙ ФИНАНСОВО-ПРОМЫШЛЕННЫЙ УНИВЕРСИТЕТ «СИНЕРГИЯ»»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30"/>
        </w:rPr>
        <w:t xml:space="preserve">Факультет </w:t>
      </w:r>
      <w:r>
        <w:rPr>
          <w:rFonts w:ascii="Times New Roman" w:hAnsi="Times New Roman"/>
          <w:sz w:val="30"/>
          <w:u w:val="single"/>
        </w:rPr>
        <w:t>Информационных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Направление подготовки:</w:t>
            </w:r>
          </w:p>
        </w:tc>
        <w:tc>
          <w:tcPr>
            <w:tcW w:type="dxa" w:w="4535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09.03.02 Информационные системы и технологии</w:t>
            </w:r>
          </w:p>
        </w:tc>
        <w:tc>
          <w:tcPr>
            <w:tcW w:type="dxa" w:w="1191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Кафедра</w:t>
            </w:r>
          </w:p>
        </w:tc>
        <w:tc>
          <w:tcPr>
            <w:tcW w:type="dxa" w:w="1814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ИИиАД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(код, наименование)</w:t>
            </w:r>
          </w:p>
        </w:tc>
        <w:tc>
          <w:tcPr>
            <w:tcW w:type="dxa" w:w="4535"/>
          </w:tcPr>
          <w:p/>
        </w:tc>
        <w:tc>
          <w:tcPr>
            <w:tcW w:type="dxa" w:w="1191"/>
          </w:tcPr>
          <w:p/>
        </w:tc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(аббревиатура)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Профиль:</w:t>
            </w:r>
          </w:p>
        </w:tc>
        <w:tc>
          <w:tcPr>
            <w:tcW w:type="dxa" w:w="7540"/>
            <w:gridSpan w:val="3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Разработка, сопровождение и обеспечение безопасности информационных систем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РЕШЕНИЕ КЕЙСА № 3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по дисциплине «Искусственный интеллект, большие данные и этика»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 тему</w:t>
            </w:r>
          </w:p>
        </w:tc>
        <w:tc>
          <w:tcPr>
            <w:tcW w:type="dxa" w:w="7540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Код без автора: этика и границы использования ИИ-ассистентов разработки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Обучающийся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Шатов Илья Андреевич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Группа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ДМЭ-101цэии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Преподаватель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</w:p>
    <w:p>
      <w:pPr>
        <w:spacing w:line="240" w:lineRule="auto" w:before="120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МОСКВА </w:t>
      </w:r>
      <w:r>
        <w:rPr>
          <w:rFonts w:ascii="Times New Roman" w:hAnsi="Times New Roman"/>
          <w:b/>
          <w:sz w:val="28"/>
          <w:u w:val="single"/>
        </w:rPr>
        <w:t>2026</w:t>
      </w:r>
      <w:r>
        <w:rPr>
          <w:rFonts w:ascii="Times New Roman" w:hAnsi="Times New Roman"/>
          <w:b/>
          <w:sz w:val="28"/>
        </w:rPr>
        <w:t xml:space="preserve"> г.</w:t>
      </w:r>
    </w:p>
    <w:p>
      <w:pPr>
        <w:pageBreakBefore/>
        <w:spacing w:line="240" w:lineRule="auto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ВВЕДЕНИЕ</w:t>
      </w:r>
      <w:r>
        <w:rPr>
          <w:rFonts w:ascii="Times New Roman" w:hAnsi="Times New Roman"/>
          <w:b w:val="0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1 Этичность применения AI-сгенерированного кода в коммерческой разработке</w:t>
      </w:r>
      <w:r>
        <w:rPr>
          <w:rFonts w:ascii="Times New Roman" w:hAnsi="Times New Roman"/>
          <w:b w:val="0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2 Граница между недопустимым заимствованием и законным «вдохновением»</w:t>
      </w:r>
      <w:r>
        <w:rPr>
          <w:rFonts w:ascii="Times New Roman" w:hAnsi="Times New Roman"/>
          <w:b w:val="0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3 Корпоративная политика использования ИИ-инструментов разработки</w:t>
      </w:r>
      <w:r>
        <w:rPr>
          <w:rFonts w:ascii="Times New Roman" w:hAnsi="Times New Roman"/>
          <w:b w:val="0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ВЫВОДЫ</w:t>
      </w:r>
      <w:r>
        <w:rPr>
          <w:rFonts w:ascii="Times New Roman" w:hAnsi="Times New Roman"/>
          <w:b w:val="0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СПИСОК ИСТОЧНИКОВ</w:t>
      </w:r>
      <w:r>
        <w:rPr>
          <w:rFonts w:ascii="Times New Roman" w:hAnsi="Times New Roman"/>
          <w:b w:val="0"/>
          <w:sz w:val="28"/>
        </w:rPr>
        <w:tab/>
        <w:t>11</w:t>
      </w:r>
    </w:p>
    <w:p>
      <w:pPr>
        <w:pStyle w:val="Heading1"/>
        <w:ind w:firstLine="0"/>
      </w:pPr>
      <w:r>
        <w:t>ВВЕДЕНИЕ</w:t>
      </w:r>
    </w:p>
    <w:p>
      <w:pPr>
        <w:pStyle w:val="BodyText"/>
        <w:spacing w:line="360" w:lineRule="auto"/>
        <w:ind w:firstLine="709"/>
        <w:jc w:val="both"/>
      </w:pPr>
      <w:r>
        <w:t>ИИ-ассистенты разработки (GitHub Copilot и аналоги) стали стандартным инструментом: модель, обученная на больших корпусах публичного кода, дописывает функции целиком. Производительность растёт, однако возникают новые вопросы: кому принадлежит сгенерированный код, нарушаются ли лицензии исходных корпусов и что честно сообщать заказчику.</w:t>
      </w:r>
    </w:p>
    <w:p>
      <w:pPr>
        <w:pStyle w:val="BodyText"/>
        <w:spacing w:line="360" w:lineRule="auto"/>
        <w:ind w:firstLine="709"/>
        <w:jc w:val="both"/>
      </w:pPr>
      <w:r>
        <w:t>Ситуация кейса: значительная часть коммерческого модуля фактически сгенерирована моделью, включая фрагменты, почти дословно совпадающие с открытым кодом под лицензией, требующей указания авторства. Заказчику использование ИИ не раскрыто; в договоре есть условие об «оригинальности» поставляемого кода. Позиция коллеги: «ИИ — просто инструмент, как компилятор».</w:t>
      </w:r>
    </w:p>
    <w:p>
      <w:pPr>
        <w:pStyle w:val="BodyText"/>
        <w:spacing w:line="360" w:lineRule="auto"/>
        <w:ind w:firstLine="709"/>
        <w:jc w:val="both"/>
      </w:pPr>
      <w:r>
        <w:t>Цель работы — оценить этичность использования AI-кода без раскрытия, определить границу между заимствованием и законным «вдохновением», составить корпоративную политику использования ИИ-инструментов. Задачи соответствуют пунктам задания и раскрыты в разделах 1–3.</w:t>
      </w:r>
    </w:p>
    <w:p>
      <w:pPr>
        <w:pStyle w:val="Heading1"/>
        <w:ind w:firstLine="0"/>
      </w:pPr>
      <w:r>
        <w:t>1 Этичность применения AI-сгенерированного кода в коммерческой разработке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Оцените этичность использования AI-сгенерированного кода в коммерческом проекте без раскрытия заказчику. Кто несёт ответственность за такой код — разработчик или ИИ-инструмент?</w:t>
      </w:r>
    </w:p>
    <w:p>
      <w:pPr>
        <w:pStyle w:val="BodyText"/>
        <w:spacing w:line="360" w:lineRule="auto"/>
        <w:ind w:firstLine="709"/>
        <w:jc w:val="both"/>
      </w:pPr>
      <w:r>
        <w:t>Использовать AI-ассистента в разработке в принципе этично: инструментальная помощь сама по себе не нарушает ни прав заказчика, ни профессиональных норм — компилятор, IDE и статические анализаторы тоже «участвовали» в создании кода. Аргумент коллеги верен в одном: ИИ — инструмент, а не автор и не субъект ответственности. Но из этого следует обратный вывод: раз модель — инструмент, то весь сгенерированный ею код — деятельность разработчика, который его принял. Ответственность за корректность, безопасность и лицензионную чистоту поставляемого кода полностью остаётся на человеке и на компании; ссылка «написал ассистент» ответственности не снимает.</w:t>
      </w:r>
    </w:p>
    <w:p>
      <w:pPr>
        <w:pStyle w:val="BodyText"/>
        <w:spacing w:line="360" w:lineRule="auto"/>
        <w:ind w:firstLine="709"/>
        <w:jc w:val="both"/>
      </w:pPr>
      <w:r>
        <w:t>Неэтичной в ситуации является не сама генерация, а сокрытие существенных фактов. В договоре заявлена «оригинальность» кода, при этом в него вошли почти дословные фрагменты чужого кода под лицензией с требованием атрибуции, а значимая часть решения сделана генерацией. Заказчик, принимая работу, лишён информации, существенно влияющей на его решение и на его собственные юридические риски (перспективные претензии правообладателей исходного кода). Это обман в профессиональных отношениях независимо от юридической квалификации. Этичное поведение — раскрыть использование ИИ, провести проверку совпадений и лицензий, исправить нарушения атрибуции до поставки.</w:t>
      </w:r>
    </w:p>
    <w:p>
      <w:pPr>
        <w:pStyle w:val="BodyText"/>
        <w:spacing w:line="360" w:lineRule="auto"/>
        <w:ind w:firstLine="709"/>
        <w:jc w:val="both"/>
      </w:pPr>
      <w:r>
        <w:t>– «ИИ — инструмент» не снимает ответственности: принятый разработчиком фрагмент становится его кодом;</w:t>
      </w:r>
    </w:p>
    <w:p>
      <w:pPr>
        <w:pStyle w:val="BodyText"/>
        <w:spacing w:line="360" w:lineRule="auto"/>
        <w:ind w:firstLine="709"/>
        <w:jc w:val="both"/>
      </w:pPr>
      <w:r>
        <w:t>– сокрытие AI-генерации при условии договора об «оригинальности» — существенное умолчание;</w:t>
      </w:r>
    </w:p>
    <w:p>
      <w:pPr>
        <w:pStyle w:val="BodyText"/>
        <w:spacing w:line="360" w:lineRule="auto"/>
        <w:ind w:firstLine="709"/>
        <w:jc w:val="both"/>
      </w:pPr>
      <w:r>
        <w:t>– риск правообладателей исходного кода переходит на заказчика без его ведома — нечестное распределение риска;</w:t>
      </w:r>
    </w:p>
    <w:p>
      <w:pPr>
        <w:pStyle w:val="BodyText"/>
        <w:spacing w:line="360" w:lineRule="auto"/>
        <w:ind w:firstLine="709"/>
        <w:jc w:val="both"/>
      </w:pPr>
      <w:r>
        <w:t>– этичная альтернатива: раскрытие, лицензионный аудит, правка несовместимых фрагментов, фиксация политики использования ИИ в договоре.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использовать AI-код можно, но этично — только с раскрытием заказчику и проверкой лицензионной чистоты; тезис «ИИ — инструмент» подтверждает, а не опровергает ответственность разработчика: за каждый принятый фрагмент отвечает человек, а не модель.</w:t>
      </w:r>
    </w:p>
    <w:p>
      <w:pPr>
        <w:pStyle w:val="Heading1"/>
        <w:ind w:firstLine="0"/>
      </w:pPr>
      <w:r>
        <w:t>2 Граница между недопустимым заимствованием и законным «вдохновением»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Определите границу между недопустимым заимствованием (плагиатом) и законным «вдохновением»: что охраняется авторским правом, чем опасны дословные совпадения, по каким критериям оценивать совпадения.</w:t>
      </w:r>
    </w:p>
    <w:p>
      <w:pPr>
        <w:pStyle w:val="BodyText"/>
        <w:spacing w:line="360" w:lineRule="auto"/>
        <w:ind w:firstLine="709"/>
        <w:jc w:val="both"/>
      </w:pPr>
      <w:r>
        <w:t>Авторское право охраняет форму произведения, а не идеи, методы и алгоритмы как таковые (ст. 1259 ГК РФ; аналогично идея–выражение в общем праве США). Из этого следует рабочее различие: понять по публичному коду подход к решению и реализовать его самостоятельно, своими выражениями и структурой — законное «вдохновение»; воспроизвести форму — текст кода, имена, структуру функций — уже использование произведения, требующее основания (лицензия, правомерное использование по применимому праву). Тот факт, что «форма» воспроизведена не человеком, а моделью, значение не имеет: охраняется объективная форма, а воспроизведение есть воспроизведение.</w:t>
      </w:r>
    </w:p>
    <w:p>
      <w:pPr>
        <w:pStyle w:val="BodyText"/>
        <w:spacing w:line="360" w:lineRule="auto"/>
        <w:ind w:firstLine="709"/>
        <w:jc w:val="both"/>
      </w:pPr>
      <w:r>
        <w:t>Особая зона риска — короткие функциональные фрагменты (проверка валидности, типовые структуры данных): их самостоятельная охраноспособность спорна, а совпадения естественны. Но и здесь дословное попадание узнаваемого фрагмента с уникальными именами и комментариями выдаёт копирование. Практические критерии оценки сведены в таблице 1; документация ведомства авторских прав США по материалам, сгенерированным ИИ, дополнительно фиксирует, что чисто машинная генерация без творческого вклада человека регистрации не подлежит — то есть «автора» у такого кода действительно нет, а обязательства перед третьими лицами никуда не исчезают.</w:t>
      </w:r>
    </w:p>
    <w:p>
      <w:pPr>
        <w:pStyle w:val="TableCaption"/>
      </w:pPr>
      <w:r>
        <w:t>Таблица 1 — Критерии различения «плагиат vs вдохновение»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Законное «вдохновение»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Недопустимое заимствование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Объём и точность совпадения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Совпадает идея/подход; текст написан заново и отличается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Дословные или близкие дословных совпадения многострочных фрагментов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Уникальные идентификаторы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Имена переменных и функций свои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Сохранены уникальные имена, порядок аргументов, комментарии, опечатки источника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Лицензия источника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Идеи не охраняются; лицензия не требуется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Копия под лицензией без соблюдения условий (атрибуция, copyleft)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Документирование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Подход описан своими словами, источник-идея упомянут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Источник не указан, происхождение скрывается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граница проходит по охраняемой форме: идея и стандартный алгоритм — свободны, текст кода — объект авторского права (таблица 1). Дословное или близкое воспроизведение узнаваемого фрагмента без лицензии — плагиат независимо от того, «написал» его человек или модель; ключевые признаки — объём совпадения, уникальные идентификаторы и условия лицензии источника.</w:t>
      </w:r>
    </w:p>
    <w:p>
      <w:pPr>
        <w:pStyle w:val="Heading1"/>
        <w:ind w:firstLine="0"/>
      </w:pPr>
      <w:r>
        <w:t>3 Корпоративная политика использования ИИ-инструментов разработки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Составьте корпоративную политику использования ИИ-инструментов разработки: разрешённые инструменты, запрет вставки проприетарного/персонального кода в промпты, ревью AI-кода, сканеры совпадений и лицензий, раскрытие использования ИИ, распределение финальной ответственности.</w:t>
      </w:r>
    </w:p>
    <w:p>
      <w:pPr>
        <w:pStyle w:val="BodyText"/>
        <w:spacing w:line="360" w:lineRule="auto"/>
        <w:ind w:firstLine="709"/>
        <w:jc w:val="both"/>
      </w:pPr>
      <w:r>
        <w:t>Цель политики — сохранить выгоды инструментов при управляемых рисках: утечке кода и данных через промпты, лицензионной загрязнённости продукта, снижении качества ревью. Политика строится как короткий обязательный свод правил с автоматическими контролями в CI (таблица 2) и явным распределением ответственности: ассистент не подписывает коммиты — ответственность всегда на разработчике, принявшем код, и на ревьюере, его утвердившем.</w:t>
      </w:r>
    </w:p>
    <w:p>
      <w:pPr>
        <w:pStyle w:val="TableCaption"/>
      </w:pPr>
      <w:r>
        <w:t>Таблица 2 — Свод корпоративной политики использования ИИ-инструментов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Область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Контроль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Разрешённые инструменты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Работа только через утверждённый перечень (корпоративные тарифы с запретом обучения на вводе); новые инструменты — через согласование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Реестр инструментов; запрет сетевого доступа несогласованных сервисов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Конфиденциальность промптов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Запрет вставки проприетарного кода, персональных данных и секретов в промпты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DLP-сканер промптов; обучение команды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Ревью AI-кода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Сгенерированный код ревьюится как чужой PR: полное чтение, тесты, вопрос «откуда это написано?»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Правила ревью; метрика доли AI-строк в изменениях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Совпадения и лицензии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Автоматический similarity-сканер и лицензионный сканер на каждый коммит; несовместимые фрагменты — переписать или удалить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CI-gate: сканеры обязательны к зелёному статусу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Раскрытие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Использование ИИ раскрывается заказчику в договоре и по запросу; условие «оригинальности» формулируется честно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Шаблоны договоров; чек-лист поставки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Ответственность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Финальная ответственность на разработчике и ревьюере; ассистент — инструмент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Порядок подписи коммитов; код-ревью без исключений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Обучение и прозрачность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Регулярный инструктаж по политике; разбор инцидентов; SBOM продукта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Журнал обучения; SBOM в комплекте поставки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Свод политики приведён в таблице 2: перечень инструментов и защита промптов (строки 1–2) закрывают риск утечки; ревью и сканеры (строки 3–4) — риск лицензионной загрязнённости и дефектов; раскрытие и ответственность (строки 5–6) — договорные и этические риски кейса. Составление SBOM (перечня компонентов) и фиксация происхождения кода дополняют картину при поставках и аудитах; стандарты происхождения контента (C2PA) задают общее направление прозрачности, применимое и к коду.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политика сводится к семи правилам: утверждённые инструменты, запрет конфиденциального в промптах, ревью AI-кода как чужого PR, обязательные similarity- и лицензионные сканеры, раскрытие использования ИИ заказчику, финальная ответственность на человеке (таблица 2); каждое правило подкреплено автоматическим или организационным контролем.</w:t>
      </w:r>
    </w:p>
    <w:p>
      <w:pPr>
        <w:pStyle w:val="Heading1"/>
        <w:ind w:firstLine="0"/>
      </w:pPr>
      <w:r>
        <w:t>ВЫВОДЫ</w:t>
      </w:r>
    </w:p>
    <w:p>
      <w:pPr>
        <w:pStyle w:val="BodyText"/>
        <w:spacing w:line="360" w:lineRule="auto"/>
        <w:ind w:firstLine="709"/>
        <w:jc w:val="both"/>
      </w:pPr>
      <w:r>
        <w:t>В пункте (a) определено: использовать AI-код этично только с раскрытием заказчику и проверкой лицензионной чистоты; модель — инструмент, поэтому вся ответственность за принятый код лежит на разработчике и компании, а сокрытие генерации при договорном условии «оригинальности» — существенное умолчание.</w:t>
      </w:r>
    </w:p>
    <w:p>
      <w:pPr>
        <w:pStyle w:val="BodyText"/>
        <w:spacing w:line="360" w:lineRule="auto"/>
        <w:ind w:firstLine="709"/>
        <w:jc w:val="both"/>
      </w:pPr>
      <w:r>
        <w:t>В пункте (b) установлена граница: авторское право охраняет форму, а не идею; самостоятельная реализация подхода — законное «вдохновение», дословное воспроизведение узнаваемого фрагмента без лицензии — плагиат (таблица 1); решающие критерии — объём совпадения, уникальные идентификаторы, лицензия источника.</w:t>
      </w:r>
    </w:p>
    <w:p>
      <w:pPr>
        <w:pStyle w:val="BodyText"/>
        <w:spacing w:line="360" w:lineRule="auto"/>
        <w:ind w:firstLine="709"/>
        <w:jc w:val="both"/>
      </w:pPr>
      <w:r>
        <w:t>В пункте (c) составлена корпоративная политика (таблица 2): перечень разрешённых инструментов, запрет вставки проприетарного кода и персональных данных в промпты, ревью AI-кода как чужого PR, similarity- и лицензионные сканеры в CI, раскрытие использования ИИ в договоре, финальная ответственность на человеке, обучение команды и SBOM.</w:t>
      </w:r>
    </w:p>
    <w:p>
      <w:pPr>
        <w:pStyle w:val="BodyText"/>
        <w:spacing w:line="360" w:lineRule="auto"/>
        <w:ind w:firstLine="709"/>
        <w:jc w:val="both"/>
      </w:pPr>
      <w:r>
        <w:t>Общий вывод кейса: ИИ-ассистенты легитимны как инструмент повышения производительности, но не как способ переложить авторство и ответственность; профессиональная норма — прозрачность для заказчика и та же строгость проверки чужой формы, что и при работе с открытым кодом.</w:t>
      </w:r>
    </w:p>
    <w:p>
      <w:pPr>
        <w:pStyle w:val="Heading1"/>
        <w:ind w:firstLine="0"/>
      </w:pPr>
      <w:r>
        <w:t>СПИСОК ИСТОЧНИКОВ</w:t>
      </w:r>
    </w:p>
    <w:p>
      <w:pPr>
        <w:pStyle w:val="BodyText"/>
        <w:spacing w:line="360" w:lineRule="auto"/>
        <w:ind w:hanging="425" w:left="425"/>
        <w:jc w:val="both"/>
      </w:pPr>
      <w:r>
        <w:t>1. Гражданский кодекс Российской Федерации (часть четвёртая) от 18.12.2006 № 230-ФЗ, ст. 1257, 1259 (объекты авторского права)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2. U.S. Copyright Office. Copyright Registration Guidance: Works Containing Material Generated by Artificial Intelligence // Federal Register. — 2023. — Vol. 88. — P. 16190. — URL: https://www.federalregister.gov/documents/2023/03/16/2023-05321/copyright-registration-guidance-works-containing-material-generated-by-artificial-intelligence (дата обращения: 27.10.2026).</w:t>
      </w:r>
    </w:p>
    <w:p>
      <w:pPr>
        <w:pStyle w:val="BodyText"/>
        <w:spacing w:line="360" w:lineRule="auto"/>
        <w:ind w:hanging="425" w:left="425"/>
        <w:jc w:val="both"/>
      </w:pPr>
      <w:r>
        <w:t>3. Регламент (ЕС) 2024/1689 Европейского парламента и Совета от 13 июня 2024 г. (Artificial Intelligence Act, ст. 50 — обязательства прозрачности для генеративных систем) // EUR-Lex : [сайт]. — URL: https://eur-lex.europa.eu/eli/reg/2024/1689/oj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4. GitHub. GitHub Copilot: документация и дополнительные условия использования // GitHub Docs : [сайт]. — URL: https://docs.github.com/copilot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5. C2PA Technical Specification / Coalition for Content Provenance and Authenticity (C2PA) : [сайт]. — URL: https://c2pa.org/specifications/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6. NIST AI Risk Management Framework (AI RMF 1.0) / National Institute of Standards and Technology. — Gaithersburg, 2023. — URL: https://doi.org/10.6028/NIST.AI.100-1 (дата обращения: 27.10.2026).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40" w:lineRule="auto"/>
      <w:ind w:firstLine="0"/>
      <w:jc w:val="center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Normal"/>
    <w:pPr>
      <w:spacing w:after="0"/>
    </w:pPr>
    <w:rPr>
      <w:rFonts w:ascii="Times New Roman" w:hAnsi="Times New Roman" w:cs="Times New Roman" w:eastAsia="Times New Roman"/>
    </w:rPr>
  </w:style>
  <w:style w:type="paragraph" w:customStyle="1" w:styleId="SourceCode">
    <w:name w:val="Source Code"/>
    <w:basedOn w:val="Normal"/>
    <w:pPr>
      <w:spacing w:line="240" w:lineRule="auto" w:after="0"/>
      <w:ind w:firstLine="0"/>
      <w:jc w:val="left"/>
      <w:shd w:val="clear" w:fill="F2F2F2"/>
    </w:pPr>
    <w:rPr>
      <w:rFonts w:ascii="Courier New" w:hAnsi="Courier New" w:cs="Courier New" w:eastAsia="Courier New"/>
      <w:color w:val="000000"/>
      <w:sz w:val="20"/>
    </w:rPr>
  </w:style>
  <w:style w:type="paragraph" w:customStyle="1" w:styleId="ROutput">
    <w:name w:val="R Output"/>
    <w:basedOn w:val="Normal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 w:eastAsia="Courier New"/>
      <w:sz w:val="20"/>
    </w:rPr>
  </w:style>
  <w:style w:type="paragraph" w:customStyle="1" w:styleId="Figure">
    <w:name w:val="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edFigure">
    <w:name w:val="Captioned 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line="240" w:lineRule="auto" w:before="12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ableCaption">
    <w:name w:val="Table Caption"/>
    <w:basedOn w:val="Normal"/>
    <w:pPr>
      <w:keepNext/>
      <w:spacing w:line="240" w:lineRule="auto" w:before="240" w:after="120"/>
      <w:ind w:firstLine="0"/>
      <w:jc w:val="left"/>
    </w:pPr>
    <w:rPr>
      <w:rFonts w:ascii="Times New Roman" w:hAnsi="Times New Roman" w:cs="Times New Roman" w:eastAsia="Times New Roman"/>
      <w:b/>
      <w:color w:val="000000"/>
      <w:sz w:val="28"/>
    </w:rPr>
  </w:style>
  <w:style w:type="table" w:customStyle="1" w:styleId="Table">
    <w:name w:val="Tab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sz w:val="24"/>
      </w:rPr>
      <w:pPr>
        <w:jc w:val="center"/>
      </w:pPr>
    </w:tblStylePr>
  </w:style>
  <w:style w:type="paragraph" w:customStyle="1" w:styleId="TitlePage">
    <w:name w:val="TitlePage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TitlePageSmall">
    <w:name w:val="TitlePageSmall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UnderlineValue">
    <w:name w:val="UnderlineValue"/>
    <w:rPr>
      <w:rFonts w:ascii="Times New Roman" w:hAnsi="Times New Roman" w:cs="Times New Roman" w:eastAsia="Times New Roman"/>
      <w:sz w:val="28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