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120" w:after="0"/>
        <w:ind w:firstLine="0"/>
        <w:jc w:val="center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  <w:u w:val="none"/>
        </w:rPr>
        <w:t>НЕГОСУДАРСТВЕННОЕ ОБРАЗОВАТЕЛЬНОЕ ЧАСТНОЕ УЧРЕЖДЕНИЕ ВЫСШЕГО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«МОСКОВСКИЙ ФИНАНСОВО-ПРОМЫШЛЕННЫЙ УНИВЕРСИТЕТ «СИНЕРГИЯ»»</w:t>
      </w:r>
    </w:p>
    <w:p>
      <w:pPr>
        <w:spacing w:line="240" w:lineRule="auto" w:before="0" w:after="0"/>
        <w:ind w:firstLine="0"/>
        <w:jc w:val="center"/>
      </w:pP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sz w:val="30"/>
        </w:rPr>
        <w:t xml:space="preserve">Факультет </w:t>
      </w:r>
      <w:r>
        <w:rPr>
          <w:rFonts w:ascii="Times New Roman" w:hAnsi="Times New Roman"/>
          <w:sz w:val="30"/>
          <w:u w:val="single"/>
        </w:rPr>
        <w:t>Информационных технологий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Направление подготовки:</w:t>
            </w:r>
          </w:p>
        </w:tc>
        <w:tc>
          <w:tcPr>
            <w:tcW w:type="dxa" w:w="4535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09.03.02 Информационные системы и технологии</w:t>
            </w:r>
          </w:p>
        </w:tc>
        <w:tc>
          <w:tcPr>
            <w:tcW w:type="dxa" w:w="1191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Кафедра</w:t>
            </w:r>
          </w:p>
        </w:tc>
        <w:tc>
          <w:tcPr>
            <w:tcW w:type="dxa" w:w="1814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ИИиАД</w:t>
            </w:r>
          </w:p>
        </w:tc>
      </w:tr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  <w:vertAlign w:val="superscript"/>
              </w:rPr>
              <w:t>(код, наименование)</w:t>
            </w:r>
          </w:p>
        </w:tc>
        <w:tc>
          <w:tcPr>
            <w:tcW w:type="dxa" w:w="4535"/>
          </w:tcPr>
          <w:p/>
        </w:tc>
        <w:tc>
          <w:tcPr>
            <w:tcW w:type="dxa" w:w="1191"/>
          </w:tcPr>
          <w:p/>
        </w:tc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  <w:vertAlign w:val="superscript"/>
              </w:rPr>
              <w:t>(аббревиатура)</w:t>
            </w:r>
          </w:p>
        </w:tc>
      </w:tr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Профиль:</w:t>
            </w:r>
          </w:p>
        </w:tc>
        <w:tc>
          <w:tcPr>
            <w:tcW w:type="dxa" w:w="7540"/>
            <w:gridSpan w:val="3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Разработка, сопровождение и обеспечение безопасности информационных систем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/>
          <w:b/>
          <w:i w:val="0"/>
          <w:sz w:val="32"/>
          <w:u w:val="none"/>
        </w:rPr>
        <w:t>РЕШЕНИЕ КЕЙСА № 4</w:t>
      </w: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по дисциплине «Искусственный интеллект, большие данные и этика»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1814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8"/>
                <w:u w:val="none"/>
              </w:rPr>
              <w:t>на тему</w:t>
            </w:r>
          </w:p>
        </w:tc>
        <w:tc>
          <w:tcPr>
            <w:tcW w:type="dxa" w:w="7540"/>
            <w:tcBorders>
              <w:bottom w:val="single" w:sz="4" w:space="0" w:color="auto"/>
            </w:tcBorders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Deepfake и биометрия: защита личности в сервисах онлайн-проверки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Обучающийся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/>
                <w:sz w:val="24"/>
                <w:u w:val="none"/>
              </w:rPr>
              <w:t>Шатов Илья Андреевич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(Фамилия Имя Отчество)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(подпись)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Группа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/>
                <w:sz w:val="24"/>
                <w:u w:val="none"/>
              </w:rPr>
              <w:t>ДМЭ-101цэии</w:t>
            </w: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Преподаватель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</w:p>
        </w:tc>
      </w:tr>
      <w:tr>
        <w:tc>
          <w:tcPr>
            <w:tcW w:type="dxa" w:w="3118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(Фамилия Имя Отчество)</w:t>
            </w:r>
          </w:p>
        </w:tc>
        <w:tc>
          <w:tcPr>
            <w:tcW w:type="dxa" w:w="6236"/>
          </w:tcPr>
          <w:p>
            <w:r/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  <w:u w:val="none"/>
              </w:rPr>
              <w:t>(подпись)</w:t>
            </w:r>
          </w:p>
        </w:tc>
      </w:tr>
    </w:tbl>
    <w:p>
      <w:pPr>
        <w:spacing w:line="240" w:lineRule="auto" w:before="0" w:after="0"/>
        <w:ind w:firstLine="0"/>
        <w:jc w:val="center"/>
      </w:pPr>
    </w:p>
    <w:p>
      <w:pPr>
        <w:spacing w:line="240" w:lineRule="auto" w:before="0" w:after="0"/>
        <w:ind w:firstLine="0"/>
        <w:jc w:val="center"/>
      </w:pPr>
    </w:p>
    <w:p>
      <w:pPr>
        <w:spacing w:line="240" w:lineRule="auto" w:before="1200"/>
        <w:ind w:firstLine="0"/>
        <w:jc w:val="center"/>
      </w:pPr>
      <w:r>
        <w:rPr>
          <w:rFonts w:ascii="Times New Roman" w:hAnsi="Times New Roman"/>
          <w:b/>
          <w:sz w:val="28"/>
        </w:rPr>
        <w:t xml:space="preserve">МОСКВА </w:t>
      </w:r>
      <w:r>
        <w:rPr>
          <w:rFonts w:ascii="Times New Roman" w:hAnsi="Times New Roman"/>
          <w:b/>
          <w:sz w:val="28"/>
          <w:u w:val="single"/>
        </w:rPr>
        <w:t>2026</w:t>
      </w:r>
      <w:r>
        <w:rPr>
          <w:rFonts w:ascii="Times New Roman" w:hAnsi="Times New Roman"/>
          <w:b/>
          <w:sz w:val="28"/>
        </w:rPr>
        <w:t xml:space="preserve"> г.</w:t>
      </w:r>
    </w:p>
    <w:p>
      <w:pPr>
        <w:pageBreakBefore/>
        <w:spacing w:line="240" w:lineRule="auto" w:after="240"/>
        <w:ind w:firstLine="0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ВВЕДЕНИЕ</w:t>
      </w:r>
      <w:r>
        <w:rPr>
          <w:rFonts w:ascii="Times New Roman" w:hAnsi="Times New Roman"/>
          <w:b w:val="0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1 Биометрические данные как особая категория: риски и требования к согласию</w:t>
      </w:r>
      <w:r>
        <w:rPr>
          <w:rFonts w:ascii="Times New Roman" w:hAnsi="Times New Roman"/>
          <w:b w:val="0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2 Dual-use генеративных моделей: обязательность и формы ограничений</w:t>
      </w:r>
      <w:r>
        <w:rPr>
          <w:rFonts w:ascii="Times New Roman" w:hAnsi="Times New Roman"/>
          <w:b w:val="0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3 Чек-лист Privacy by Design для сервиса проверки личности</w:t>
      </w:r>
      <w:r>
        <w:rPr>
          <w:rFonts w:ascii="Times New Roman" w:hAnsi="Times New Roman"/>
          <w:b w:val="0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ВЫВОДЫ</w:t>
      </w:r>
      <w:r>
        <w:rPr>
          <w:rFonts w:ascii="Times New Roman" w:hAnsi="Times New Roman"/>
          <w:b w:val="0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  <w:t>СПИСОК ИСТОЧНИКОВ</w:t>
      </w:r>
      <w:r>
        <w:rPr>
          <w:rFonts w:ascii="Times New Roman" w:hAnsi="Times New Roman"/>
          <w:b w:val="0"/>
          <w:sz w:val="28"/>
        </w:rPr>
        <w:tab/>
        <w:t>11</w:t>
      </w:r>
    </w:p>
    <w:p>
      <w:pPr>
        <w:pStyle w:val="Heading1"/>
        <w:ind w:firstLine="0"/>
      </w:pPr>
      <w:r>
        <w:t>ВВЕДЕНИЕ</w:t>
      </w:r>
    </w:p>
    <w:p>
      <w:pPr>
        <w:pStyle w:val="BodyText"/>
        <w:spacing w:line="360" w:lineRule="auto"/>
        <w:ind w:firstLine="709"/>
        <w:jc w:val="both"/>
      </w:pPr>
      <w:r>
        <w:t>Онлайн-идентификация по лицу и голосу стала обыденной: сервисы проверяют пользователя по селфи и голосовому образцу. Одновременно генеративные технологии делают доступным создание реалистичных подделок — deepfake-видео и клонов голоса — по одному образцу. Одна и та же технология одновременно защищает личность и угрожает ей.</w:t>
      </w:r>
    </w:p>
    <w:p>
      <w:pPr>
        <w:pStyle w:val="BodyText"/>
        <w:spacing w:line="360" w:lineRule="auto"/>
        <w:ind w:firstLine="709"/>
        <w:jc w:val="both"/>
      </w:pPr>
      <w:r>
        <w:t>Ситуация кейса: сервис онлайн-идентификации хранит «сырые» фотографии лиц и образцы голоса пользователей; предлагается внедрить генеративную модель синтеза лиц «для улучшения качества» фотографий; конкуренты уже применяют генеративные модели для обхода процедур идентификации. Изображение лица и запись голоса — биометрические персональные данные.</w:t>
      </w:r>
    </w:p>
    <w:p>
      <w:pPr>
        <w:pStyle w:val="BodyText"/>
        <w:spacing w:line="360" w:lineRule="auto"/>
        <w:ind w:firstLine="709"/>
        <w:jc w:val="both"/>
      </w:pPr>
      <w:r>
        <w:t>Цель работы — определить особые требования к обработке биометрии, оценить обязанность ограничивать dual-use генеративные модели и разработать чек-лист Privacy by Design для сервиса проверки личности. Задачи соответствуют пунктам задания и раскрыты в разделах 1–3.</w:t>
      </w:r>
    </w:p>
    <w:p>
      <w:pPr>
        <w:pStyle w:val="Heading1"/>
        <w:ind w:firstLine="0"/>
      </w:pPr>
      <w:r>
        <w:t>1 Биометрические данные как особая категория: риски и требования к согласию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Объясните особый статус биометрических данных: необратимость компрометации, бессрочность риска, требования к согласию субъекта. Оцените правомерность хранения «сырых» изображений и обучения на них без отдельного согласия.</w:t>
      </w:r>
    </w:p>
    <w:p>
      <w:pPr>
        <w:pStyle w:val="BodyText"/>
        <w:spacing w:line="360" w:lineRule="auto"/>
        <w:ind w:firstLine="709"/>
        <w:jc w:val="both"/>
      </w:pPr>
      <w:r>
        <w:t>Биометрические данные отличаются от паролей фундаментально: компрометация необратима. Пароль можно сменить, карту перевыпустить — лицо и голос человеку заменить нельзя. Отсюда бессрочность риска: утечка базы селфи сохраняет актуальность на всю жизнь субъектов, а в связке с генеративными моделями один образец достаточен для создания убедительной подделки — видео с движениями губ или голосового клона. Именно поэтому закон относит биометрию к особым категориям: статья 11 закона № 152-ФЗ требует письменного согласия на обработку биометрических персональных данных; статья 9 GDPR включает биометрические данные, используемые для уникальной идентификации, в специальные категории с запретом обработки по умолчанию.</w:t>
      </w:r>
    </w:p>
    <w:p>
      <w:pPr>
        <w:pStyle w:val="BodyText"/>
        <w:spacing w:line="360" w:lineRule="auto"/>
        <w:ind w:firstLine="709"/>
        <w:jc w:val="both"/>
      </w:pPr>
      <w:r>
        <w:t>Из особого статуса следуют требования к согласию: оно должно быть явным (отдельное действие субъекта, а не «галочка в договоре»), информированным (субъект знает, что именно обрабатывается, зачем, как долго и с какими рисками), пошаговым (отдельные согласия на проверку, хранение и на использование в обучении — это разные обработки) и отзывным (право отозвать согласие в любой момент с удалением данных). Согласие «на всё сразу» юридически и этически несостоятельно: оно не информировано по определению.</w:t>
      </w:r>
    </w:p>
    <w:p>
      <w:pPr>
        <w:pStyle w:val="BodyText"/>
        <w:spacing w:line="360" w:lineRule="auto"/>
        <w:ind w:firstLine="709"/>
        <w:jc w:val="both"/>
      </w:pPr>
      <w:r>
        <w:t>Хранение «сырых» изображений и обучение на них без отдельного согласия неправомерно и неоправданно пропорционально. Для проверки подлинности пользователю достаточно хранить сравниваемый шаблон (вектор признаков/эмбеддинг), а не саму фотографию: принцип минимизации данных прямо требует обрабатывать столько данных, сколько необходимо для цели. Обучение на биометрии клиентов — отдельная обработка с иной целью, требующая собственного явного согласия; этически она оправдана лишь крайне редко, а безопасной альтернативой служат синтетические данные и эмбеддинги вместо сырых изображений. Требования к защите биометрической информации стандартизованы ISO/IEC 24745: возобновляемость шаблонов, необратимость преобразования и неотслеживаемость связей между приложениями.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биометрия — необратимая и бессрочно уязвимая идентичность; закон (ст. 11 № 152-ФЗ, ст. 9 GDPR) требует явного, информированного, пошагового и отзывного согласия. Хранение «сырых» изображений и обучение на них без отдельного согласия неоправданны: минимизация требует шаблонов вместо изображений и синтетики вместо клиентских данных в обучении.</w:t>
      </w:r>
    </w:p>
    <w:p>
      <w:pPr>
        <w:pStyle w:val="Heading1"/>
        <w:ind w:firstLine="0"/>
      </w:pPr>
      <w:r>
        <w:t>2 Dual-use генеративных моделей: обязательность и формы ограничений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Обсудите проблему dual-use генеративных технологий: обязаны ли разработчики ограничивать применение? Какие меры разумны (watermarking, происхождение контента C2PA, лимиты и идентификация клиентов API, запрет клонирования голоса без согласия) и что означает доступность open-source моделей для обороны?</w:t>
      </w:r>
    </w:p>
    <w:p>
      <w:pPr>
        <w:pStyle w:val="BodyText"/>
        <w:spacing w:line="360" w:lineRule="auto"/>
        <w:ind w:firstLine="709"/>
        <w:jc w:val="both"/>
      </w:pPr>
      <w:r>
        <w:t>Генеративные модели — классический dual-use: одна и та же способность синтезировать лицо и голос даёт и полезные продукты (доступность, производство контента), и инструменты мошенничества и обхода идентификации. Ответ на вопрос «обязаны ли?» двусоставной. Юридически обязанность формируется уже сейчас: Регламент (ЕС) 2024/1689 вводит обязанности прозрачности для систем, генерирующих синтетический контент, — маркировка машинно-сгенерированных данных в машиночитаемом виде. Этически обязанность следует из общего принципа ответственности за предвидимые последствия выпуска технологии: производитель, знающий о злоупотреблениях и способный снизить их вероятность без разрушения полезности, должен это делать. «Технология нейтральна» не освобождает от проектных решений, влияющих на масштаб вреда.</w:t>
      </w:r>
    </w:p>
    <w:p>
      <w:pPr>
        <w:pStyle w:val="BodyText"/>
        <w:spacing w:line="360" w:lineRule="auto"/>
        <w:ind w:firstLine="709"/>
        <w:jc w:val="both"/>
      </w:pPr>
      <w:r>
        <w:t>Разумные ограничения перечислены в таблице 1: они снижают вероятность злоупотребления, не отменяя легитимных применений. Важно признать предел этих мер: они повышают стоимость злоупотребления, но не делают его невозможным, поскольку распространение моделей с открытыми весами выводит генерацию из-под контроля провайдеров. Поэтому стратегия «только ограничения на выпуске» недостаточна: необходимо усиливать оборону на стороне приёмников — детекторы синтетики, liveness-проверки с активными вызовами, мультимодальное подтверждение, обмен сигнатурами известных подделок. Логика двойного контура: у истока — маркировка и контроль доступа, у приёмника — проверка подлинности и живости.</w:t>
      </w:r>
    </w:p>
    <w:p>
      <w:pPr>
        <w:pStyle w:val="TableCaption"/>
      </w:pPr>
      <w:r>
        <w:t>Таблица 1 — Меры ограничения злоупотребления генеративными моделями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Мера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Эффект и предел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Watermarking (невидимая маркировка)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Контент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Машиночитаемый признак синтетики; предел — удаление повторной обработкой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Происхождение контента (C2PA)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Контент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Криптографическая цепочка создания файла; усиливается инфраструктурой приёмников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Лимиты и KYC на API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Доступ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Идентификация клиентов, квоты, мониторинг паттернов злоупотребления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Запрет клонирования голоса без согласия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Доступ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Верификация прав на голос-источник; контрактный и технический запрет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Детекторы синтетики, liveness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Оборона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Работает при открытых весах; требует постоянного обновления (гонка вооружений)</w:t>
            </w:r>
          </w:p>
        </w:tc>
      </w:tr>
    </w:tbl>
    <w:p>
      <w:pPr>
        <w:pStyle w:val="BodyText"/>
        <w:spacing w:after="120"/>
      </w:pP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ограничения обязательны: юридически — прозрачность синтетического контента по Регламенту (ЕС) 2024/1689, этически — ответственность за предвидимые злоупотребления (таблица 1). Открытые веса снижают контролируемость на выпуске, поэтому стратегия дополняется обороной у приёмников: детекторы, liveness и мультимодальность.</w:t>
      </w:r>
    </w:p>
    <w:p>
      <w:pPr>
        <w:pStyle w:val="Heading1"/>
        <w:ind w:firstLine="0"/>
      </w:pPr>
      <w:r>
        <w:t>3 Чек-лист Privacy by Design для сервиса проверки личности</w:t>
      </w:r>
    </w:p>
    <w:p>
      <w:pPr>
        <w:pStyle w:val="BodyText"/>
        <w:spacing w:line="360" w:lineRule="auto"/>
        <w:ind w:firstLine="709"/>
        <w:jc w:val="both"/>
      </w:pPr>
      <w:r>
        <w:rPr>
          <w:i/>
        </w:rPr>
        <w:t>Условие. Разработайте чек-лист Privacy by Design для сервиса проверки личности по лицу/голосу: минимизация данных, хранение шаблонов вместо изображений, cancellable biometrics, шифрование, on-device обработка, поэтапное согласие с правом на отзыв, liveness/anti-spoofing, аудит-логи, план реагирования на утечки.</w:t>
      </w:r>
    </w:p>
    <w:p>
      <w:pPr>
        <w:pStyle w:val="BodyText"/>
        <w:spacing w:line="360" w:lineRule="auto"/>
        <w:ind w:firstLine="709"/>
        <w:jc w:val="both"/>
      </w:pPr>
      <w:r>
        <w:t>Privacy by Design означает встраивание защиты в архитектуру сервиса, а не добавление её поверх готового продукта. Чек-лист (таблица 2) построен по жизненному циклу данных: сбор, преобразование, хранение, проверка, эксплуатация, инциденты. Каждая строка проверяема и относится к конкретному риску кейса: хранение шаблонов вместо «сырых» селфи снижает цену утечки; cancellable biometrics делают скомпрометированный шаблон «перевыпускаемым»; on-device обработка сокращает объём данных, покидающих устройство пользователя.</w:t>
      </w:r>
    </w:p>
    <w:p>
      <w:pPr>
        <w:pStyle w:val="TableCaption"/>
      </w:pPr>
      <w:r>
        <w:t>Таблица 2 — Чек-лист Privacy by Design сервиса проверки личности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Смысл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Минимизация данных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Собирать только данные, необходимые для проверки; без «на всякий случай»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Шаблоны вместо изображений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Хранить необратимые эмбеддинги; сырые кадры удаляются сразу после проверки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Cancellable biometrics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Трансформация шаблона с возобновляемым ключом: утечка «перевыпускается» сменой ключа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Шифрование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Шаблоны и логи шифруются в покое и в передаче; ключи — в HSM/менеджере секретов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On-device обработка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Извлечение признаков на устройстве пользователя, где возможно; на сервер — только шаблон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Поэтапное согласие с отзывом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Отдельные явные согласия на проверку, хранение, обучение; отзыв в один клик с удалением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Liveness / anti-spoofing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Активные вызовы, мультимодальность, детекторы deepfake на входе проверки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Аудит-логи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Журнал доступов, проверок и экспортов; неизменяемость; периодическая выборочная проверка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Пентест на deepfake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Регулярные попытки обхода синтетикой; red team по всем каналам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План реагирования на утечки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Роли, уведомление субъектов и регулятора, ротация ключей шаблонов, ретроспектива</w:t>
            </w:r>
          </w:p>
        </w:tc>
      </w:tr>
    </w:tbl>
    <w:p>
      <w:pPr>
        <w:pStyle w:val="BodyText"/>
        <w:spacing w:after="120"/>
      </w:pPr>
    </w:p>
    <w:p>
      <w:pPr>
        <w:pStyle w:val="BodyText"/>
        <w:spacing w:line="360" w:lineRule="auto"/>
        <w:ind w:firstLine="709"/>
        <w:jc w:val="both"/>
      </w:pPr>
      <w:r>
        <w:t>Чек-лист в таблице 2 закрывает полный цикл: сбор и преобразование (строки 1–3, 5) устраняют саму возможность утечки «сырых» лиц; защита хранения (строка 4) снижает цену прорыва; согласия (строка 6) делают обработку правомерной по ст. 11 № 152-ФЗ и ст. 9 GDPR; эксплуатация (строки 7–9) противостоит deepfake-обходу; инцидентная готовность (строка 10) определяет действия, когда иные меры оказались недостаточными. Внедрение проверяется внутренним аудитом и оценкой воздействия на защиту данных.</w:t>
      </w:r>
    </w:p>
    <w:p>
      <w:pPr>
        <w:pStyle w:val="BodyText"/>
        <w:spacing w:line="360" w:lineRule="auto"/>
        <w:ind w:firstLine="709"/>
        <w:jc w:val="both"/>
      </w:pPr>
      <w:r>
        <w:rPr>
          <w:b/>
        </w:rPr>
        <w:t xml:space="preserve">Вывод: </w:t>
      </w:r>
      <w:r>
        <w:t>чек-лист Privacy by Design (таблица 2) переводит требования разделов 1–2 в архитектуру сервиса: минимизация, шаблоны вместо изображений, возобновляемые шаблоны, шифрование, on-device обработка, поэтапное отзывное согласие, liveness-защита, аудит, пентест на deepfake и план реагирования.</w:t>
      </w:r>
    </w:p>
    <w:p>
      <w:pPr>
        <w:pStyle w:val="Heading1"/>
        <w:ind w:firstLine="0"/>
      </w:pPr>
      <w:r>
        <w:t>ВЫВОДЫ</w:t>
      </w:r>
    </w:p>
    <w:p>
      <w:pPr>
        <w:pStyle w:val="BodyText"/>
        <w:spacing w:line="360" w:lineRule="auto"/>
        <w:ind w:firstLine="709"/>
        <w:jc w:val="both"/>
      </w:pPr>
      <w:r>
        <w:t>В пункте (a) показано: биометрия отличается необратимостью компрометации и бессрочностью риска, поэтому ст. 11 закона № 152-ФЗ и ст. 9 GDPR требуют явного, информированного, пошагового и отзывного согласия; хранение «сырых» изображений и обучение на них без отдельного согласия неправомерны — минимизация достигается шаблонами и синтетическими данными.</w:t>
      </w:r>
    </w:p>
    <w:p>
      <w:pPr>
        <w:pStyle w:val="BodyText"/>
        <w:spacing w:line="360" w:lineRule="auto"/>
        <w:ind w:firstLine="709"/>
        <w:jc w:val="both"/>
      </w:pPr>
      <w:r>
        <w:t>В пункте (b) обоснована обязательность ограничений dual-use: watermarking, происхождение контента по C2PA, лимиты и KYC на API, запрет клонирования голоса без согласия (таблица 1); открытые веса снижают контролируемость выпуска, поэтому стратегия дополняется обороной у приёмников — детекторами, liveness и мультимодальностью.</w:t>
      </w:r>
    </w:p>
    <w:p>
      <w:pPr>
        <w:pStyle w:val="BodyText"/>
        <w:spacing w:line="360" w:lineRule="auto"/>
        <w:ind w:firstLine="709"/>
        <w:jc w:val="both"/>
      </w:pPr>
      <w:r>
        <w:t>В пункте (c) разработан чек-лист Privacy by Design (таблица 2): минимизация данных; хранение шаблонов вместо изображений; cancellable biometrics; шифрование; on-device обработка; поэтапное согласие с отзывом; liveness/anti-spoofing; аудит-логи; пентест на deepfake; план реагирования на утечки.</w:t>
      </w:r>
    </w:p>
    <w:p>
      <w:pPr>
        <w:pStyle w:val="BodyText"/>
        <w:spacing w:line="360" w:lineRule="auto"/>
        <w:ind w:firstLine="709"/>
        <w:jc w:val="both"/>
      </w:pPr>
      <w:r>
        <w:t>Общий вывод кейса: биометрический сервис несёт пожизненный риск для своих субъектов, поэтому стандарт проектирования — «утечка шаблона не равна утечке личности»: необратимые и возобновляемые шаблоны, минимальный сбор, прозрачные согласия и постоянная оборона от синтетических подделок.</w:t>
      </w:r>
    </w:p>
    <w:p>
      <w:pPr>
        <w:pStyle w:val="Heading1"/>
        <w:ind w:firstLine="0"/>
      </w:pPr>
      <w:r>
        <w:t>СПИСОК ИСТОЧНИКОВ</w:t>
      </w:r>
    </w:p>
    <w:p>
      <w:pPr>
        <w:pStyle w:val="BodyText"/>
        <w:spacing w:line="360" w:lineRule="auto"/>
        <w:ind w:hanging="425" w:left="425"/>
        <w:jc w:val="both"/>
      </w:pPr>
      <w:r>
        <w:t>1. Федеральный закон от 27.07.2006 № 152-ФЗ «О персональных данных» (ст. 11 — биометрические персональные данные) // СПС «КонсультантПлюс».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2. Федеральный закон от 29.12.2022 № 572-ФЗ «Об осуществлении идентификации и (или) аутентификации физических лиц с использованием биометрических персональных данных, о внесении изменений в отдельные законодательные акты Российской Федерации» // СПС «КонсультантПлюс».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3. Регламент (ЕС) 2016/679 Европейского парламента и Совета от 27 апреля 2016 г. (General Data Protection Regulation, ст. 9) // EUR-Lex : [сайт]. — URL: https://eur-lex.europa.eu/eli/reg/2016/679/oj (дата обращения: 27.10.2026).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4. ISO/IEC 24745:2022. Information security, cybersecurity and privacy protection — Biometric information protection. — Geneva : ISO, 2022.</w:t>
      </w:r>
    </w:p>
    <w:p>
      <w:pPr>
        <w:pStyle w:val="BodyText"/>
        <w:spacing w:line="360" w:lineRule="auto"/>
        <w:ind w:hanging="425" w:left="425"/>
        <w:jc w:val="both"/>
      </w:pPr>
      <w:r>
        <w:t>5. C2PA Technical Specification / Coalition for Content Provenance and Authenticity (C2PA) : [сайт]. — URL: https://c2pa.org/specifications/ (дата обращения: 27.10.2026). — Текст : электронный.</w:t>
      </w:r>
    </w:p>
    <w:p>
      <w:pPr>
        <w:pStyle w:val="BodyText"/>
        <w:spacing w:line="360" w:lineRule="auto"/>
        <w:ind w:hanging="425" w:left="425"/>
        <w:jc w:val="both"/>
      </w:pPr>
      <w:r>
        <w:t>6. NIST AI Risk Management Framework (AI RMF 1.0) / National Institute of Standards and Technology. — Gaithersburg, 2023. — URL: https://doi.org/10.6028/NIST.AI.100-1 (дата обращения: 27.10.2026).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09" w:footer="709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240" w:lineRule="auto"/>
      <w:ind w:firstLine="0"/>
      <w:jc w:val="center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 w:line="240" w:lineRule="auto"/>
      <w:ind w:firstLine="0"/>
      <w:jc w:val="center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40" w:lineRule="auto"/>
      <w:ind w:firstLine="0"/>
      <w:jc w:val="left"/>
      <w:outlineLvl w:val="2"/>
    </w:pPr>
    <w:rPr>
      <w:rFonts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rPr>
      <w:rFonts w:ascii="Times New Roman" w:hAnsi="Times New Roman" w:cs="Times New Roman" w:eastAsia="Times New Roman"/>
      <w:color w:val="000000"/>
      <w:sz w:val="28"/>
    </w:rPr>
  </w:style>
  <w:style w:type="paragraph" w:customStyle="1" w:styleId="Compact">
    <w:name w:val="Compact"/>
    <w:basedOn w:val="Normal"/>
    <w:pPr>
      <w:spacing w:after="0"/>
    </w:pPr>
    <w:rPr>
      <w:rFonts w:ascii="Times New Roman" w:hAnsi="Times New Roman" w:cs="Times New Roman" w:eastAsia="Times New Roman"/>
    </w:rPr>
  </w:style>
  <w:style w:type="paragraph" w:customStyle="1" w:styleId="SourceCode">
    <w:name w:val="Source Code"/>
    <w:basedOn w:val="Normal"/>
    <w:pPr>
      <w:spacing w:line="240" w:lineRule="auto" w:after="0"/>
      <w:ind w:firstLine="0"/>
      <w:jc w:val="left"/>
      <w:shd w:val="clear" w:fill="F2F2F2"/>
    </w:pPr>
    <w:rPr>
      <w:rFonts w:ascii="Courier New" w:hAnsi="Courier New" w:cs="Courier New" w:eastAsia="Courier New"/>
      <w:color w:val="000000"/>
      <w:sz w:val="20"/>
    </w:rPr>
  </w:style>
  <w:style w:type="paragraph" w:customStyle="1" w:styleId="ROutput">
    <w:name w:val="R Output"/>
    <w:basedOn w:val="Normal"/>
    <w:pPr>
      <w:spacing w:line="240" w:lineRule="auto" w:after="0"/>
      <w:ind w:firstLine="0"/>
      <w:jc w:val="left"/>
    </w:pPr>
    <w:rPr>
      <w:rFonts w:ascii="Courier New" w:hAnsi="Courier New" w:cs="Courier New" w:eastAsia="Courier New"/>
      <w:color w:val="000000"/>
      <w:sz w:val="20"/>
    </w:rPr>
  </w:style>
  <w:style w:type="character" w:customStyle="1" w:styleId="VerbatimChar">
    <w:name w:val="Verbatim Char"/>
    <w:rPr>
      <w:rFonts w:ascii="Courier New" w:hAnsi="Courier New" w:cs="Courier New" w:eastAsia="Courier New"/>
      <w:sz w:val="20"/>
    </w:rPr>
  </w:style>
  <w:style w:type="paragraph" w:customStyle="1" w:styleId="Figure">
    <w:name w:val="Figure"/>
    <w:basedOn w:val="Normal"/>
    <w:pPr>
      <w:keepNext/>
      <w:spacing w:line="240" w:lineRule="auto" w:before="120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CaptionedFigure">
    <w:name w:val="Captioned Figure"/>
    <w:basedOn w:val="Normal"/>
    <w:pPr>
      <w:keepNext/>
      <w:spacing w:line="240" w:lineRule="auto" w:before="120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ImageCaption">
    <w:name w:val="Image Caption"/>
    <w:basedOn w:val="Normal"/>
    <w:pPr>
      <w:keepNext w:val="0"/>
      <w:spacing w:line="240" w:lineRule="auto" w:before="120" w:after="240"/>
      <w:ind w:firstLine="0"/>
      <w:jc w:val="center"/>
    </w:pPr>
    <w:rPr>
      <w:rFonts w:ascii="Times New Roman" w:hAnsi="Times New Roman" w:cs="Times New Roman" w:eastAsia="Times New Roman"/>
      <w:b/>
      <w:color w:val="000000"/>
      <w:sz w:val="28"/>
    </w:rPr>
  </w:style>
  <w:style w:type="paragraph" w:customStyle="1" w:styleId="TableCaption">
    <w:name w:val="Table Caption"/>
    <w:basedOn w:val="Normal"/>
    <w:pPr>
      <w:keepNext/>
      <w:spacing w:line="240" w:lineRule="auto" w:before="240" w:after="120"/>
      <w:ind w:firstLine="0"/>
      <w:jc w:val="left"/>
    </w:pPr>
    <w:rPr>
      <w:rFonts w:ascii="Times New Roman" w:hAnsi="Times New Roman" w:cs="Times New Roman" w:eastAsia="Times New Roman"/>
      <w:b/>
      <w:color w:val="000000"/>
      <w:sz w:val="28"/>
    </w:rPr>
  </w:style>
  <w:style w:type="table" w:customStyle="1" w:styleId="Table">
    <w:name w:val="Tab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sz w:val="24"/>
      </w:rPr>
      <w:pPr>
        <w:jc w:val="center"/>
      </w:pPr>
    </w:tblStylePr>
  </w:style>
  <w:style w:type="paragraph" w:customStyle="1" w:styleId="TitlePage">
    <w:name w:val="TitlePage"/>
    <w:basedOn w:val="Normal"/>
    <w:pPr>
      <w:spacing w:line="240" w:lineRule="auto" w:after="0"/>
      <w:ind w:firstLine="0"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TitlePageSmall">
    <w:name w:val="TitlePageSmall"/>
    <w:basedOn w:val="Normal"/>
    <w:pPr>
      <w:spacing w:line="240" w:lineRule="auto" w:after="0"/>
      <w:ind w:firstLine="0"/>
      <w:jc w:val="center"/>
    </w:pPr>
    <w:rPr>
      <w:rFonts w:ascii="Times New Roman" w:hAnsi="Times New Roman" w:cs="Times New Roman" w:eastAsia="Times New Roman"/>
      <w:color w:val="000000"/>
      <w:sz w:val="18"/>
    </w:rPr>
  </w:style>
  <w:style w:type="character" w:customStyle="1" w:styleId="UnderlineValue">
    <w:name w:val="UnderlineValue"/>
    <w:rPr>
      <w:rFonts w:ascii="Times New Roman" w:hAnsi="Times New Roman" w:cs="Times New Roman" w:eastAsia="Times New Roman"/>
      <w:sz w:val="28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