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5.svg" ContentType="image/svg+xml"/>
  <Override PartName="/word/media/rId44.svg" ContentType="image/svg+xml"/>
  <Override PartName="/word/media/rId4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community-based child and youth mental health services (CYMH) face significant workforce challenges, alongside increased demand for service, the ability to anticipate and optimize the workload of staff is critical to providing high quality care that is both timely and fair in its resource allocation. Yet ongoing manual review of client records, necessary to fairly and efficiently manage clinician workload remains untenable in the face of the same workforce shortages. With this gap in mind, the goal of the current study is to evaluate the utility of leveraging electronic mental health records (EMHR) with machine learning models to anticipate and monitor the amount of work individual clients contribute to a provider’s workload. Specific objectives include: (i) determining the best proxies for modeling client-related work (i.e., total direct hours versus weekly direct hours versus case acuity–low; medium and high); (ii) identifying the best features to predict client-related work from structured demographic, administrative and assessment EMHRs; (iii) comparing the predictive accuracy of several machine learning algorithms to predict workload proxies (i.e., regression and classification based models depending on the proxy); (iv) determining the potential for early and ongoing prediction of caseweight to inform case assignment and workload management.</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Canada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some even</w:t>
      </w:r>
      <w:r>
        <w:t xml:space="preserve"> </w:t>
      </w:r>
      <w:r>
        <w:t xml:space="preserve">“</w:t>
      </w:r>
      <w:r>
        <w:t xml:space="preserve">aging out</w:t>
      </w:r>
      <w:r>
        <w:t xml:space="preserve">”</w:t>
      </w:r>
      <w:r>
        <w:t xml:space="preserve"> </w:t>
      </w:r>
      <w:r>
        <w:t xml:space="preserve">of the system before they are off the wait list. With over 70% of mental health and addiction problems starting before age seventeen, this is a problem.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mh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 For this reason, developing a way to anticipate and monitor the contribution of individual cases to the overall work of providers is critical to improving client outcomes and minimizing provider burnout.</w:t>
      </w:r>
    </w:p>
    <w:p>
      <w:pPr>
        <w:pStyle w:val="BodyText"/>
      </w:pPr>
      <w:r>
        <w:t xml:space="preserve">According to the most recent Auditor General’s Report on Child and Youth Mental Health, a central problem that impedes the ability of agencies to efficiently meet this challenge, is determining reasonable provider to client workload ratios that reflect the varying needs and intervention levels required by different clients</w:t>
      </w:r>
      <w:r>
        <w:t xml:space="preserve"> </w:t>
      </w:r>
      <w:r>
        <w:t xml:space="preserve">(</w:t>
      </w:r>
      <w:hyperlink w:anchor="ref-cmho2019">
        <w:r>
          <w:rPr>
            <w:rStyle w:val="Hyperlink"/>
          </w:rPr>
          <w:t xml:space="preserve">CMHO, 2019</w:t>
        </w:r>
      </w:hyperlink>
      <w:r>
        <w:t xml:space="preserve">)</w:t>
      </w:r>
      <w:r>
        <w:t xml:space="preserve">. Typically, the most common metric used for estimating provider workload in community based settings are case counts, with the type of service coming in second (i.e., brief services versus counselling and therapy)</w:t>
      </w:r>
      <w:r>
        <w:t xml:space="preserve"> </w:t>
      </w:r>
      <w:r>
        <w:t xml:space="preserve">(</w:t>
      </w:r>
      <w:hyperlink w:anchor="ref-cmho2019">
        <w:r>
          <w:rPr>
            <w:rStyle w:val="Hyperlink"/>
          </w:rPr>
          <w:t xml:space="preserve">CMHO, 2019</w:t>
        </w:r>
      </w:hyperlink>
      <w:r>
        <w:t xml:space="preserve">)</w:t>
      </w:r>
      <w:r>
        <w:t xml:space="preserve">. Case counts are typically used to determine how many new clients a provider has room for in their overall caseload and signal when a provider has reached their capacity</w:t>
      </w:r>
      <w:r>
        <w:t xml:space="preserve"> </w:t>
      </w:r>
      <w:r>
        <w:t xml:space="preserve">(</w:t>
      </w:r>
      <w:hyperlink w:anchor="ref-cmho2019">
        <w:r>
          <w:rPr>
            <w:rStyle w:val="Hyperlink"/>
          </w:rPr>
          <w:t xml:space="preserve">CMHO, 2019</w:t>
        </w:r>
      </w:hyperlink>
      <w:r>
        <w:t xml:space="preserve">)</w:t>
      </w:r>
      <w:r>
        <w:t xml:space="preserve">. For example, an agency might set a target of 20 cases per provider for counselling and therapy services; meaning that providers</w:t>
      </w:r>
      <w:r>
        <w:t xml:space="preserve"> </w:t>
      </w:r>
      <w:r>
        <w:rPr>
          <w:i/>
          <w:iCs/>
        </w:rPr>
        <w:t xml:space="preserve">without</w:t>
      </w:r>
      <w:r>
        <w:t xml:space="preserve"> </w:t>
      </w:r>
      <w:r>
        <w:t xml:space="preserve">20 cases, theoretically have room for more. In practice, the number of cases in a provider’s caseload should</w:t>
      </w:r>
      <w:r>
        <w:t xml:space="preserve"> </w:t>
      </w:r>
      <w:r>
        <w:rPr>
          <w:i/>
          <w:iCs/>
        </w:rPr>
        <w:t xml:space="preserve">decrease</w:t>
      </w:r>
      <w:r>
        <w:t xml:space="preserve"> </w:t>
      </w:r>
      <w:r>
        <w:t xml:space="preserve">as the complexity of individual cases within increase. However, the resources needed to manually evaluate and monitor the changing complexity and intensity of each case’s needs are beyond what most public agencies can provide</w:t>
      </w:r>
      <w:r>
        <w:t xml:space="preserve"> </w:t>
      </w:r>
      <w:r>
        <w:t xml:space="preserve">(</w:t>
      </w:r>
      <w:hyperlink w:anchor="ref-cmho2019">
        <w:r>
          <w:rPr>
            <w:rStyle w:val="Hyperlink"/>
          </w:rPr>
          <w:t xml:space="preserve">CMHO, 2019</w:t>
        </w:r>
      </w:hyperlink>
      <w:r>
        <w:t xml:space="preserve">)</w:t>
      </w:r>
      <w:r>
        <w:t xml:space="preserve">. As a result, cases are most often assigned in a way that assumes that each case represents a similar amount of work.</w:t>
      </w:r>
    </w:p>
    <w:p>
      <w:pPr>
        <w:pStyle w:val="BodyText"/>
      </w:pPr>
      <w:r>
        <w:t xml:space="preserve">In busy publicly funded CYMH agencies, manual review of a high volume of digital case files across hundreds of clients to make proactive care decisions is impractical, unsustainable and error-prone. Given this state of affairs, if there was a way to anticipate and monitor the work associated with a given case without requiring dedicated staff, agencies might more efficiently manage provider work. Research has already demonstrated the feasibility of predicting events associated with a wide range of healthcare problems, including hospital readmission and in-hospital death. However, the mental health literature is mostly limited to predicting specific types of events like risk of suicide, self-harm or onset of first psychosis–rather than predicting the overall resource needs associated with each case. Ultimately, much remains unknown about the feasibility of leveraging machine learning (ML) models to estimate work based on client-level factors. Moreover, even a highly accurate predictive model can’t guarantee improved mental health outcomes or long-term cost savings; therefore, it remains unclear whether new predictive technologies could provide tools that are useful to mental healthcare practitioners.</w:t>
      </w:r>
    </w:p>
    <w:p>
      <w:pPr>
        <w:pStyle w:val="BodyText"/>
      </w:pPr>
      <w:r>
        <w:t xml:space="preserve">With this gap in mind, the current research proposes to explore the feasability of predicting the work associated with a given case at different points along the client timeline and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(EMHR), despite its sparseness, noise, errors and systematic bias.</w:t>
      </w:r>
    </w:p>
    <w:bookmarkStart w:id="28" w:name="literature-review"/>
    <w:p>
      <w:pPr>
        <w:pStyle w:val="Heading2"/>
      </w:pPr>
      <w:r>
        <w:t xml:space="preserve">Literature Review</w:t>
      </w:r>
    </w:p>
    <w:p>
      <w:pPr>
        <w:pStyle w:val="FirstParagraph"/>
      </w:pPr>
      <w:r>
        <w:t xml:space="preserve">To date, the main strategy employed to determine provider workload based on client characteristics in CYMH relies on case-mix methodology borrowed from the medical domain</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classification systems are used in the health care sector to help payers and agencies monitor cost by categorizing clients based on their expected resource use. Casemix algorithms assume that though the needs of an individual will be unique, there are shared characteristics that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such as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Case-mix algorithms usually take one of two approaches to classification based on the expected work associated with features contained a patient’s health record</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Often agencies rely on rudimentary case-mix algorithms to classify cases based on simple factors like age or program accessed. For example, a client accessing long-term counselling and therapy services may have a different weight attached in terms of expected resource use compared to a client accessing a one-session brief service. Index systems on the other hand, combine different case characteristics to provide a continuous, numerical value which maps to expected resource use</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While case-mix systems are widely used in the medical domain, to date, most mental health case-mix classification systems focus on acute care in hospital or other inpatient settings which are distinctly different than community based care in several ways</w:t>
      </w:r>
      <w:r>
        <w:t xml:space="preserve"> </w:t>
      </w:r>
      <w:r>
        <w:t xml:space="preserve">(</w:t>
      </w:r>
      <w:hyperlink w:anchor="ref-tran2019">
        <w:r>
          <w:rPr>
            <w:rStyle w:val="Hyperlink"/>
          </w:rPr>
          <w:t xml:space="preserve">Tran et al., 2019</w:t>
        </w:r>
      </w:hyperlink>
      <w:r>
        <w:t xml:space="preserve">)</w:t>
      </w:r>
      <w:r>
        <w:t xml:space="preserve">. Typically, community based care offers a wider range of services. From brief services to longer-term treatment like counselling and therapy as well as group programs, school-based treatment as well as crisis intervention offered in partnership with local hospitals. Unlike many inpatient settings, services provided in community settings often lack clear diagnoses and recovery timelines making them more complicated to model. For instance, a medical emergency like a broken arm has a predictable recovery window, treatment protocol and thereby cost associated, unlike the subjective experience of anxiety or depression where the time and effort needed to recover is less black and white.</w:t>
      </w:r>
    </w:p>
    <w:p>
      <w:pPr>
        <w:pStyle w:val="BodyText"/>
      </w:pPr>
      <w:r>
        <w:t xml:space="preserve">The difficulty of modeling EMHR in the CYMH domain, is illustrated by the fact that only a handful of studies have looked at solving this problem, despite urgent need. Indeed, a 2019 scoping review of casemix literature in community-based mental health care domains found only a single case that looked at case-mix classification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The researchers found that data-driven classification was no more clinically meaningful than conceptual classification in accounting for number of appointments; moreover,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27"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EMHRs, we next looked to a growing body of research leveraging machine learning algorithms to model electronic health data. Machine learning (ML) is a branch of artificial intelligence that uses statistical techniques that enable computers to learn patterns from data to make accurate predictions</w:t>
      </w:r>
      <w:r>
        <w:t xml:space="preserve"> </w:t>
      </w:r>
      <w:r>
        <w:t xml:space="preserve">(</w:t>
      </w:r>
      <w:hyperlink w:anchor="ref-nielsen2016">
        <w:r>
          <w:rPr>
            <w:rStyle w:val="Hyperlink"/>
          </w:rPr>
          <w:t xml:space="preserve">Nielsen, 2016</w:t>
        </w:r>
      </w:hyperlink>
      <w:r>
        <w:t xml:space="preserve">)</w:t>
      </w:r>
      <w:r>
        <w:t xml:space="preserve">. ML algorithms are particularly well-suited to modeling the complex, high-dimensional data found in EMHRs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Unlike traditional statistical methods that aim to</w:t>
      </w:r>
      <w:r>
        <w:t xml:space="preserve"> </w:t>
      </w:r>
      <w:r>
        <w:rPr>
          <w:i/>
          <w:iCs/>
        </w:rPr>
        <w:t xml:space="preserve">confirm</w:t>
      </w:r>
      <w:r>
        <w:t xml:space="preserve"> </w:t>
      </w:r>
      <w:r>
        <w:t xml:space="preserve">specific linear relationships, ML algorithms independently identify high-dimensional, non-linear patterns for the best</w:t>
      </w:r>
      <w:r>
        <w:t xml:space="preserve"> </w:t>
      </w:r>
      <w:r>
        <w:rPr>
          <w:i/>
          <w:iCs/>
        </w:rPr>
        <w:t xml:space="preserve">predictions</w:t>
      </w:r>
      <w:r>
        <w:t xml:space="preserve">. ML strategies further contain many advanced techniques like regularization and cross-validation which can be used to optimize a model’s ability to generalize to unseen data</w:t>
      </w:r>
      <w:r>
        <w:t xml:space="preserve"> </w:t>
      </w:r>
      <w:r>
        <w:t xml:space="preserve">(</w:t>
      </w:r>
      <w:hyperlink w:anchor="ref-chen2023">
        <w:r>
          <w:rPr>
            <w:rStyle w:val="Hyperlink"/>
          </w:rPr>
          <w:t xml:space="preserve">Chen et al., 2023</w:t>
        </w:r>
      </w:hyperlink>
      <w:r>
        <w:t xml:space="preserve">)</w:t>
      </w:r>
      <w:r>
        <w:t xml:space="preserve">, making this approach particularly suitable for our purposes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Morever, in a subsequent post-hoc case study, healthcare professionals rated the predictions produced by the model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w:t>
      </w:r>
      <w:r>
        <w:t xml:space="preserve">crisis-risk</w:t>
      </w:r>
      <w:r>
        <w:t xml:space="preserve">’</w:t>
      </w:r>
      <w:r>
        <w:t xml:space="preserve"> </w:t>
      </w:r>
      <w:r>
        <w:t xml:space="preserve">served as a proxy for work. By predicting crises, they could anticipate the increased resource-demand which they hoped could inform better case prioritization and managment.</w:t>
      </w:r>
    </w:p>
    <w:bookmarkEnd w:id="27"/>
    <w:bookmarkEnd w:id="28"/>
    <w:bookmarkStart w:id="29" w:name="the-current-study"/>
    <w:p>
      <w:pPr>
        <w:pStyle w:val="Heading2"/>
      </w:pPr>
      <w:r>
        <w:t xml:space="preserve">The current study</w:t>
      </w:r>
    </w:p>
    <w:p>
      <w:pPr>
        <w:pStyle w:val="FirstParagraph"/>
      </w:pPr>
      <w:r>
        <w:t xml:space="preserve">With</w:t>
      </w:r>
      <w:r>
        <w:t xml:space="preserve"> </w:t>
      </w:r>
      <w:r>
        <w:t xml:space="preserve">Garriga et al. (</w:t>
      </w:r>
      <w:hyperlink w:anchor="ref-garriga2022">
        <w:r>
          <w:rPr>
            <w:rStyle w:val="Hyperlink"/>
          </w:rPr>
          <w:t xml:space="preserve">2022</w:t>
        </w:r>
      </w:hyperlink>
      <w:r>
        <w:t xml:space="preserve">)</w:t>
      </w:r>
      <w:r>
        <w:t xml:space="preserve"> </w:t>
      </w:r>
      <w:r>
        <w:t xml:space="preserve">’s study in mind, the current research proposes to explore the feasability of predicting the work associated with a given case in 28 day intervals. The assumption underlying the research, is that there are historical patterns that predict future mental health resource use and that such patterns can be identified in electronic mental health records (EMHR), despite its sparseness, noise, errors and systematic bias. To test our assumptions, we will utilize a retrospective, deidentified dataset containing a cohort of youth and families that utilized CYMH mental health services at a large CYMH agency between 2019 and the end of 2023 in Ontario.</w:t>
      </w:r>
    </w:p>
    <w:p>
      <w:pPr>
        <w:pStyle w:val="BodyText"/>
      </w:pPr>
      <w:r>
        <w:t xml:space="preserve">Though the study will be largely exploratory in nature, the work will be guided by several hypotheses. First, given past research we suspect that predictions will be weakest at the earliest stages of the client journey when information in the EMHR is limited to only an intake screener and basic demographic information, however, as information in the EMHR increases over time, we anticipate accuracy will increase. Furthermore, we anticipate that the best predictor of work for unseen clients will be mental health acuity features known to be linked to resource-use such as externalizing behaviours and prior self-harm or suicide attempts, but anticipate the best predictor of work for known clients will be time-based features such as time since first agency contact or time since last assessment. This hypothesis stems from existing literature indicating that these variables are critical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p>
    <w:bookmarkEnd w:id="29"/>
    <w:bookmarkEnd w:id="30"/>
    <w:bookmarkStart w:id="53" w:name="methodology"/>
    <w:p>
      <w:pPr>
        <w:pStyle w:val="Heading1"/>
      </w:pPr>
      <w:r>
        <w:t xml:space="preserve">Methodology</w:t>
      </w:r>
    </w:p>
    <w:p>
      <w:pPr>
        <w:pStyle w:val="FirstParagraph"/>
      </w:pPr>
      <w:r>
        <w:t xml:space="preserve">To this end, we propose to build and evaluate a mental health caseweight model reliant on EMHR data. Considering we want to predict resource use at regular stages in the client journey, only cases with a completed initial screener will be included in the analysis. Final counts after screening will be reported and added to the flowchart before analysis.</w:t>
      </w:r>
    </w:p>
    <w:p>
      <w:pPr>
        <w:pStyle w:val="BodyText"/>
      </w:pPr>
      <w:r>
        <w:t xml:space="preserve">The study will be conducted at Compass Child and Youth Family Services which is the largest CYMH agency in northern Ontario, serving a culturally and socially diverse population of children, youth and families. The study will utilize a retrospective dataset containing deidentified cases with completed intake assessments who were active between January 1, 2019 and December 31, 2023. The general flow of clients through Compass is illustrated in</w:t>
      </w:r>
      <w:r>
        <w:t xml:space="preserve"> </w:t>
      </w:r>
      <w:hyperlink w:anchor="fig-client-selection">
        <w:r>
          <w:rPr>
            <w:rStyle w:val="Hyperlink"/>
          </w:rPr>
          <w:t xml:space="preserve">Figure 1</w:t>
        </w:r>
      </w:hyperlink>
      <w:r>
        <w:t xml:space="preserve">.</w:t>
      </w:r>
    </w:p>
    <w:bookmarkStart w:id="31"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1"/>
    <w:bookmarkStart w:id="32"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outside of the ages of 5 and 17 years will be excluded. Intake assessments without subsequent treatment will be excluded from the dataset as detecting events that correspond to increased resource use correspond to different ground truths. There are no plans to exclude cases based on any other feature, including diagnoses, however if this changes for whatever reason they will be outlined in the documentation. For the remaining patients, predictions were queried and evaluated for the period following the first assessment before querying the model.</w:t>
      </w:r>
    </w:p>
    <w:bookmarkEnd w:id="32"/>
    <w:bookmarkStart w:id="34" w:name="procedure"/>
    <w:p>
      <w:pPr>
        <w:pStyle w:val="Heading2"/>
      </w:pPr>
      <w:r>
        <w:t xml:space="preserve">Procedure</w:t>
      </w:r>
    </w:p>
    <w:p>
      <w:pPr>
        <w:pStyle w:val="FirstParagraph"/>
      </w:pPr>
      <w:r>
        <w:t xml:space="preserve">The following steps outline the proposed process which will consist of four phases: 1) data collection, preprocessing and exploration; 2) identifying a list of workload proxies (output/dependent variables) that could be used as stand-ins for actual workload; 3) identifying and extracting indicators of workload (i.e.,independent variables/features) that could be used to model our proxies; 3) modeling the relationship between the indicators and proxies with algorithms of varying complexity; and 4) evaluating and comparing the models’ performance on a set of unseen data (see</w:t>
      </w:r>
      <w:r>
        <w:t xml:space="preserve"> </w:t>
      </w:r>
      <w:hyperlink w:anchor="fig-procedure-flow">
        <w:r>
          <w:rPr>
            <w:rStyle w:val="Hyperlink"/>
          </w:rPr>
          <w:t xml:space="preserve">Figure 3</w:t>
        </w:r>
      </w:hyperlink>
      <w:r>
        <w:t xml:space="preserve">).</w:t>
      </w:r>
    </w:p>
    <w:bookmarkStart w:id="33" w:name="data-collection-preprocessing"/>
    <w:p>
      <w:pPr>
        <w:pStyle w:val="Heading3"/>
      </w:pPr>
      <w:r>
        <w:t xml:space="preserve">Data Collection &amp; Preprocessing</w:t>
      </w:r>
    </w:p>
    <w:p>
      <w:pPr>
        <w:pStyle w:val="FirstParagraph"/>
      </w:pPr>
      <w:r>
        <w:t xml:space="preserve">After deidentification, data preprocessing will involve cleaning, joining dataframes, handling missing values if necessary, and aggregating features in monthly narrowing items to only information available at intake. All decisions we make in regard to missing data, data normalization or any other changes will be decided on a case by case basis and reported in our final paper. Moreover, the final report will include any Python code necessary to replicate these steps. Pending approval, the data scripts will also be made publicly available.</w:t>
      </w:r>
    </w:p>
    <w:bookmarkEnd w:id="33"/>
    <w:bookmarkEnd w:id="34"/>
    <w:bookmarkStart w:id="52" w:name="features-and-target-generation"/>
    <w:p>
      <w:pPr>
        <w:pStyle w:val="Heading2"/>
      </w:pPr>
      <w:r>
        <w:t xml:space="preserve">Features and target generation</w:t>
      </w:r>
    </w:p>
    <w:p>
      <w:pPr>
        <w:pStyle w:val="FirstParagraph"/>
      </w:pPr>
      <w:r>
        <w:t xml:space="preserve">With the exception of static information like presenting concern or referral source, all EMHR data will include the associated date and time. The date and time refer to the moment when the specific event or assessment occurred—that is, the date and time that a client contacted compass or completed an assessment. To prepare the data for the modeling task, each client’s case records will be consolidated at a weekly level according to the date associated with the record. Following this process, we will generate evenly spaced time series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p>
      <w:pPr>
        <w:pStyle w:val="BodyText"/>
      </w:pPr>
      <w:r>
        <w:rPr>
          <w:b/>
          <w:bCs/>
          <w:i/>
          <w:iCs/>
        </w:rPr>
        <w:t xml:space="preserve">Label generation.</w:t>
      </w:r>
      <w:r>
        <w:t xml:space="preserve"> </w:t>
      </w: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both direct and indirect time or either on its own.</w:t>
      </w:r>
    </w:p>
    <w:p>
      <w:pPr>
        <w:pStyle w:val="BodyText"/>
      </w:pPr>
      <w:r>
        <w:rPr>
          <w:b/>
          <w:bCs/>
          <w:i/>
          <w:iCs/>
        </w:rPr>
        <w:t xml:space="preserve">Features generation.</w:t>
      </w:r>
      <w:r>
        <w:t xml:space="preserve"> </w:t>
      </w:r>
      <w:r>
        <w:t xml:space="preserve">We will extract features from a total possible feature set of ___ features. Informed by</w:t>
      </w:r>
      <w:r>
        <w:t xml:space="preserve"> </w:t>
      </w:r>
      <w:r>
        <w:t xml:space="preserve">Garriga et al. (</w:t>
      </w:r>
      <w:hyperlink w:anchor="ref-garriga2022">
        <w:r>
          <w:rPr>
            <w:rStyle w:val="Hyperlink"/>
          </w:rPr>
          <w:t xml:space="preserve">2022</w:t>
        </w:r>
      </w:hyperlink>
      <w:r>
        <w:t xml:space="preserve">)</w:t>
      </w:r>
      <w:r>
        <w:t xml:space="preserve">, extraction will be performed according to six procedures:</w:t>
      </w:r>
    </w:p>
    <w:p>
      <w:pPr>
        <w:numPr>
          <w:ilvl w:val="0"/>
          <w:numId w:val="1001"/>
        </w:numPr>
      </w:pPr>
      <w:r>
        <w:t xml:space="preserve">Static or semi-static features. demographics data will be represented as constant values attributed to each se with age treated as a special case that changes each year.</w:t>
      </w:r>
    </w:p>
    <w:p>
      <w:pPr>
        <w:numPr>
          <w:ilvl w:val="0"/>
          <w:numId w:val="1001"/>
        </w:numPr>
      </w:pPr>
      <w:r>
        <w:t xml:space="preserve">Diagnosis feature. Client will be assigned their latest valid diagnosed disorder or developmental disability or an</w:t>
      </w:r>
      <w:r>
        <w:t xml:space="preserve"> </w:t>
      </w:r>
      <w:r>
        <w:t xml:space="preserve">‘</w:t>
      </w:r>
      <w:r>
        <w:t xml:space="preserve">un-diagnosed</w:t>
      </w:r>
      <w:r>
        <w:t xml:space="preserve">’</w:t>
      </w:r>
      <w:r>
        <w:t xml:space="preserve"> </w:t>
      </w:r>
      <w:r>
        <w:t xml:space="preserve">label and then seperated into diagnostic groups according to the latest valid diagnosed disorder at the last week of the training set to avoid leakage into the validation and test sets. Any codes created will be added to the final paper.</w:t>
      </w:r>
    </w:p>
    <w:p>
      <w:pPr>
        <w:numPr>
          <w:ilvl w:val="0"/>
          <w:numId w:val="1001"/>
        </w:numPr>
      </w:pPr>
      <w:r>
        <w:t xml:space="preserve">EMHR weekly aggregations. Records related to client-agency interactions will be aggregated on a weekly basis for each client. The resulting features will constitute counts per type of interaction, one-hot encoded according to their categorization. If a specific type of event did not occur in a given week a value of 0 will be assigned to the feature related to the corresponding type of event for the corresponding week.</w:t>
      </w:r>
    </w:p>
    <w:p>
      <w:pPr>
        <w:numPr>
          <w:ilvl w:val="0"/>
          <w:numId w:val="1001"/>
        </w:numPr>
      </w:pPr>
      <w:r>
        <w:t xml:space="preserve">Time-elapsed features. At each client-week, for each type of interaction and category, we will construct a feature that counts the number of elapsed weeks since the last occurence of the corresponding event. If the client never experienced such an event type up to that point in time, an NA value will be used.</w:t>
      </w:r>
    </w:p>
    <w:p>
      <w:pPr>
        <w:numPr>
          <w:ilvl w:val="0"/>
          <w:numId w:val="1001"/>
        </w:numPr>
      </w:pPr>
      <w:r>
        <w:t xml:space="preserve">Last crisis episode descriptors. For each crisis episode, a set of descriptors will be used to build feature for the subsequent weeks until the next crisis events occurs. If the client never had a crisis event up until that point in time, NA values will be used.</w:t>
      </w:r>
    </w:p>
    <w:p>
      <w:pPr>
        <w:numPr>
          <w:ilvl w:val="0"/>
          <w:numId w:val="1001"/>
        </w:numPr>
      </w:pPr>
      <w:r>
        <w:t xml:space="preserve">Last assessment descriptors. For each assessment item, a set of descriptors will be used to build a feature for the subsequent weeks until the next assessment occurs. All clients will have at least one assessment to be included in the study.</w:t>
      </w:r>
    </w:p>
    <w:p>
      <w:pPr>
        <w:numPr>
          <w:ilvl w:val="0"/>
          <w:numId w:val="1001"/>
        </w:numPr>
      </w:pPr>
      <w:r>
        <w:t xml:space="preserve">Status features. For specific records, characterized by a start and end date, features for the corresponding weeks will be built by assigning their corresponding value (or category); otherwise they are set to Na.</w:t>
      </w:r>
    </w:p>
    <w:p>
      <w:pPr>
        <w:pStyle w:val="FirstParagraph"/>
      </w:pPr>
      <w:r>
        <w:t xml:space="preserve">In addition to record-based features, we will also add the week number (of a year 1-52) to account for seasonality effects.</w:t>
      </w:r>
    </w:p>
    <w:p>
      <w:pPr>
        <w:pStyle w:val="BodyText"/>
      </w:pPr>
      <w:r>
        <w:t xml:space="preserve">Caseweight prediction modeling and evaluation. The caseweight prediction task will be defined as a continuous regression problem to be performed on a weekly basis. For each week, the model will predict the weekly hours needed during the upcoming 28 days. Applying a rolling window approach will allow for a periodic update of the caseweight by incorporating newly available data (or the absence of it) at the beginning of each week. The approach is common in settings where predictions are to be used in real time and when data are continuously updated. In addition we will define a classification task for each client, predicting low, moderate or high resource use the following week.</w:t>
      </w:r>
    </w:p>
    <w:bookmarkStart w:id="48" w:name="data-splitting"/>
    <w:p>
      <w:pPr>
        <w:pStyle w:val="Heading3"/>
      </w:pPr>
      <w:r>
        <w:t xml:space="preserve">Data Splitting</w:t>
      </w:r>
    </w:p>
    <w:p>
      <w:pPr>
        <w:pStyle w:val="FirstParagraph"/>
      </w:pPr>
      <w:r>
        <w:t xml:space="preserve">To maximize the generalizability of our models, we will apply a time-based 80/10/10 training/validation/test split:</w:t>
      </w:r>
    </w:p>
    <w:p>
      <w:pPr>
        <w:pStyle w:val="BodyText"/>
      </w:pPr>
      <w:r>
        <w:t xml:space="preserve">Training data will start in the first week of January 2019 and will end the last week of June 2022. Validation data will start in the first week of January 2023 and end in the last week of December 2023. Test data will start in the first week of January 2024 and end in the last week of December 2024.</w:t>
      </w:r>
    </w:p>
    <w:p>
      <w:pPr>
        <w:pStyle w:val="BodyText"/>
      </w:pPr>
      <w:r>
        <w:t xml:space="preserve">10-fold, timed based cross-validation will be used to tune the models. The cross-validation folds will be created with a portion of the training data, subdividing it into 10 subsets, or</w:t>
      </w:r>
      <w:r>
        <w:t xml:space="preserve"> </w:t>
      </w:r>
      <w:r>
        <w:t xml:space="preserve">“</w:t>
      </w:r>
      <w:r>
        <w:t xml:space="preserve">folds,</w:t>
      </w:r>
      <w:r>
        <w:t xml:space="preserve">”</w:t>
      </w:r>
      <w:r>
        <w:t xml:space="preserve"> </w:t>
      </w:r>
      <w:r>
        <w:t xml:space="preserve">that will preserve the same time structure.</w:t>
      </w:r>
    </w:p>
    <w:p>
      <w:pPr>
        <w:pStyle w:val="BodyText"/>
      </w:pPr>
      <w:r>
        <w:t xml:space="preserve">Performance evaluations will be conducted on a weekly basis and each week’s results will be used to build CIs on the evaluated metrics. All reported results will be computed using the test set if not otherwise indicated. (</w:t>
      </w:r>
      <w:hyperlink w:anchor="fig-procedure-flow">
        <w:r>
          <w:rPr>
            <w:rStyle w:val="Hyperlink"/>
          </w:rPr>
          <w:t xml:space="preserve">Figure 3</w:t>
        </w:r>
      </w:hyperlink>
      <w:r>
        <w:t xml:space="preserve">).</w:t>
      </w:r>
    </w:p>
    <w:p>
      <w:pPr>
        <w:pStyle w:val="BodyText"/>
      </w:pPr>
      <w:r>
        <w:t xml:space="preserve">The test set will act as a control group to evaluate the models’ performance on</w:t>
      </w:r>
      <w:r>
        <w:t xml:space="preserve"> </w:t>
      </w:r>
      <w:r>
        <w:t xml:space="preserve">“</w:t>
      </w:r>
      <w:r>
        <w:t xml:space="preserve">unseen data</w:t>
      </w:r>
      <w:r>
        <w:t xml:space="preserve">”</w:t>
      </w:r>
      <w:r>
        <w:t xml:space="preserve"> </w:t>
      </w:r>
      <w:r>
        <w:t xml:space="preserve">at the very end of the training process.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Heading4"/>
        <w:rPr>
          <w:vanish/>
          <w:specVanish/>
        </w:rPr>
      </w:pPr>
      <w:r>
        <w:t>Independent Variables (features/indicators of work).</w:t>
      </w:r>
      <w:r>
        <w:t xml:space="preserve"> </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w:t>
      </w:r>
    </w:p>
    <w:p>
      <w:pPr>
        <w:pStyle w:val="BodyText"/>
      </w:pPr>
      <w:r>
        <w:t xml:space="preserve">The main criterion for inclusion in the model will be the variable’s availability in the electronic health record (EHR) system at intake. Features (variables) will include items and scales from the interRAI ChYMH Screener+. The interRAI ChYMH is a clinician-rated tool that is completed based on a semi-structured clinical interview and includes several scale scores, administrative items as well as other demographics information</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The ChYMH-S includes 34 administrative and tracking items, 26 mental health indicators, 5 substance use indicators, 9 questions related to harm to self and others, 6 behaviour focused items, 1 cognitive item as well as items that look to track social relations, anxiety levels, medications, living arrangements, diagnoses, physical conditions, past interventions and current and past strengths and resilience</w:t>
      </w:r>
      <w:r>
        <w:t xml:space="preserve"> </w:t>
      </w:r>
      <w:r>
        <w:t xml:space="preserve">(</w:t>
      </w:r>
      <w:hyperlink w:anchor="ref-stewart2022">
        <w:r>
          <w:rPr>
            <w:rStyle w:val="Hyperlink"/>
          </w:rPr>
          <w:t xml:space="preserve">Stewart et al., 2022</w:t>
        </w:r>
      </w:hyperlink>
      <w:r>
        <w:t xml:space="preserve">)</w:t>
      </w:r>
      <w:r>
        <w:t xml:space="preserve">. The Depressive Severity Index, Anxiety Scale, Disruptive/Aggressive Behaviour Scale, Hyperactive/Distraction Scale and Internalizing/Externalizing scales are all included in the ChYMH-S. The instrument and the various scales and items it contains have been tested extensively in research worldwide, demonstrating reliable face, content, construct and predictive validity</w:t>
      </w:r>
      <w:r>
        <w:t xml:space="preserve"> </w:t>
      </w:r>
      <w:r>
        <w:t xml:space="preserve">(</w:t>
      </w:r>
      <w:hyperlink w:anchor="ref-stewart2022">
        <w:r>
          <w:rPr>
            <w:rStyle w:val="Hyperlink"/>
          </w:rPr>
          <w:t xml:space="preserve">Stewart et al., 2022</w:t>
        </w:r>
      </w:hyperlink>
      <w:r>
        <w:t xml:space="preserve">;</w:t>
      </w:r>
      <w:r>
        <w:t xml:space="preserve"> </w:t>
      </w:r>
      <w:hyperlink w:anchor="ref-stewart2017">
        <w:r>
          <w:rPr>
            <w:rStyle w:val="Hyperlink"/>
          </w:rPr>
          <w:t xml:space="preserve">Stewart &amp; Hamza, 2017</w:t>
        </w:r>
      </w:hyperlink>
      <w:r>
        <w:t xml:space="preserve">)</w:t>
      </w:r>
      <w:r>
        <w:t xml:space="preserve">.</w:t>
      </w:r>
    </w:p>
    <w:p>
      <w:pPr>
        <w:pStyle w:val="BodyText"/>
      </w:pPr>
      <w:r>
        <w:t xml:space="preserve">A full list of all variables will be included in the final report.</w:t>
      </w:r>
    </w:p>
    <w:bookmarkStart w:id="38"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36" name="Picture"/>
            <a:graphic>
              <a:graphicData uri="http://schemas.openxmlformats.org/drawingml/2006/picture">
                <pic:pic>
                  <pic:nvPicPr>
                    <pic:cNvPr descr="images/client_pathway.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38"/>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p>
      <w:pPr>
        <w:pStyle w:val="Heading4"/>
        <w:rPr>
          <w:vanish/>
          <w:specVanish/>
        </w:rPr>
      </w:pPr>
      <w:r>
        <w:t>Targets (dependent variables or workload proxies).</w:t>
      </w:r>
      <w:r>
        <w:t xml:space="preserve"> </w:t>
      </w:r>
    </w:p>
    <w:p>
      <w:pPr>
        <w:pStyle w:val="BodyText"/>
      </w:pPr>
      <w:r>
        <w:t xml:space="preserve">Informed by</w:t>
      </w:r>
      <w:r>
        <w:t xml:space="preserve"> </w:t>
      </w:r>
      <w:r>
        <w:t xml:space="preserve">Wang et al. (</w:t>
      </w:r>
      <w:hyperlink w:anchor="ref-wang2021">
        <w:r>
          <w:rPr>
            <w:rStyle w:val="Hyperlink"/>
          </w:rPr>
          <w:t xml:space="preserve">2021</w:t>
        </w:r>
      </w:hyperlink>
      <w:r>
        <w:t xml:space="preserve">)</w:t>
      </w:r>
      <w:r>
        <w:t xml:space="preserve">, we propose to measure the influence of our workload indicators on i) length of service (weeks), ii) hours of time spent directly with the client or caregivers either in person on the phone or video call (direct time), iii) hours spent indirectly on client-related work like writing a treatment plan or filling out case notes (indirect time), iii) combined direct and iv) a case density score (caseweight) calculated by dividing the sum of direct and indirect time divided by the number of weeks the client spent in service (see</w:t>
      </w:r>
      <w:r>
        <w:t xml:space="preserve"> </w:t>
      </w:r>
      <w:hyperlink w:anchor="eq-caseweight">
        <w:r>
          <w:rPr>
            <w:rStyle w:val="Hyperlink"/>
          </w:rPr>
          <w:t xml:space="preserve">Equation 1</w:t>
        </w:r>
      </w:hyperlink>
      <w:r>
        <w:t xml:space="preserve">). See</w:t>
      </w:r>
      <w:r>
        <w:t xml:space="preserve"> </w:t>
      </w:r>
      <w:hyperlink w:anchor="fig-caseweightmodel">
        <w:r>
          <w:rPr>
            <w:rStyle w:val="Hyperlink"/>
          </w:rPr>
          <w:t xml:space="preserve">Figure 2</w:t>
        </w:r>
      </w:hyperlink>
      <w:r>
        <w:t xml:space="preserve"> </w:t>
      </w:r>
      <w:r>
        <w:t xml:space="preserve">for a visualization of the relationship between variables.</w:t>
      </w:r>
    </w:p>
    <w:p>
      <w:pPr>
        <w:pStyle w:val="BodyText"/>
      </w:pPr>
      <w:bookmarkStart w:id="39" w:name="eq-caseweight"/>
      <m:oMathPara>
        <m:oMathParaPr>
          <m:jc m:val="center"/>
        </m:oMathParaPr>
        <m:oMath>
          <m:r>
            <m:t>C</m:t>
          </m:r>
          <m:r>
            <m:t>a</m:t>
          </m:r>
          <m:r>
            <m:t>s</m:t>
          </m:r>
          <m:r>
            <m:t>e</m:t>
          </m:r>
          <m:r>
            <m:t>w</m:t>
          </m:r>
          <m:r>
            <m:t>e</m:t>
          </m:r>
          <m:r>
            <m:t>i</m:t>
          </m:r>
          <m:r>
            <m:t>g</m:t>
          </m:r>
          <m:r>
            <m:t>h</m:t>
          </m:r>
          <m:r>
            <m:t>t</m:t>
          </m:r>
          <m:r>
            <m:rPr>
              <m:sty m:val="p"/>
            </m:rPr>
            <m:t>=</m:t>
          </m:r>
          <m:f>
            <m:fPr>
              <m:type m:val="bar"/>
            </m:fPr>
            <m:num>
              <m:r>
                <m:t>H</m:t>
              </m:r>
              <m:r>
                <m:t>o</m:t>
              </m:r>
              <m:r>
                <m:t>u</m:t>
              </m:r>
              <m:r>
                <m:t>r</m:t>
              </m:r>
              <m:r>
                <m:t>s</m:t>
              </m:r>
              <m:r>
                <m:t>S</m:t>
              </m:r>
              <m:r>
                <m:t>p</m:t>
              </m:r>
              <m:r>
                <m:t>e</m:t>
              </m:r>
              <m:r>
                <m:t>n</m:t>
              </m:r>
              <m:r>
                <m:t>t</m:t>
              </m:r>
            </m:num>
            <m:den>
              <m:r>
                <m:t>W</m:t>
              </m:r>
              <m:r>
                <m:t>e</m:t>
              </m:r>
              <m:r>
                <m:t>e</m:t>
              </m:r>
              <m:r>
                <m:t>k</m:t>
              </m:r>
              <m:r>
                <m:t>s</m:t>
              </m:r>
              <m:r>
                <m:t>I</m:t>
              </m:r>
              <m:r>
                <m:t>n</m:t>
              </m:r>
              <m:r>
                <m:t>S</m:t>
              </m:r>
              <m:r>
                <m:t>e</m:t>
              </m:r>
              <m:r>
                <m:t>r</m:t>
              </m:r>
              <m:r>
                <m:t>v</m:t>
              </m:r>
              <m:r>
                <m:t>i</m:t>
              </m:r>
              <m:r>
                <m:t>c</m:t>
              </m:r>
              <m:r>
                <m:t>e</m:t>
              </m:r>
            </m:den>
          </m:f>
          <m:r>
            <m:t>  </m:t>
          </m:r>
          <m:d>
            <m:dPr>
              <m:begChr m:val="("/>
              <m:endChr m:val=")"/>
              <m:sepChr m:val=""/>
              <m:grow/>
            </m:dPr>
            <m:e>
              <m:r>
                <m:t>1</m:t>
              </m:r>
            </m:e>
          </m:d>
        </m:oMath>
      </m:oMathPara>
      <w:bookmarkEnd w:id="39"/>
    </w:p>
    <w:bookmarkStart w:id="43" w:name="fig-caseweightmodel"/>
    <w:p>
      <w:pPr>
        <w:pStyle w:val="FigureTitle"/>
      </w:pPr>
      <w:r>
        <w:t xml:space="preserve">Figure 2</w:t>
      </w:r>
    </w:p>
    <w:p>
      <w:pPr>
        <w:pStyle w:val="Caption"/>
      </w:pPr>
      <w:r>
        <w:t xml:space="preserve">Modeling Caseweight–client-related work</w:t>
      </w:r>
    </w:p>
    <w:p>
      <w:pPr>
        <w:pStyle w:val="FigureWithNote"/>
      </w:pPr>
      <w:r>
        <w:drawing>
          <wp:inline>
            <wp:extent cx="5943600" cy="3678538"/>
            <wp:effectExtent b="0" l="0" r="0" t="0"/>
            <wp:docPr descr="" title="" id="41" name="Picture"/>
            <a:graphic>
              <a:graphicData uri="http://schemas.openxmlformats.org/drawingml/2006/picture">
                <pic:pic>
                  <pic:nvPicPr>
                    <pic:cNvPr descr="images/predicting_caseweight.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43"/>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p>
      <w:pPr>
        <w:pStyle w:val="BodyText"/>
      </w:pPr>
      <w:r>
        <w:t xml:space="preserve">ADD TABLE OF WORKLOAD PROXIES</w:t>
      </w:r>
    </w:p>
    <w:p>
      <w:pPr>
        <w:pStyle w:val="BodyText"/>
      </w:pPr>
      <w:r>
        <w:t xml:space="preserve">Outcome proxies will be modeled as a i) continuous index scores or a ii) classification grouping (low versus high). In practice, regression could be used to predict the number of hours a client might need per week across the episode of care, while the classification model will provide a quick flag for cases that are more high intensity than others.</w:t>
      </w:r>
    </w:p>
    <w:p>
      <w:pPr>
        <w:pStyle w:val="BodyText"/>
      </w:pPr>
      <w:r>
        <w:t xml:space="preserve">As a first step, we will train models on data collected over the entire program length to determine whether the indicators have any utility in modelling the workload proxies (some clients will have multiple assessments across the treatment period). Next, we will train on data</w:t>
      </w:r>
      <w:r>
        <w:t xml:space="preserve"> </w:t>
      </w:r>
      <w:r>
        <w:rPr>
          <w:i/>
          <w:iCs/>
        </w:rPr>
        <w:t xml:space="preserve">only</w:t>
      </w:r>
      <w:r>
        <w:t xml:space="preserve"> </w:t>
      </w:r>
      <w:r>
        <w:t xml:space="preserve">from the first assessment to predict workload captured at follow up assessment (typically 3 months later). This will allow us to test whether a workload prediction in the earliest stages of a visit is feasible. We believe this will be a more difficult task to accurately model, as such, a simple binary prediction of low versus high intensity may be easier for the models to accurately predict than a continuous index score.</w:t>
      </w:r>
    </w:p>
    <w:bookmarkStart w:id="47" w:name="fig-procedure-flow"/>
    <w:p>
      <w:pPr>
        <w:pStyle w:val="FigureTitle"/>
      </w:pPr>
      <w:r>
        <w:t xml:space="preserve">Figure 3</w:t>
      </w:r>
    </w:p>
    <w:p>
      <w:pPr>
        <w:pStyle w:val="Caption"/>
      </w:pPr>
      <w:r>
        <w:t xml:space="preserve">Experimental procedure</w:t>
      </w:r>
    </w:p>
    <w:p>
      <w:pPr>
        <w:pStyle w:val="FigureWithNote"/>
      </w:pPr>
      <w:r>
        <w:drawing>
          <wp:inline>
            <wp:extent cx="5943600" cy="5570626"/>
            <wp:effectExtent b="0" l="0" r="0" t="0"/>
            <wp:docPr descr="" title="" id="45" name="Picture"/>
            <a:graphic>
              <a:graphicData uri="http://schemas.openxmlformats.org/drawingml/2006/picture">
                <pic:pic>
                  <pic:nvPicPr>
                    <pic:cNvPr descr="images/experimental-modelling-procedure.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47"/>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8"/>
    <w:bookmarkStart w:id="49"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high performance and predictive accuracy on tabular datasets, iii) LASSO and Ridge regression for their ability to manage high multicollinearity, and finally iv) linear regression to serve as a baseline model for continuous outcomes and generalized logistic regression for binary outcomes. All algorithms will be trained on the same training set and cross validation folds and evaluated on the same test set using the TidyModels suite of packages in R Studio.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49"/>
    <w:bookmarkStart w:id="50" w:name="validation-and-testing"/>
    <w:p>
      <w:pPr>
        <w:pStyle w:val="Heading3"/>
      </w:pPr>
      <w:r>
        <w:t xml:space="preserve">Validation and Testing</w:t>
      </w:r>
    </w:p>
    <w:p>
      <w:pPr>
        <w:pStyle w:val="FirstParagraph"/>
      </w:pPr>
      <w:r>
        <w:t xml:space="preserve">Final models will be statistically compared and evaluated on the test set using the following performance metrics: i) Mean Absolute Error (MAE), and ii) Root Mean Squared Error (RMSE) for continues outcomes. For categorical outcomes, we will rely on accuracy and area under the curve (AUC). These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w:t>
      </w:r>
      <w:r>
        <w:t xml:space="preserve">Final models will also be analyzed to identify which predictors were the most significant predictors of client-related workload using SHAP scores.</w:t>
      </w:r>
    </w:p>
    <w:bookmarkEnd w:id="50"/>
    <w:bookmarkStart w:id="51" w:name="software-and-tools"/>
    <w:p>
      <w:pPr>
        <w:pStyle w:val="Heading3"/>
      </w:pPr>
      <w:r>
        <w:t xml:space="preserve">Software and Tools</w:t>
      </w:r>
    </w:p>
    <w:p>
      <w:pPr>
        <w:pStyle w:val="FirstParagraph"/>
      </w:pPr>
      <w:r>
        <w:t xml:space="preserve">We will use R Statistical Software and the Tidyverse and TidyModels suite of packages for data manipulation and model building (R Core Team, 2024; Khun &amp; Wickham 2020). This choice aligns with our familiarity with R and the study’s specific requirements. R Quarto Markdown will be used for documentation and reproducibility. During the model building process, there is a chance we may use Python as well in the RStudio environment and will report and document this choice thoroughly if we do</w:t>
      </w:r>
      <w:r>
        <w:t xml:space="preserve"> </w:t>
      </w:r>
      <w:r>
        <w:t xml:space="preserve">(</w:t>
      </w:r>
      <w:hyperlink w:anchor="ref-vanrossum1995">
        <w:r>
          <w:rPr>
            <w:rStyle w:val="Hyperlink"/>
          </w:rPr>
          <w:t xml:space="preserve">Van Rossum &amp; Drake, 1995</w:t>
        </w:r>
      </w:hyperlink>
      <w:r>
        <w:t xml:space="preserve">)</w:t>
      </w:r>
      <w:r>
        <w:t xml:space="preserve">.</w:t>
      </w:r>
    </w:p>
    <w:bookmarkEnd w:id="51"/>
    <w:bookmarkEnd w:id="52"/>
    <w:bookmarkEnd w:id="53"/>
    <w:bookmarkStart w:id="54" w:name="limitations-and-challenges"/>
    <w:p>
      <w:pPr>
        <w:pStyle w:val="Heading1"/>
      </w:pPr>
      <w:r>
        <w:t xml:space="preserve">Limitations and Challenges</w:t>
      </w:r>
    </w:p>
    <w:p>
      <w:pPr>
        <w:pStyle w:val="FirstParagraph"/>
      </w:pPr>
      <w:r>
        <w:t xml:space="preserve">While our study aims to advance our understanding of client-related workload,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from biases present in the data itself. Systematic biases in the initial data collection process, such as under 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Moreover, many of the scale scores may be influenced by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minimizing systemic unfairness, it also means that potentially valuable information about resource utilization influenced by provider characteristics is not considered. This could impact the comprehensiveness and accuracy of our workload predictions.</w:t>
      </w:r>
    </w:p>
    <w:p>
      <w:pPr>
        <w:pStyle w:val="BodyText"/>
      </w:pPr>
      <w:r>
        <w:t xml:space="preserve">Lastly, because our study focuses on modeling static, historical data, we won’t capture dynamic changes in client needs that may impact resource use over time. More sophisticated real-time modeling techniques might be an interesting next step to explore how workload changes throughout the treatment period based on real-time changes in client need which might potentially providing a more dynamic picture of resource allocation and client needs.</w:t>
      </w:r>
    </w:p>
    <w:p>
      <w:pPr>
        <w:pStyle w:val="BodyText"/>
      </w:pPr>
      <w:r>
        <w:t xml:space="preserve">Finally, given the pressing need for a case-management tool that can more accurately and fairly assesses client-related work, we think our proposed study is a timely addition. Not only does our research have the potential to advance our understanding of the relationship between client characteristics and resource use, it contributes to the broader project of optimizing mental health services in a way that maximizes the chance that young people and their families receive high quality, timely care, while minimizing the risk of provider burnout.</w:t>
      </w:r>
    </w:p>
    <w:bookmarkEnd w:id="54"/>
    <w:bookmarkStart w:id="112" w:name="references"/>
    <w:p>
      <w:pPr>
        <w:pStyle w:val="Heading1"/>
      </w:pPr>
      <w:r>
        <w:t xml:space="preserve">References</w:t>
      </w:r>
    </w:p>
    <w:bookmarkStart w:id="111" w:name="refs"/>
    <w:bookmarkStart w:id="56"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5">
        <w:r>
          <w:rPr>
            <w:rStyle w:val="Hyperlink"/>
          </w:rPr>
          <w:t xml:space="preserve">https://doi.org/10.3390/s23094178</w:t>
        </w:r>
      </w:hyperlink>
    </w:p>
    <w:bookmarkEnd w:id="56"/>
    <w:bookmarkStart w:id="58"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57">
        <w:r>
          <w:rPr>
            <w:rStyle w:val="Hyperlink"/>
          </w:rPr>
          <w:t xml:space="preserve">https://doi.org/10.1080/09638230802522981</w:t>
        </w:r>
      </w:hyperlink>
    </w:p>
    <w:bookmarkEnd w:id="58"/>
    <w:bookmarkStart w:id="60" w:name="ref-benda2018"/>
    <w:p>
      <w:pPr>
        <w:pStyle w:val="Bibliography"/>
      </w:pPr>
      <w:r>
        <w:t xml:space="preserve">Benda, N. C., Blumenthal, H. J., Hettinger, A. Z., Hoffman, D. J., LaVergne, D. T., Franklin, E. S., Roth, E. M., Perry, S. J., &amp; Bisantz, A. M. (2018). Human factors design in the clinical environment: Development and assessment of an interface for visualizing emergency medicine clinician workload.</w:t>
      </w:r>
      <w:r>
        <w:t xml:space="preserve"> </w:t>
      </w:r>
      <w:r>
        <w:rPr>
          <w:i/>
          <w:iCs/>
        </w:rPr>
        <w:t xml:space="preserve">IISE Transactions on Occupational Ergonomics and Human Factors</w:t>
      </w:r>
      <w:r>
        <w:t xml:space="preserve">,</w:t>
      </w:r>
      <w:r>
        <w:t xml:space="preserve"> </w:t>
      </w:r>
      <w:r>
        <w:rPr>
          <w:i/>
          <w:iCs/>
        </w:rPr>
        <w:t xml:space="preserve">6</w:t>
      </w:r>
      <w:r>
        <w:t xml:space="preserve">(3-4), 225237.</w:t>
      </w:r>
      <w:r>
        <w:t xml:space="preserve"> </w:t>
      </w:r>
      <w:hyperlink r:id="rId59">
        <w:r>
          <w:rPr>
            <w:rStyle w:val="Hyperlink"/>
          </w:rPr>
          <w:t xml:space="preserve">https://doi.org/10.1080/24725838.2018.1522392</w:t>
        </w:r>
      </w:hyperlink>
    </w:p>
    <w:bookmarkEnd w:id="60"/>
    <w:bookmarkStart w:id="62"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1">
        <w:r>
          <w:rPr>
            <w:rStyle w:val="Hyperlink"/>
          </w:rPr>
          <w:t xml:space="preserve">https://doi.org/10.2196/38590</w:t>
        </w:r>
      </w:hyperlink>
    </w:p>
    <w:bookmarkEnd w:id="62"/>
    <w:bookmarkStart w:id="64"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3">
        <w:r>
          <w:rPr>
            <w:rStyle w:val="Hyperlink"/>
          </w:rPr>
          <w:t xml:space="preserve">https://iknow-oce.esolutionsgroup.ca/api/ServiceItem/GetDocument?clientId=A1B5AA8F-88A1-4688-83F8-FF0A5B083EF3&amp;documentId=6aeb8d26-16ac-4353-b49c-c21b131b735c</w:t>
        </w:r>
      </w:hyperlink>
    </w:p>
    <w:bookmarkEnd w:id="64"/>
    <w:bookmarkStart w:id="65" w:name="ref-cmho2020"/>
    <w:p>
      <w:pPr>
        <w:pStyle w:val="Bibliography"/>
      </w:pPr>
      <w:r>
        <w:t xml:space="preserve">CMHO. (2020).</w:t>
      </w:r>
      <w:r>
        <w:t xml:space="preserve"> </w:t>
      </w:r>
      <w:r>
        <w:rPr>
          <w:i/>
          <w:iCs/>
        </w:rPr>
        <w:t xml:space="preserve">Kids can’t wait</w:t>
      </w:r>
      <w:r>
        <w:t xml:space="preserve"> </w:t>
      </w:r>
      <w:r>
        <w:t xml:space="preserve">(p. 12).</w:t>
      </w:r>
    </w:p>
    <w:bookmarkEnd w:id="65"/>
    <w:bookmarkStart w:id="66"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66"/>
    <w:bookmarkStart w:id="68" w:name="ref-costa2015"/>
    <w:p>
      <w:pPr>
        <w:pStyle w:val="Bibliography"/>
      </w:pPr>
      <w:r>
        <w:t xml:space="preserve">Costa, A. P., Poss, J. W., &amp; McKillop, I. (2015). Contemplating case mix: A primer on case mix classification and management.</w:t>
      </w:r>
      <w:r>
        <w:t xml:space="preserve"> </w:t>
      </w:r>
      <w:r>
        <w:rPr>
          <w:i/>
          <w:iCs/>
        </w:rPr>
        <w:t xml:space="preserve">Healthcare Management Forum</w:t>
      </w:r>
      <w:r>
        <w:t xml:space="preserve">,</w:t>
      </w:r>
      <w:r>
        <w:t xml:space="preserve"> </w:t>
      </w:r>
      <w:r>
        <w:rPr>
          <w:i/>
          <w:iCs/>
        </w:rPr>
        <w:t xml:space="preserve">28</w:t>
      </w:r>
      <w:r>
        <w:t xml:space="preserve">(1), 12–15.</w:t>
      </w:r>
      <w:r>
        <w:t xml:space="preserve"> </w:t>
      </w:r>
      <w:hyperlink r:id="rId67">
        <w:r>
          <w:rPr>
            <w:rStyle w:val="Hyperlink"/>
          </w:rPr>
          <w:t xml:space="preserve">https://doi.org/10.1177/0840470414551866</w:t>
        </w:r>
      </w:hyperlink>
    </w:p>
    <w:bookmarkEnd w:id="68"/>
    <w:bookmarkStart w:id="70"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69">
        <w:r>
          <w:rPr>
            <w:rStyle w:val="Hyperlink"/>
          </w:rPr>
          <w:t xml:space="preserve">https://www.neofacs.org/files/Realizing-the-Potential-2018-2019-Provincial-Priorities-Report-EN-web-1.pdf</w:t>
        </w:r>
      </w:hyperlink>
    </w:p>
    <w:bookmarkEnd w:id="70"/>
    <w:bookmarkStart w:id="72" w:name="ref-gaines2003"/>
    <w:p>
      <w:pPr>
        <w:pStyle w:val="Bibliography"/>
      </w:pPr>
      <w:r>
        <w:t xml:space="preserve">Gaines, P., Bower, A., Buckingham, B., Eagar, K., Burgess, P., &amp; Green, J. (2003).</w:t>
      </w:r>
      <w:r>
        <w:t xml:space="preserve"> </w:t>
      </w:r>
      <w:r>
        <w:rPr>
          <w:i/>
          <w:iCs/>
        </w:rPr>
        <w:t xml:space="preserve">New Zealand Mental Health Classification and Outcomes Study: Final Report</w:t>
      </w:r>
      <w:r>
        <w:t xml:space="preserve">.</w:t>
      </w:r>
      <w:r>
        <w:t xml:space="preserve"> </w:t>
      </w:r>
      <w:hyperlink r:id="rId71">
        <w:r>
          <w:rPr>
            <w:rStyle w:val="Hyperlink"/>
          </w:rPr>
          <w:t xml:space="preserve">https://www.lattice.co.nz/documents/final-report-june03-caos.pdf</w:t>
        </w:r>
      </w:hyperlink>
    </w:p>
    <w:bookmarkEnd w:id="72"/>
    <w:bookmarkStart w:id="74"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3">
        <w:r>
          <w:rPr>
            <w:rStyle w:val="Hyperlink"/>
          </w:rPr>
          <w:t xml:space="preserve">https://doi.org/10.1038/s41591-022-01811-5</w:t>
        </w:r>
      </w:hyperlink>
    </w:p>
    <w:bookmarkEnd w:id="74"/>
    <w:bookmarkStart w:id="76" w:name="ref-hirdes2020"/>
    <w:p>
      <w:pPr>
        <w:pStyle w:val="Bibliography"/>
      </w:pPr>
      <w:r>
        <w:t xml:space="preserve">Hirdes, J. P., Everdingen, C. van, Ferris, J., Franco-Martin, M., Fries, B. E., Heikkilä, J., Hirdes, A., Hoffman, R., James, M. L., Martin, L., Perlman, C. M., Rabinowitz, T., Stewart, S. L., &amp; Van Audenhove, C. (2020). The interRAI suite of mental health assessment instruments: An integrated system for the continuum of care.</w:t>
      </w:r>
      <w:r>
        <w:t xml:space="preserve"> </w:t>
      </w:r>
      <w:r>
        <w:rPr>
          <w:i/>
          <w:iCs/>
        </w:rPr>
        <w:t xml:space="preserve">Frontiers in Psychiatry</w:t>
      </w:r>
      <w:r>
        <w:t xml:space="preserve">,</w:t>
      </w:r>
      <w:r>
        <w:t xml:space="preserve"> </w:t>
      </w:r>
      <w:r>
        <w:rPr>
          <w:i/>
          <w:iCs/>
        </w:rPr>
        <w:t xml:space="preserve">10</w:t>
      </w:r>
      <w:r>
        <w:t xml:space="preserve">.</w:t>
      </w:r>
      <w:r>
        <w:t xml:space="preserve"> </w:t>
      </w:r>
      <w:hyperlink r:id="rId75">
        <w:r>
          <w:rPr>
            <w:rStyle w:val="Hyperlink"/>
          </w:rPr>
          <w:t xml:space="preserve">https://doi.org/10.3389/fpsyt.2019.00926</w:t>
        </w:r>
      </w:hyperlink>
    </w:p>
    <w:bookmarkEnd w:id="76"/>
    <w:bookmarkStart w:id="78" w:name="ref-hirdes2002"/>
    <w:p>
      <w:pPr>
        <w:pStyle w:val="Bibliography"/>
      </w:pPr>
      <w:r>
        <w:t xml:space="preserve">Hirdes, J. P., Smith, T. F., Rabinowitz, T., Yamauchi, K., Pérez, E., Telegdi, N. C., Prendergast, P., Morris, J. N., Ikegami, N., Phillips, C. D., Fries, B. E., &amp; Resident Assessment Instrument-Mental Health Group. (2002). The Resident Assessment Instrument-Mental Health (RAI-MH): inter-rater reliability and convergent validity.</w:t>
      </w:r>
      <w:r>
        <w:t xml:space="preserve"> </w:t>
      </w:r>
      <w:r>
        <w:rPr>
          <w:i/>
          <w:iCs/>
        </w:rPr>
        <w:t xml:space="preserve">The Journal of Behavioral Health Services &amp; Research</w:t>
      </w:r>
      <w:r>
        <w:t xml:space="preserve">,</w:t>
      </w:r>
      <w:r>
        <w:t xml:space="preserve"> </w:t>
      </w:r>
      <w:r>
        <w:rPr>
          <w:i/>
          <w:iCs/>
        </w:rPr>
        <w:t xml:space="preserve">29</w:t>
      </w:r>
      <w:r>
        <w:t xml:space="preserve">(4), 419–432.</w:t>
      </w:r>
      <w:r>
        <w:t xml:space="preserve"> </w:t>
      </w:r>
      <w:hyperlink r:id="rId77">
        <w:r>
          <w:rPr>
            <w:rStyle w:val="Hyperlink"/>
          </w:rPr>
          <w:t xml:space="preserve">https://doi.org/10.1007/BF02287348</w:t>
        </w:r>
      </w:hyperlink>
    </w:p>
    <w:bookmarkEnd w:id="78"/>
    <w:bookmarkStart w:id="79"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9"/>
    <w:bookmarkStart w:id="81"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80">
        <w:r>
          <w:rPr>
            <w:rStyle w:val="Hyperlink"/>
          </w:rPr>
          <w:t xml:space="preserve">https://doi.org/10.48550/arXiv.1705.07874</w:t>
        </w:r>
      </w:hyperlink>
    </w:p>
    <w:bookmarkEnd w:id="81"/>
    <w:bookmarkStart w:id="83"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82">
        <w:r>
          <w:rPr>
            <w:rStyle w:val="Hyperlink"/>
          </w:rPr>
          <w:t xml:space="preserve">https://doi.org/10.1016/j.gloepi.2020.100045</w:t>
        </w:r>
      </w:hyperlink>
    </w:p>
    <w:bookmarkEnd w:id="83"/>
    <w:bookmarkStart w:id="85"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84">
        <w:r>
          <w:rPr>
            <w:rStyle w:val="Hyperlink"/>
          </w:rPr>
          <w:t xml:space="preserve">https://doi.org/10.1080/09638237.2017.1370631</w:t>
        </w:r>
      </w:hyperlink>
    </w:p>
    <w:bookmarkEnd w:id="85"/>
    <w:bookmarkStart w:id="87"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86">
        <w:r>
          <w:rPr>
            <w:rStyle w:val="Hyperlink"/>
          </w:rPr>
          <w:t xml:space="preserve">https://ntnuopen.ntnu.no/ntnu-xmlui/bitstream/handle/11250/2433761/16128_FULLTEXT.pdf</w:t>
        </w:r>
      </w:hyperlink>
    </w:p>
    <w:bookmarkEnd w:id="87"/>
    <w:bookmarkStart w:id="89"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88">
        <w:r>
          <w:rPr>
            <w:rStyle w:val="Hyperlink"/>
          </w:rPr>
          <w:t xml:space="preserve">https://www.hhs.gov/hipaa/for-professionals/privacy/special-topics/de-identification/index.html</w:t>
        </w:r>
      </w:hyperlink>
    </w:p>
    <w:bookmarkEnd w:id="89"/>
    <w:bookmarkStart w:id="91"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90">
        <w:r>
          <w:rPr>
            <w:rStyle w:val="Hyperlink"/>
          </w:rPr>
          <w:t xml:space="preserve">https://doi.org/10.1186/1472-6963-13-15</w:t>
        </w:r>
      </w:hyperlink>
    </w:p>
    <w:bookmarkEnd w:id="91"/>
    <w:bookmarkStart w:id="93" w:name="ref-reid2021"/>
    <w:p>
      <w:pPr>
        <w:pStyle w:val="Bibliography"/>
      </w:pPr>
      <w:r>
        <w:t xml:space="preserve">Reid, G. J., Stewart, S. L., Barwick, M., Cunningham, C., Carter, J., Evans, B., Leschied, A., Neufeld, R. W. J., St. Pierre, J., Tobon, J., Vingilis, E., &amp; Zaric, G. (2021). Exploring Patterns of Service Utilization Within Children</w:t>
      </w:r>
      <w:r>
        <w:t xml:space="preserve">’</w:t>
      </w:r>
      <w:r>
        <w:t xml:space="preserve">s Mental Health Agencies.</w:t>
      </w:r>
      <w:r>
        <w:t xml:space="preserve"> </w:t>
      </w:r>
      <w:r>
        <w:rPr>
          <w:i/>
          <w:iCs/>
        </w:rPr>
        <w:t xml:space="preserve">Journal of Child and Family Studies</w:t>
      </w:r>
      <w:r>
        <w:t xml:space="preserve">,</w:t>
      </w:r>
      <w:r>
        <w:t xml:space="preserve"> </w:t>
      </w:r>
      <w:r>
        <w:rPr>
          <w:i/>
          <w:iCs/>
        </w:rPr>
        <w:t xml:space="preserve">30</w:t>
      </w:r>
      <w:r>
        <w:t xml:space="preserve">(2), 556–574.</w:t>
      </w:r>
      <w:r>
        <w:t xml:space="preserve"> </w:t>
      </w:r>
      <w:hyperlink r:id="rId92">
        <w:r>
          <w:rPr>
            <w:rStyle w:val="Hyperlink"/>
          </w:rPr>
          <w:t xml:space="preserve">https://doi.org/10.1007/s10826-020-01859-2</w:t>
        </w:r>
      </w:hyperlink>
    </w:p>
    <w:bookmarkEnd w:id="93"/>
    <w:bookmarkStart w:id="95"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4">
        <w:r>
          <w:rPr>
            <w:rStyle w:val="Hyperlink"/>
          </w:rPr>
          <w:t xml:space="preserve">https://doi.org/10.1080/00273171.2022.2146638</w:t>
        </w:r>
      </w:hyperlink>
    </w:p>
    <w:bookmarkEnd w:id="95"/>
    <w:bookmarkStart w:id="97"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6">
        <w:r>
          <w:rPr>
            <w:rStyle w:val="Hyperlink"/>
          </w:rPr>
          <w:t xml:space="preserve">https://doi.org/10.1111/apps.12435</w:t>
        </w:r>
      </w:hyperlink>
    </w:p>
    <w:bookmarkEnd w:id="97"/>
    <w:bookmarkStart w:id="99" w:name="ref-stewart2020"/>
    <w:p>
      <w:pPr>
        <w:pStyle w:val="Bibliography"/>
      </w:pPr>
      <w:r>
        <w:t xml:space="preserve">Stewart, S. L., Celebre, A., Head, M. J., James, M. L., Martin, L., &amp; Fries, B. E. (2020). A Case-Mix System for Children and Youth With Developmental Disabilities.</w:t>
      </w:r>
      <w:r>
        <w:t xml:space="preserve"> </w:t>
      </w:r>
      <w:r>
        <w:rPr>
          <w:i/>
          <w:iCs/>
        </w:rPr>
        <w:t xml:space="preserve">Health Services Insights</w:t>
      </w:r>
      <w:r>
        <w:t xml:space="preserve">,</w:t>
      </w:r>
      <w:r>
        <w:t xml:space="preserve"> </w:t>
      </w:r>
      <w:r>
        <w:rPr>
          <w:i/>
          <w:iCs/>
        </w:rPr>
        <w:t xml:space="preserve">13</w:t>
      </w:r>
      <w:r>
        <w:t xml:space="preserve">, 1178632920977899.</w:t>
      </w:r>
      <w:r>
        <w:t xml:space="preserve"> </w:t>
      </w:r>
      <w:hyperlink r:id="rId98">
        <w:r>
          <w:rPr>
            <w:rStyle w:val="Hyperlink"/>
          </w:rPr>
          <w:t xml:space="preserve">https://doi.org/10.1177/1178632920977899</w:t>
        </w:r>
      </w:hyperlink>
    </w:p>
    <w:bookmarkEnd w:id="99"/>
    <w:bookmarkStart w:id="101" w:name="ref-stewart2022"/>
    <w:p>
      <w:pPr>
        <w:pStyle w:val="Bibliography"/>
      </w:pPr>
      <w:r>
        <w:t xml:space="preserve">Stewart, S. L., Celebre, A., Semovski, V., Hirdes, J. P., Vadeboncoeur, C., &amp; Poss, J. W. (2022). The interRAI child and youth suite of mental health assessment instruments: An integrated approach to mental health service delivery.</w:t>
      </w:r>
      <w:r>
        <w:t xml:space="preserve"> </w:t>
      </w:r>
      <w:r>
        <w:rPr>
          <w:i/>
          <w:iCs/>
        </w:rPr>
        <w:t xml:space="preserve">Frontiers in Psychiatry</w:t>
      </w:r>
      <w:r>
        <w:t xml:space="preserve">,</w:t>
      </w:r>
      <w:r>
        <w:t xml:space="preserve"> </w:t>
      </w:r>
      <w:r>
        <w:rPr>
          <w:i/>
          <w:iCs/>
        </w:rPr>
        <w:t xml:space="preserve">13</w:t>
      </w:r>
      <w:r>
        <w:t xml:space="preserve">.</w:t>
      </w:r>
      <w:r>
        <w:t xml:space="preserve"> </w:t>
      </w:r>
      <w:hyperlink r:id="rId100">
        <w:r>
          <w:rPr>
            <w:rStyle w:val="Hyperlink"/>
          </w:rPr>
          <w:t xml:space="preserve">https://doi.org/10.3389/fpsyt.2022.710569</w:t>
        </w:r>
      </w:hyperlink>
    </w:p>
    <w:bookmarkEnd w:id="101"/>
    <w:bookmarkStart w:id="103" w:name="ref-stewart2017"/>
    <w:p>
      <w:pPr>
        <w:pStyle w:val="Bibliography"/>
      </w:pPr>
      <w:r>
        <w:t xml:space="preserve">Stewart, S. L., &amp; Hamza, C. A. (2017). The child and youth mental health assessment (ChYMH): An examination of the psychometric properties of an integrated assessment developed for clinically referred children and youth.</w:t>
      </w:r>
      <w:r>
        <w:t xml:space="preserve"> </w:t>
      </w:r>
      <w:r>
        <w:rPr>
          <w:i/>
          <w:iCs/>
        </w:rPr>
        <w:t xml:space="preserve">BMC Health Services Research</w:t>
      </w:r>
      <w:r>
        <w:t xml:space="preserve">,</w:t>
      </w:r>
      <w:r>
        <w:t xml:space="preserve"> </w:t>
      </w:r>
      <w:r>
        <w:rPr>
          <w:i/>
          <w:iCs/>
        </w:rPr>
        <w:t xml:space="preserve">17</w:t>
      </w:r>
      <w:r>
        <w:t xml:space="preserve">(1), 82.</w:t>
      </w:r>
      <w:r>
        <w:t xml:space="preserve"> </w:t>
      </w:r>
      <w:hyperlink r:id="rId102">
        <w:r>
          <w:rPr>
            <w:rStyle w:val="Hyperlink"/>
          </w:rPr>
          <w:t xml:space="preserve">https://doi.org/10.1186/s12913-016-1970-9</w:t>
        </w:r>
      </w:hyperlink>
    </w:p>
    <w:bookmarkEnd w:id="103"/>
    <w:bookmarkStart w:id="105"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4">
        <w:r>
          <w:rPr>
            <w:rStyle w:val="Hyperlink"/>
          </w:rPr>
          <w:t xml:space="preserve">https://doi.org/10.1177/1178632919862248</w:t>
        </w:r>
      </w:hyperlink>
    </w:p>
    <w:bookmarkEnd w:id="105"/>
    <w:bookmarkStart w:id="106"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6"/>
    <w:bookmarkStart w:id="108"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7">
        <w:r>
          <w:rPr>
            <w:rStyle w:val="Hyperlink"/>
          </w:rPr>
          <w:t xml:space="preserve">https://doi.org/10.1016/j.ijmedinf.2021.104451</w:t>
        </w:r>
      </w:hyperlink>
    </w:p>
    <w:bookmarkEnd w:id="108"/>
    <w:bookmarkStart w:id="110" w:name="ref-zeleke2023"/>
    <w:p>
      <w:pPr>
        <w:pStyle w:val="Bibliography"/>
      </w:pPr>
      <w:r>
        <w:t xml:space="preserve">Zeleke, A. J., Palumbo, P., Tubertini, P., Miglio, R., &amp; Chiari, L. (2023). Machine learning-based prediction of hospital prolonged length of stay admission at emergency department: A gradient boosting algorithm analysis.</w:t>
      </w:r>
      <w:r>
        <w:t xml:space="preserve"> </w:t>
      </w:r>
      <w:r>
        <w:rPr>
          <w:i/>
          <w:iCs/>
        </w:rPr>
        <w:t xml:space="preserve">Frontiers in Artificial Intelligence</w:t>
      </w:r>
      <w:r>
        <w:t xml:space="preserve">,</w:t>
      </w:r>
      <w:r>
        <w:t xml:space="preserve"> </w:t>
      </w:r>
      <w:r>
        <w:rPr>
          <w:i/>
          <w:iCs/>
        </w:rPr>
        <w:t xml:space="preserve">6</w:t>
      </w:r>
      <w:r>
        <w:t xml:space="preserve">, 1179226.</w:t>
      </w:r>
      <w:r>
        <w:t xml:space="preserve"> </w:t>
      </w:r>
      <w:hyperlink r:id="rId109">
        <w:r>
          <w:rPr>
            <w:rStyle w:val="Hyperlink"/>
          </w:rPr>
          <w:t xml:space="preserve">https://doi.org/10.3389/frai.2023.1179226</w:t>
        </w:r>
      </w:hyperlink>
    </w:p>
    <w:bookmarkEnd w:id="110"/>
    <w:bookmarkEnd w:id="111"/>
    <w:p>
      <w:r>
        <w:br w:type="page"/>
      </w:r>
    </w:p>
    <w:bookmarkEnd w:id="112"/>
    <w:bookmarkStart w:id="114" w:name="appendix"/>
    <w:p>
      <w:pPr>
        <w:pStyle w:val="Heading1"/>
      </w:pPr>
      <w:r>
        <w:t xml:space="preserve">Appendix</w:t>
      </w:r>
    </w:p>
    <w:p>
      <w:pPr>
        <w:pStyle w:val="FirstParagraph"/>
      </w:pPr>
      <w:r>
        <w:t xml:space="preserve">ADD TABLES OF VARIABLES HERE</w:t>
      </w:r>
    </w:p>
    <w:bookmarkStart w:id="113" w:name="X3d894bcb6cf649c3f642ab73d06f1469e95d282"/>
    <w:p>
      <w:pPr>
        <w:pStyle w:val="Heading3"/>
      </w:pPr>
      <w:r>
        <w:t xml:space="preserve">interRAI Child and Youth Mental Health Assessment Tool</w:t>
      </w:r>
    </w:p>
    <w:p>
      <w:pPr>
        <w:pStyle w:val="FirstParagraph"/>
      </w:pPr>
      <w:r>
        <w:t xml:space="preserve">interRAI is an international research network that develops clinical standards across a variety of health and social service settings that have developed a large toolkit of instruments used by health organizations worldwide to assess people at the point of care across a variety of domains including emergency medicine, emergency psychiatry and children and youth mental health. The collected data are meant to be used at the agency level for quality improvement activities, benchmarking, program planning and resource planning and at the system level to compare health data across regions and provinces</w:t>
      </w:r>
      <w:r>
        <w:t xml:space="preserve"> </w:t>
      </w:r>
      <w:r>
        <w:t xml:space="preserve">(</w:t>
      </w:r>
      <w:hyperlink w:anchor="ref-hirdes2002">
        <w:r>
          <w:rPr>
            <w:rStyle w:val="Hyperlink"/>
          </w:rPr>
          <w:t xml:space="preserve">Hirdes et al., 2002</w:t>
        </w:r>
      </w:hyperlink>
      <w:r>
        <w:t xml:space="preserve">)</w:t>
      </w:r>
      <w:r>
        <w:t xml:space="preserve">. In Canada, interRAI is partnered with the Canadian Institute for Health Information (CIHI) who act as a custodian of interRAI standards and houses and monitors the collected interRAI data. Many interRAI instruments are used across Canada and internationally, but the Children and Youth Mental Health assessment (ChYMH) represents the first assessment designed specifically for children and youth</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In Ontario, two instruments are most often used in the CYMH sector: the Child and Youth Mental Health Screener+ (ChYMH-S) and the more comprehensive full ChYMH and its variants. The primary use of the CHYM-S is to support decision making related to triaging, placement, and service utilization while the full ChYMH and its associated Collaborative Action Plans (CAPs) are meant to assess, respond to and monitor the strengths, preferences and mental health needs of clients in in-patient and out-patient treatment. The ChYMH products are currently being utilized in over 60 mental health agencies across Ontario including Compass.</w:t>
      </w:r>
    </w:p>
    <w:p>
      <w:pPr>
        <w:pStyle w:val="BodyText"/>
      </w:pPr>
      <w:r>
        <w:t xml:space="preserve">The full ChYMH includes over 400 items that together are meant to build a comprehensive picture of a client’s strengths, needs, functioning and areas of risk</w:t>
      </w:r>
      <w:r>
        <w:t xml:space="preserve"> </w:t>
      </w:r>
      <w:r>
        <w:t xml:space="preserve">(</w:t>
      </w:r>
      <w:hyperlink w:anchor="ref-stewart2022">
        <w:r>
          <w:rPr>
            <w:rStyle w:val="Hyperlink"/>
          </w:rPr>
          <w:t xml:space="preserve">Stewart et al., 2022</w:t>
        </w:r>
      </w:hyperlink>
      <w:r>
        <w:t xml:space="preserve">)</w:t>
      </w:r>
      <w:r>
        <w:t xml:space="preserve">, while the ChYMH-S is comprised of 106 items and is intended as a brief screener to identify young people who are in need of more comprehensive assessment. The screener is administered via a semi-structured interview to children and youth between 4-18 years in a variety of settings and is intended to take 15-20 minutes to complete. The current study will utilize screener data collected at intake to model client-related complexity and resulting work.</w:t>
      </w:r>
    </w:p>
    <w:p>
      <w:pPr>
        <w:pStyle w:val="BodyText"/>
      </w:pPr>
      <w:r>
        <w:t xml:space="preserve">Importantly, the ChYMH scales have demonstrated good predictive validity. For example, data from over 5000 children and youth placed in psychiatric settings in Ontario found that the Agressive Behaviour Scale was predictive of multiple control interventions, while the Severity of Self Harm Scale (SOS) was useful in predicting admission for risk of self-harm in youth between 10-17 years. In addition, individuals who score higher on scales like the Hyperactive/Distraction scale were more likely to have a provisional diagnosis of ADHD</w:t>
      </w:r>
      <w:r>
        <w:t xml:space="preserve"> </w:t>
      </w:r>
      <w:r>
        <w:t xml:space="preserve">(</w:t>
      </w:r>
      <w:hyperlink w:anchor="ref-stewart2022">
        <w:r>
          <w:rPr>
            <w:rStyle w:val="Hyperlink"/>
          </w:rPr>
          <w:t xml:space="preserve">Stewart et al., 2022</w:t>
        </w:r>
      </w:hyperlink>
      <w:r>
        <w:t xml:space="preserve">)</w:t>
      </w:r>
      <w:r>
        <w:t xml:space="preserve">.</w:t>
      </w:r>
    </w:p>
    <w:p>
      <w:pPr>
        <w:pStyle w:val="BodyText"/>
      </w:pPr>
      <w:r>
        <w:t xml:space="preserve">Though the various scales and items of the ChyMH demonstrate some predictive utility, it remains unclear how well these items might predict the actual work required to serve a given client. Within the CYMH domain we found one example of interRAI data being used to develop an algorithm to predict resource cost for children and youth with developmental disabilities with a cluster analysis</w:t>
      </w:r>
      <w:r>
        <w:t xml:space="preserve"> </w:t>
      </w:r>
      <w:r>
        <w:t xml:space="preserve">(</w:t>
      </w:r>
      <w:hyperlink w:anchor="ref-stewart2020">
        <w:r>
          <w:rPr>
            <w:rStyle w:val="Hyperlink"/>
          </w:rPr>
          <w:t xml:space="preserve">Stewart et al., 2020</w:t>
        </w:r>
      </w:hyperlink>
      <w:r>
        <w:t xml:space="preserve">)</w:t>
      </w:r>
      <w:r>
        <w:t xml:space="preserve">. Though the resulting Child and Youth Resource Index (ChYRI) could only explain 30% of the variance in per diem costs for community-based services</w:t>
      </w:r>
      <w:r>
        <w:t xml:space="preserve"> </w:t>
      </w:r>
      <w:r>
        <w:t xml:space="preserve">(</w:t>
      </w:r>
      <w:hyperlink w:anchor="ref-stewart2020">
        <w:r>
          <w:rPr>
            <w:rStyle w:val="Hyperlink"/>
          </w:rPr>
          <w:t xml:space="preserve">Stewart et al., 2020</w:t>
        </w:r>
      </w:hyperlink>
      <w:r>
        <w:t xml:space="preserve">)</w:t>
      </w:r>
      <w:r>
        <w:t xml:space="preserve">, the algorithm was nonetheless deemed a success and is still in use today. However, a lack of explanation of how the analysis was conducted, as well as public availability of resulting fit statistics, makes it unclear how and where the algorithm could be improved.</w:t>
      </w:r>
    </w:p>
    <w:p>
      <w:pPr>
        <w:pStyle w:val="BodyText"/>
      </w:pPr>
      <w:r>
        <w:t xml:space="preserve">Moreover, unlike the goal of the ChYRI, we are not interested in predicting client-related service cost. Instead our efforts are driven by the need to reduce wait times and make client assignment fairer and mindful of the work that is already on each clinicians plate.</w:t>
      </w:r>
    </w:p>
    <w:p>
      <w:pPr>
        <w:pStyle w:val="BodyText"/>
      </w:pPr>
      <w:r>
        <w:t xml:space="preserve">The first examined the feasibility of utilizing ML algorithms to drive a visual representation of the work attributable to individual patients in a hospital setting</w:t>
      </w:r>
      <w:r>
        <w:t xml:space="preserve"> </w:t>
      </w:r>
      <w:r>
        <w:t xml:space="preserve">(</w:t>
      </w:r>
      <w:hyperlink w:anchor="ref-benda2018">
        <w:r>
          <w:rPr>
            <w:rStyle w:val="Hyperlink"/>
          </w:rPr>
          <w:t xml:space="preserve">Benda et al., 2018</w:t>
        </w:r>
      </w:hyperlink>
      <w:r>
        <w:t xml:space="preserve">)</w:t>
      </w:r>
      <w:r>
        <w:t xml:space="preserve">. The idea was to build a live, dynamic visualization that could be used to compare cases and workloads across clinicians to improve patient assignment. The display was driven by an algorithm that predicted patient-level work based on a combination of diagnoses and the number of orders or</w:t>
      </w:r>
      <w:r>
        <w:t xml:space="preserve"> </w:t>
      </w:r>
      <w:r>
        <w:t xml:space="preserve">“</w:t>
      </w:r>
      <w:r>
        <w:t xml:space="preserve">events</w:t>
      </w:r>
      <w:r>
        <w:t xml:space="preserve">”</w:t>
      </w:r>
      <w:r>
        <w:t xml:space="preserve"> </w:t>
      </w:r>
      <w:r>
        <w:t xml:space="preserve">(e.g., tests, phone calls, diagnoses) found in a patient’s electronic health record</w:t>
      </w:r>
      <w:r>
        <w:t xml:space="preserve"> </w:t>
      </w:r>
      <w:r>
        <w:t xml:space="preserve">(</w:t>
      </w:r>
      <w:hyperlink w:anchor="ref-benda2018">
        <w:r>
          <w:rPr>
            <w:rStyle w:val="Hyperlink"/>
          </w:rPr>
          <w:t xml:space="preserve">Benda et al., 2018</w:t>
        </w:r>
      </w:hyperlink>
      <w:r>
        <w:t xml:space="preserve">)</w:t>
      </w:r>
      <w:r>
        <w:t xml:space="preserve">. Although clinicians evaluated the tool positively, the algorithm underlying the display was found to inadequately account for actual workload, suggesting more refinements were needed</w:t>
      </w:r>
      <w:r>
        <w:t xml:space="preserve"> </w:t>
      </w:r>
      <w:r>
        <w:t xml:space="preserve">(</w:t>
      </w:r>
      <w:hyperlink w:anchor="ref-benda2018">
        <w:r>
          <w:rPr>
            <w:rStyle w:val="Hyperlink"/>
          </w:rPr>
          <w:t xml:space="preserve">Benda et al., 2018</w:t>
        </w:r>
      </w:hyperlink>
      <w:r>
        <w:t xml:space="preserve">)</w:t>
      </w:r>
      <w:r>
        <w:t xml:space="preserve">. Building on</w:t>
      </w:r>
      <w:r>
        <w:t xml:space="preserve"> </w:t>
      </w:r>
      <w:r>
        <w:t xml:space="preserve">Benda et al. (</w:t>
      </w:r>
      <w:hyperlink w:anchor="ref-benda2018">
        <w:r>
          <w:rPr>
            <w:rStyle w:val="Hyperlink"/>
          </w:rPr>
          <w:t xml:space="preserve">2018</w:t>
        </w:r>
      </w:hyperlink>
      <w:r>
        <w:t xml:space="preserve">)</w:t>
      </w:r>
      <w:r>
        <w:t xml:space="preserve">’s study,</w:t>
      </w:r>
      <w:r>
        <w:t xml:space="preserve"> </w:t>
      </w:r>
      <w:r>
        <w:t xml:space="preserve">Wang et al. (</w:t>
      </w:r>
      <w:hyperlink w:anchor="ref-wang2021">
        <w:r>
          <w:rPr>
            <w:rStyle w:val="Hyperlink"/>
          </w:rPr>
          <w:t xml:space="preserve">2021</w:t>
        </w:r>
      </w:hyperlink>
      <w:r>
        <w:t xml:space="preserve">)</w:t>
      </w:r>
      <w:r>
        <w:t xml:space="preserve"> </w:t>
      </w:r>
      <w:r>
        <w:t xml:space="preserve">focused on improving the dashboards underlying algorithm using several machine learning algorithms known for their robustness in modeling the sparse, heterogeneous data found in electronic health records. Both regression and classification algorithms were used to model several proxies for workload: i) overall length of stay, ii) number of events (e.g., tests ordered, medication administered), iii) density of events (count of events divided by length of stay) and iv) a binary outcome indicating high versus low demand patients. The accuracy of the model in predicting low versus high length of stay (LOS) was 70% with information from the first hour, 73% from the first two hours and 83% with data from the entire visit. Importantly,</w:t>
      </w:r>
      <w:r>
        <w:t xml:space="preserve"> </w:t>
      </w:r>
      <w:r>
        <w:t xml:space="preserve">Wang et al. (</w:t>
      </w:r>
      <w:hyperlink w:anchor="ref-wang2021">
        <w:r>
          <w:rPr>
            <w:rStyle w:val="Hyperlink"/>
          </w:rPr>
          <w:t xml:space="preserve">2021</w:t>
        </w:r>
      </w:hyperlink>
      <w:r>
        <w:t xml:space="preserve">)</w:t>
      </w:r>
      <w:r>
        <w:t xml:space="preserve"> </w:t>
      </w:r>
      <w:r>
        <w:t xml:space="preserve">’s work demonstrated the potential for machine learning techniques to predict client-related work from information collected at intake–which is what we are interested in doing and so resulted in the methodology we chose.</w:t>
      </w:r>
    </w:p>
    <w:p>
      <w:pPr>
        <w:pStyle w:val="BodyText"/>
      </w:pPr>
      <w:r>
        <w:t xml:space="preserve">In planning our own approach to modeling client-related work, we hope to address several problems and limitations that emerged in the literature. The first, which dictated our chosen machine learning (ML) methodology, relates to the complexities that arise from modeling electronic health data (EMH) where hidden clustering, non-independence of observations and multi-collinearity are all challenges that ML methods like random forests and gradient boosted forests can often better manage; albeit with varying levels of explainability</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w:t>
      </w:r>
      <w:hyperlink w:anchor="ref-zeleke2023">
        <w:r>
          <w:rPr>
            <w:rStyle w:val="Hyperlink"/>
          </w:rPr>
          <w:t xml:space="preserve">Zeleke et al., 2023</w:t>
        </w:r>
      </w:hyperlink>
      <w:r>
        <w:t xml:space="preserve">)</w:t>
      </w:r>
      <w:r>
        <w:t xml:space="preserve">. Though there is often a trade-off of interpretability with increased predictive accuracy, modern post-hoc methods like SHapley Additive exPlanations (SHAP) offer an alternative way of understanding the contribution of inidividual features to a specific prediction</w:t>
      </w:r>
      <w:r>
        <w:t xml:space="preserve"> </w:t>
      </w:r>
      <w:r>
        <w:t xml:space="preserve">(</w:t>
      </w:r>
      <w:hyperlink w:anchor="ref-lundberg">
        <w:r>
          <w:rPr>
            <w:rStyle w:val="Hyperlink"/>
          </w:rPr>
          <w:t xml:space="preserve">Lundberg &amp; Lee, 2017</w:t>
        </w:r>
      </w:hyperlink>
      <w:r>
        <w:t xml:space="preserve">)</w:t>
      </w:r>
      <w:r>
        <w:t xml:space="preserve">.</w:t>
      </w:r>
    </w:p>
    <w:p>
      <w:pPr>
        <w:pStyle w:val="BodyText"/>
      </w:pPr>
      <w:r>
        <w:t xml:space="preserve">We also intend to tackle the lack of inconsistent outcome measures found in the literature. Previous studies often relied on flat measures such as length of stay or number of appointments as a proxy for workload which doesn’t capture the variance in work intensity throughout the treatment period</w:t>
      </w:r>
      <w:r>
        <w:t xml:space="preserve"> </w:t>
      </w:r>
      <w:r>
        <w:t xml:space="preserve">(</w:t>
      </w:r>
      <w:hyperlink w:anchor="ref-cmho2019">
        <w:r>
          <w:rPr>
            <w:rStyle w:val="Hyperlink"/>
          </w:rPr>
          <w:t xml:space="preserve">CMHO, 2019</w:t>
        </w:r>
      </w:hyperlink>
      <w:r>
        <w:t xml:space="preserve">;</w:t>
      </w:r>
      <w:r>
        <w:t xml:space="preserve"> </w:t>
      </w:r>
      <w:hyperlink w:anchor="ref-martin2020">
        <w:r>
          <w:rPr>
            <w:rStyle w:val="Hyperlink"/>
          </w:rPr>
          <w:t xml:space="preserve">Martin et al., 2020</w:t>
        </w:r>
      </w:hyperlink>
      <w:r>
        <w:t xml:space="preserve">)</w:t>
      </w:r>
      <w:r>
        <w:t xml:space="preserve">. To address this, we will calculate a work measure on a per-diem basis, based on the total time logged in service of the client per week, which we hope will better reflect the intensity of work than a flat count</w:t>
      </w:r>
      <w:r>
        <w:t xml:space="preserve"> </w:t>
      </w:r>
      <w:r>
        <w:t xml:space="preserve">(</w:t>
      </w:r>
      <w:hyperlink w:anchor="ref-cmho2019">
        <w:r>
          <w:rPr>
            <w:rStyle w:val="Hyperlink"/>
          </w:rPr>
          <w:t xml:space="preserve">CMHO, 2019</w:t>
        </w:r>
      </w:hyperlink>
      <w:r>
        <w:t xml:space="preserve">;</w:t>
      </w:r>
      <w:r>
        <w:t xml:space="preserve"> </w:t>
      </w:r>
      <w:hyperlink w:anchor="ref-wang2021">
        <w:r>
          <w:rPr>
            <w:rStyle w:val="Hyperlink"/>
          </w:rPr>
          <w:t xml:space="preserve">Wang et al., 2021</w:t>
        </w:r>
      </w:hyperlink>
      <w:r>
        <w:t xml:space="preserve">)</w:t>
      </w:r>
      <w:r>
        <w:t xml:space="preserve">.</w:t>
      </w:r>
    </w:p>
    <w:p>
      <w:pPr>
        <w:pStyle w:val="BodyText"/>
      </w:pPr>
      <w:r>
        <w:t xml:space="preserve">Additionally, we intend to address concerns highlighted by</w:t>
      </w:r>
      <w:r>
        <w:t xml:space="preserve"> </w:t>
      </w:r>
      <w:r>
        <w:t xml:space="preserve">Tran et al. (</w:t>
      </w:r>
      <w:hyperlink w:anchor="ref-tran2019">
        <w:r>
          <w:rPr>
            <w:rStyle w:val="Hyperlink"/>
          </w:rPr>
          <w:t xml:space="preserve">2019</w:t>
        </w:r>
      </w:hyperlink>
      <w:r>
        <w:t xml:space="preserve">)</w:t>
      </w:r>
      <w:r>
        <w:t xml:space="preserve"> </w:t>
      </w:r>
      <w:r>
        <w:t xml:space="preserve">where client-level indicators like gender and race are included in models and which raise concerns about fairness and predictor bias.</w:t>
      </w:r>
      <w:r>
        <w:t xml:space="preserve"> </w:t>
      </w:r>
      <w:r>
        <w:t xml:space="preserve">Tran et al. (</w:t>
      </w:r>
      <w:hyperlink w:anchor="ref-tran2019">
        <w:r>
          <w:rPr>
            <w:rStyle w:val="Hyperlink"/>
          </w:rPr>
          <w:t xml:space="preserve">2019</w:t>
        </w:r>
      </w:hyperlink>
      <w:r>
        <w:t xml:space="preserve">)</w:t>
      </w:r>
      <w:r>
        <w:t xml:space="preserve"> </w:t>
      </w:r>
      <w:r>
        <w:t xml:space="preserve">importantly pointed out that while race and gender may</w:t>
      </w:r>
      <w:r>
        <w:t xml:space="preserve"> </w:t>
      </w:r>
      <w:r>
        <w:rPr>
          <w:i/>
          <w:iCs/>
        </w:rPr>
        <w:t xml:space="preserve">correlate</w:t>
      </w:r>
      <w:r>
        <w:t xml:space="preserve"> </w:t>
      </w:r>
      <w:r>
        <w:t xml:space="preserve">with resource use, the relationships are confounded by marginalization that may be drive increased risk for mental health concerns</w:t>
      </w:r>
      <w:r>
        <w:t xml:space="preserve"> </w:t>
      </w:r>
      <w:r>
        <w:t xml:space="preserve">(</w:t>
      </w:r>
      <w:hyperlink w:anchor="ref-gaines2003">
        <w:r>
          <w:rPr>
            <w:rStyle w:val="Hyperlink"/>
          </w:rPr>
          <w:t xml:space="preserve">Gaines et al., 2003</w:t>
        </w:r>
      </w:hyperlink>
      <w:r>
        <w:t xml:space="preserve">;</w:t>
      </w:r>
      <w:r>
        <w:t xml:space="preserve"> </w:t>
      </w:r>
      <w:hyperlink w:anchor="ref-tran2019">
        <w:r>
          <w:rPr>
            <w:rStyle w:val="Hyperlink"/>
          </w:rPr>
          <w:t xml:space="preserve">Tran et al., 2019</w:t>
        </w:r>
      </w:hyperlink>
      <w:r>
        <w:t xml:space="preserve">)</w:t>
      </w:r>
      <w:r>
        <w:t xml:space="preserve">. To avoid these pitfalls, we will focus solely on client-side drivers of work, specifically the mental health acuity features collected at intake, which have been shown to be more reliable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 We plan to use interRAI screener+ items and scores specifically</w:t>
      </w:r>
      <w:r>
        <w:t xml:space="preserve"> </w:t>
      </w:r>
      <w:r>
        <w:t xml:space="preserve">(</w:t>
      </w:r>
      <w:hyperlink w:anchor="ref-hirdes2020">
        <w:r>
          <w:rPr>
            <w:rStyle w:val="Hyperlink"/>
          </w:rPr>
          <w:t xml:space="preserve">Hirdes et al., 2020</w:t>
        </w:r>
      </w:hyperlink>
      <w:r>
        <w:t xml:space="preserve">)</w:t>
      </w:r>
      <w:r>
        <w:t xml:space="preserve">.</w:t>
      </w:r>
    </w:p>
    <w:p>
      <w:pPr>
        <w:pStyle w:val="BodyText"/>
      </w:pPr>
      <w:r>
        <w:t xml:space="preserve">Furthermore, we intend to focus solely on client-side drivers of work as recommended by</w:t>
      </w:r>
      <w:r>
        <w:t xml:space="preserve"> </w:t>
      </w:r>
      <w:r>
        <w:t xml:space="preserve">Tran et al. (</w:t>
      </w:r>
      <w:hyperlink w:anchor="ref-tran2019">
        <w:r>
          <w:rPr>
            <w:rStyle w:val="Hyperlink"/>
          </w:rPr>
          <w:t xml:space="preserve">2019</w:t>
        </w:r>
      </w:hyperlink>
      <w:r>
        <w:t xml:space="preserve">)</w:t>
      </w:r>
      <w:r>
        <w:t xml:space="preserve"> </w:t>
      </w:r>
      <w:r>
        <w:t xml:space="preserve">who suggest including provider-side variables like years of experience or preferred therapeutic modality risks reinforcing systemic unfairness in case distribution where the more experienced clinicians may have the greater bulk of complex clients. Moreover, provider related information is not available in the client record at intake.</w:t>
      </w:r>
    </w:p>
    <w:p>
      <w:pPr>
        <w:pStyle w:val="BodyText"/>
      </w:pPr>
      <w:r>
        <w:t xml:space="preserve">Finally, to avoid considerable validation problems found across the literature, we will utilize cross-validation for model training and tuning and will hold back a test set of unseen data for final model evaluation. The test set we hold back will serve as a control for determining model generalizability</w:t>
      </w:r>
      <w:r>
        <w:t xml:space="preserve"> </w:t>
      </w:r>
      <w:r>
        <w:t xml:space="preserve">(</w:t>
      </w:r>
      <w:hyperlink w:anchor="ref-costa2015">
        <w:r>
          <w:rPr>
            <w:rStyle w:val="Hyperlink"/>
          </w:rPr>
          <w:t xml:space="preserve">Costa et al., 2015</w:t>
        </w:r>
      </w:hyperlink>
      <w:r>
        <w:t xml:space="preserve">;</w:t>
      </w:r>
      <w:r>
        <w:t xml:space="preserve"> </w:t>
      </w:r>
      <w:hyperlink w:anchor="ref-reid2021">
        <w:r>
          <w:rPr>
            <w:rStyle w:val="Hyperlink"/>
          </w:rPr>
          <w:t xml:space="preserve">Reid et al., 2021</w:t>
        </w:r>
      </w:hyperlink>
      <w:r>
        <w:t xml:space="preserve">;</w:t>
      </w:r>
      <w:r>
        <w:t xml:space="preserve"> </w:t>
      </w:r>
      <w:hyperlink w:anchor="ref-tran2019">
        <w:r>
          <w:rPr>
            <w:rStyle w:val="Hyperlink"/>
          </w:rPr>
          <w:t xml:space="preserve">Tran et al., 2019</w:t>
        </w:r>
      </w:hyperlink>
      <w:r>
        <w:t xml:space="preserve">)</w:t>
      </w:r>
      <w:r>
        <w:t xml:space="preserve">. We will also split our data in a group-wise fashion, ensuring that clients with multiple rows will only be in either the training set or the test set, never both. This will ensure that we have a more robust measure of how well the final model will generalize to</w:t>
      </w:r>
      <w:r>
        <w:t xml:space="preserve"> </w:t>
      </w:r>
      <w:r>
        <w:t xml:space="preserve">“</w:t>
      </w:r>
      <w:r>
        <w:t xml:space="preserve">unseen</w:t>
      </w:r>
      <w:r>
        <w:t xml:space="preserve">”</w:t>
      </w:r>
      <w:r>
        <w:t xml:space="preserve"> </w:t>
      </w:r>
      <w:r>
        <w:t xml:space="preserve">clients. We will also clearly outline our choice of models, metrics and all R code will be made available for reproducibility (see Methods).</w:t>
      </w:r>
    </w:p>
    <w:bookmarkEnd w:id="113"/>
    <w:bookmarkEnd w:id="11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5" Target="media/rId35.svg" /><Relationship Type="http://schemas.openxmlformats.org/officeDocument/2006/relationships/image" Id="rId44" Target="media/rId44.svg" /><Relationship Type="http://schemas.openxmlformats.org/officeDocument/2006/relationships/image" Id="rId40" Target="media/rId40.svg" /><Relationship Type="http://schemas.openxmlformats.org/officeDocument/2006/relationships/hyperlink" Id="rId77" Target="https://doi.org/10.1007/BF02287348" TargetMode="External" /><Relationship Type="http://schemas.openxmlformats.org/officeDocument/2006/relationships/hyperlink" Id="rId92" Target="https://doi.org/10.1007/s10826-020-01859-2" TargetMode="External" /><Relationship Type="http://schemas.openxmlformats.org/officeDocument/2006/relationships/hyperlink" Id="rId82" Target="https://doi.org/10.1016/j.gloepi.2020.100045" TargetMode="External" /><Relationship Type="http://schemas.openxmlformats.org/officeDocument/2006/relationships/hyperlink" Id="rId107" Target="https://doi.org/10.1016/j.ijmedinf.2021.104451" TargetMode="External" /><Relationship Type="http://schemas.openxmlformats.org/officeDocument/2006/relationships/hyperlink" Id="rId73" Target="https://doi.org/10.1038/s41591-022-01811-5" TargetMode="External" /><Relationship Type="http://schemas.openxmlformats.org/officeDocument/2006/relationships/hyperlink" Id="rId94" Target="https://doi.org/10.1080/00273171.2022.2146638" TargetMode="External" /><Relationship Type="http://schemas.openxmlformats.org/officeDocument/2006/relationships/hyperlink" Id="rId57" Target="https://doi.org/10.1080/09638230802522981" TargetMode="External" /><Relationship Type="http://schemas.openxmlformats.org/officeDocument/2006/relationships/hyperlink" Id="rId84" Target="https://doi.org/10.1080/09638237.2017.1370631" TargetMode="External" /><Relationship Type="http://schemas.openxmlformats.org/officeDocument/2006/relationships/hyperlink" Id="rId59" Target="https://doi.org/10.1080/24725838.2018.1522392" TargetMode="External" /><Relationship Type="http://schemas.openxmlformats.org/officeDocument/2006/relationships/hyperlink" Id="rId96" Target="https://doi.org/10.1111/apps.12435" TargetMode="External" /><Relationship Type="http://schemas.openxmlformats.org/officeDocument/2006/relationships/hyperlink" Id="rId67" Target="https://doi.org/10.1177/0840470414551866" TargetMode="External" /><Relationship Type="http://schemas.openxmlformats.org/officeDocument/2006/relationships/hyperlink" Id="rId104" Target="https://doi.org/10.1177/1178632919862248" TargetMode="External" /><Relationship Type="http://schemas.openxmlformats.org/officeDocument/2006/relationships/hyperlink" Id="rId98" Target="https://doi.org/10.1177/1178632920977899" TargetMode="External" /><Relationship Type="http://schemas.openxmlformats.org/officeDocument/2006/relationships/hyperlink" Id="rId90" Target="https://doi.org/10.1186/1472-6963-13-15" TargetMode="External" /><Relationship Type="http://schemas.openxmlformats.org/officeDocument/2006/relationships/hyperlink" Id="rId102" Target="https://doi.org/10.1186/s12913-016-1970-9" TargetMode="External" /><Relationship Type="http://schemas.openxmlformats.org/officeDocument/2006/relationships/hyperlink" Id="rId61" Target="https://doi.org/10.2196/38590" TargetMode="External" /><Relationship Type="http://schemas.openxmlformats.org/officeDocument/2006/relationships/hyperlink" Id="rId75" Target="https://doi.org/10.3389/fpsyt.2019.00926" TargetMode="External" /><Relationship Type="http://schemas.openxmlformats.org/officeDocument/2006/relationships/hyperlink" Id="rId100" Target="https://doi.org/10.3389/fpsyt.2022.710569" TargetMode="External" /><Relationship Type="http://schemas.openxmlformats.org/officeDocument/2006/relationships/hyperlink" Id="rId109" Target="https://doi.org/10.3389/frai.2023.1179226" TargetMode="External" /><Relationship Type="http://schemas.openxmlformats.org/officeDocument/2006/relationships/hyperlink" Id="rId55" Target="https://doi.org/10.3390/s23094178" TargetMode="External" /><Relationship Type="http://schemas.openxmlformats.org/officeDocument/2006/relationships/hyperlink" Id="rId80" Target="https://doi.org/10.48550/arXiv.1705.07874" TargetMode="External" /><Relationship Type="http://schemas.openxmlformats.org/officeDocument/2006/relationships/hyperlink" Id="rId63" Target="https://iknow-oce.esolutionsgroup.ca/api/ServiceItem/GetDocument?clientId=A1B5AA8F-88A1-4688-83F8-FF0A5B083EF3&amp;documentId=6aeb8d26-16ac-4353-b49c-c21b131b735c" TargetMode="External" /><Relationship Type="http://schemas.openxmlformats.org/officeDocument/2006/relationships/hyperlink" Id="rId86" Target="https://ntnuopen.ntnu.no/ntnu-xmlui/bitstream/handle/11250/2433761/16128_FULLTEXT.pdf" TargetMode="External" /><Relationship Type="http://schemas.openxmlformats.org/officeDocument/2006/relationships/hyperlink" Id="rId88" Target="https://www.hhs.gov/hipaa/for-professionals/privacy/special-topics/de-identification/index.html" TargetMode="External" /><Relationship Type="http://schemas.openxmlformats.org/officeDocument/2006/relationships/hyperlink" Id="rId71" Target="https://www.lattice.co.nz/documents/final-report-june03-caos.pdf" TargetMode="External" /><Relationship Type="http://schemas.openxmlformats.org/officeDocument/2006/relationships/hyperlink" Id="rId69"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7/BF02287348" TargetMode="External" /><Relationship Type="http://schemas.openxmlformats.org/officeDocument/2006/relationships/hyperlink" Id="rId92" Target="https://doi.org/10.1007/s10826-020-01859-2" TargetMode="External" /><Relationship Type="http://schemas.openxmlformats.org/officeDocument/2006/relationships/hyperlink" Id="rId82" Target="https://doi.org/10.1016/j.gloepi.2020.100045" TargetMode="External" /><Relationship Type="http://schemas.openxmlformats.org/officeDocument/2006/relationships/hyperlink" Id="rId107" Target="https://doi.org/10.1016/j.ijmedinf.2021.104451" TargetMode="External" /><Relationship Type="http://schemas.openxmlformats.org/officeDocument/2006/relationships/hyperlink" Id="rId73" Target="https://doi.org/10.1038/s41591-022-01811-5" TargetMode="External" /><Relationship Type="http://schemas.openxmlformats.org/officeDocument/2006/relationships/hyperlink" Id="rId94" Target="https://doi.org/10.1080/00273171.2022.2146638" TargetMode="External" /><Relationship Type="http://schemas.openxmlformats.org/officeDocument/2006/relationships/hyperlink" Id="rId57" Target="https://doi.org/10.1080/09638230802522981" TargetMode="External" /><Relationship Type="http://schemas.openxmlformats.org/officeDocument/2006/relationships/hyperlink" Id="rId84" Target="https://doi.org/10.1080/09638237.2017.1370631" TargetMode="External" /><Relationship Type="http://schemas.openxmlformats.org/officeDocument/2006/relationships/hyperlink" Id="rId59" Target="https://doi.org/10.1080/24725838.2018.1522392" TargetMode="External" /><Relationship Type="http://schemas.openxmlformats.org/officeDocument/2006/relationships/hyperlink" Id="rId96" Target="https://doi.org/10.1111/apps.12435" TargetMode="External" /><Relationship Type="http://schemas.openxmlformats.org/officeDocument/2006/relationships/hyperlink" Id="rId67" Target="https://doi.org/10.1177/0840470414551866" TargetMode="External" /><Relationship Type="http://schemas.openxmlformats.org/officeDocument/2006/relationships/hyperlink" Id="rId104" Target="https://doi.org/10.1177/1178632919862248" TargetMode="External" /><Relationship Type="http://schemas.openxmlformats.org/officeDocument/2006/relationships/hyperlink" Id="rId98" Target="https://doi.org/10.1177/1178632920977899" TargetMode="External" /><Relationship Type="http://schemas.openxmlformats.org/officeDocument/2006/relationships/hyperlink" Id="rId90" Target="https://doi.org/10.1186/1472-6963-13-15" TargetMode="External" /><Relationship Type="http://schemas.openxmlformats.org/officeDocument/2006/relationships/hyperlink" Id="rId102" Target="https://doi.org/10.1186/s12913-016-1970-9" TargetMode="External" /><Relationship Type="http://schemas.openxmlformats.org/officeDocument/2006/relationships/hyperlink" Id="rId61" Target="https://doi.org/10.2196/38590" TargetMode="External" /><Relationship Type="http://schemas.openxmlformats.org/officeDocument/2006/relationships/hyperlink" Id="rId75" Target="https://doi.org/10.3389/fpsyt.2019.00926" TargetMode="External" /><Relationship Type="http://schemas.openxmlformats.org/officeDocument/2006/relationships/hyperlink" Id="rId100" Target="https://doi.org/10.3389/fpsyt.2022.710569" TargetMode="External" /><Relationship Type="http://schemas.openxmlformats.org/officeDocument/2006/relationships/hyperlink" Id="rId109" Target="https://doi.org/10.3389/frai.2023.1179226" TargetMode="External" /><Relationship Type="http://schemas.openxmlformats.org/officeDocument/2006/relationships/hyperlink" Id="rId55" Target="https://doi.org/10.3390/s23094178" TargetMode="External" /><Relationship Type="http://schemas.openxmlformats.org/officeDocument/2006/relationships/hyperlink" Id="rId80" Target="https://doi.org/10.48550/arXiv.1705.07874" TargetMode="External" /><Relationship Type="http://schemas.openxmlformats.org/officeDocument/2006/relationships/hyperlink" Id="rId63" Target="https://iknow-oce.esolutionsgroup.ca/api/ServiceItem/GetDocument?clientId=A1B5AA8F-88A1-4688-83F8-FF0A5B083EF3&amp;documentId=6aeb8d26-16ac-4353-b49c-c21b131b735c" TargetMode="External" /><Relationship Type="http://schemas.openxmlformats.org/officeDocument/2006/relationships/hyperlink" Id="rId86" Target="https://ntnuopen.ntnu.no/ntnu-xmlui/bitstream/handle/11250/2433761/16128_FULLTEXT.pdf" TargetMode="External" /><Relationship Type="http://schemas.openxmlformats.org/officeDocument/2006/relationships/hyperlink" Id="rId88" Target="https://www.hhs.gov/hipaa/for-professionals/privacy/special-topics/de-identification/index.html" TargetMode="External" /><Relationship Type="http://schemas.openxmlformats.org/officeDocument/2006/relationships/hyperlink" Id="rId71" Target="https://www.lattice.co.nz/documents/final-report-june03-caos.pdf" TargetMode="External" /><Relationship Type="http://schemas.openxmlformats.org/officeDocument/2006/relationships/hyperlink" Id="rId69"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2024-10-28T00:18:25Z</dcterms:created>
  <dcterms:modified xsi:type="dcterms:W3CDTF">2024-10-28T00:18:25Z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community-based child and youth mental health services (CYMH) face significant workforce challenges, alongside increased demand for service, the ability to anticipate and optimize the workload of staff is critical to providing high quality care that is both timely and fair in its resource allocation. Yet ongoing manual review of client records, necessary to fairly and efficiently manage clinician workload remains untenable in the face of the same workforce shortages. With this gap in mind, the goal of the current study is to evaluate the utility of leveraging electronic mental health records (EMHR) with machine learning models to anticipate and monitor the amount of work individual clients contribute to a provider’s workload. Specific objectives include: (i) determining the best proxies for modeling client-related work (i.e., total direct hours versus weekly direct hours versus case acuity–low; medium and high); (ii) identifying the best features to predict client-related work from structured demographic, administrative and assessment EMHRs; (iii) comparing the predictive accuracy of several machine learning algorithms to predict workload proxies (i.e., regression and classification based models depending on the proxy); (iv) determining the potential for early and ongoing prediction of caseweight to inform case assignment and workload management.</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ghtbox">
    <vt:lpwstr>True</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SHORT TITLE IN RUNNING HEADER</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