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7.svg" ContentType="image/svg+xml"/>
  <Override PartName="/word/media/rId42.png" ContentType="image/png"/>
  <Override PartName="/word/media/rId10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are off the wait list</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EHR with algorithms to better anticipate and manage healthcare resources and outcomes.</w:t>
      </w:r>
    </w:p>
    <w:p>
      <w:pPr>
        <w:pStyle w:val="BodyText"/>
      </w:pPr>
      <w:r>
        <w:t xml:space="preserve">With this gap in mind, the current research proposes to explore the feasability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(EHR), despite its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 (Nielsen, 2016).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 prior research, we expect that predictions will be weakest early in the client journey when EHR information is limited to an intake screener and basic demographics. However, as more data accumulates over time, we anticipate that prediction accuracy will improve.</w:t>
      </w:r>
    </w:p>
    <w:p>
      <w:pPr>
        <w:pStyle w:val="BodyText"/>
      </w:pPr>
      <w:r>
        <w:t xml:space="preserve">Furthermore, we hypothesize that for new clients, mental health acuity features—such as externalizing behaviors and a history of self-harm or suicide attempts—will be strong predictors of required resources. For known clients, however, we anticipate that time-based factors, such as time since first contact with the agency or time since the last assessment, will be more predictive of workload needs. This hypothesis aligns with literature identifying these variables as key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29"/>
    <w:bookmarkEnd w:id="30"/>
    <w:bookmarkStart w:id="52"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2024. The general flow of clients through Compass is illustrated in</w:t>
      </w:r>
      <w:r>
        <w:t xml:space="preserve"> </w:t>
      </w:r>
      <w:hyperlink w:anchor="fig-client-selection">
        <w:r>
          <w:rPr>
            <w:rStyle w:val="Hyperlink"/>
          </w:rPr>
          <w:t xml:space="preserve">Figure 1</w:t>
        </w:r>
      </w:hyperlink>
      <w:r>
        <w:t xml:space="preserve">.</w:t>
      </w:r>
    </w:p>
    <w:bookmarkStart w:id="3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2" name="Picture"/>
            <a:graphic>
              <a:graphicData uri="http://schemas.openxmlformats.org/drawingml/2006/picture">
                <pic:pic>
                  <pic:nvPicPr>
                    <pic:cNvPr descr="images/client_pathway.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bookmarkStart w:id="35"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5"/>
    <w:bookmarkStart w:id="36"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6"/>
    <w:bookmarkStart w:id="41"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aggregating workload proxies (direct and indirect services hours) that will be used as stand-ins for actual workload; 3) identifying and extracting indicators of workload (i.e.,independent variables/features) that could be used to model our proxies; 3) modeling the relationship between the indicators and proxies with machine learning algorithms of varying complexity; and 4) evaluating and comparing the models’ performance on a set of unseen data (see</w:t>
      </w:r>
      <w:r>
        <w:t xml:space="preserve"> </w:t>
      </w:r>
      <w:hyperlink w:anchor="fig-procedure-flow">
        <w:r>
          <w:rPr>
            <w:rStyle w:val="Hyperlink"/>
          </w:rPr>
          <w:t xml:space="preserve">Figure 2</w:t>
        </w:r>
      </w:hyperlink>
      <w:r>
        <w:t xml:space="preserve">).</w:t>
      </w:r>
    </w:p>
    <w:bookmarkStart w:id="40" w:name="fig-procedure-flow"/>
    <w:p>
      <w:pPr>
        <w:pStyle w:val="FigureTitle"/>
      </w:pPr>
      <w:r>
        <w:t xml:space="preserve">Figure 2</w:t>
      </w:r>
    </w:p>
    <w:p>
      <w:pPr>
        <w:pStyle w:val="Caption"/>
      </w:pPr>
      <w:r>
        <w:t xml:space="preserve">Experimental procedure</w:t>
      </w:r>
    </w:p>
    <w:p>
      <w:pPr>
        <w:pStyle w:val="FigureWithNote"/>
      </w:pPr>
      <w:r>
        <w:drawing>
          <wp:inline>
            <wp:extent cx="5943600" cy="5570626"/>
            <wp:effectExtent b="0" l="0" r="0" t="0"/>
            <wp:docPr descr="" title="" id="38" name="Picture"/>
            <a:graphic>
              <a:graphicData uri="http://schemas.openxmlformats.org/drawingml/2006/picture">
                <pic:pic>
                  <pic:nvPicPr>
                    <pic:cNvPr descr="images/experimental-modelling-procedur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0"/>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1"/>
    <w:bookmarkStart w:id="49" w:name="data-preprocessing"/>
    <w:p>
      <w:pPr>
        <w:pStyle w:val="Heading2"/>
      </w:pPr>
      <w:r>
        <w:t xml:space="preserve">Data Preprocessing</w:t>
      </w:r>
    </w:p>
    <w:p>
      <w:pPr>
        <w:pStyle w:val="FirstParagraph"/>
      </w:pPr>
      <w:r>
        <w:t xml:space="preserve">After deidentification, data preprocessing will involve cleaning, joining dataframes, handling missing values if necessary, and aggregating features across weeks. All decisions we make in regard to missing data, data normalization or any other changes will be decided on a case by case basis and reported in our final paper. Pending approval from the host agency, the Python data scripts will also be made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w:t>
      </w:r>
    </w:p>
    <w:p>
      <w:pPr>
        <w:pStyle w:val="BodyText"/>
      </w:pPr>
      <w:r>
        <w:t xml:space="preserve">With the exception of static information like presenting concern or referral source, all EHR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drawing>
          <wp:inline>
            <wp:extent cx="5943600" cy="1154705"/>
            <wp:effectExtent b="0" l="0" r="0" t="0"/>
            <wp:docPr descr="" title="" id="43" name="Picture"/>
            <a:graphic>
              <a:graphicData uri="http://schemas.openxmlformats.org/drawingml/2006/picture">
                <pic:pic>
                  <pic:nvPicPr>
                    <pic:cNvPr descr="images/paste-1.png" id="44" name="Picture"/>
                    <pic:cNvPicPr>
                      <a:picLocks noChangeArrowheads="1" noChangeAspect="1"/>
                    </pic:cNvPicPr>
                  </pic:nvPicPr>
                  <pic:blipFill>
                    <a:blip r:embed="rId42"/>
                    <a:stretch>
                      <a:fillRect/>
                    </a:stretch>
                  </pic:blipFill>
                  <pic:spPr bwMode="auto">
                    <a:xfrm>
                      <a:off x="0" y="0"/>
                      <a:ext cx="5943600" cy="1154705"/>
                    </a:xfrm>
                    <a:prstGeom prst="rect">
                      <a:avLst/>
                    </a:prstGeom>
                    <a:noFill/>
                    <a:ln w="9525">
                      <a:noFill/>
                      <a:headEnd/>
                      <a:tailEnd/>
                    </a:ln>
                  </pic:spPr>
                </pic:pic>
              </a:graphicData>
            </a:graphic>
          </wp:inline>
        </w:drawing>
      </w:r>
    </w:p>
    <w:bookmarkStart w:id="45"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predict the weekly hours needed during the upcoming 28 days. Applying a rolling window approach will allow for a periodic update of the caseweight by incorporating newly available data (or the absence of it) at the beginning of each week. The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both direct and indirect time or either on its own.</w:t>
      </w:r>
    </w:p>
    <w:bookmarkEnd w:id="45"/>
    <w:bookmarkStart w:id="46"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Informed by</w:t>
      </w:r>
      <w:r>
        <w:t xml:space="preserve"> </w:t>
      </w:r>
      <w:r>
        <w:t xml:space="preserve">Garriga et al. (</w:t>
      </w:r>
      <w:hyperlink w:anchor="ref-garriga2022">
        <w:r>
          <w:rPr>
            <w:rStyle w:val="Hyperlink"/>
          </w:rPr>
          <w:t xml:space="preserve">2022</w:t>
        </w:r>
      </w:hyperlink>
      <w:r>
        <w:t xml:space="preserve">)</w:t>
      </w:r>
      <w:r>
        <w:t xml:space="preserve">,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pStyle w:val="BodyText"/>
      </w:pPr>
      <w:r>
        <w:rPr>
          <w:b/>
          <w:bCs/>
        </w:rPr>
        <w:t xml:space="preserve">Diagnosis features.</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seperated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At each client-week, for each type of interaction and category, we will construct a feature that counts the number of elapsed weeks since the last occurrence of the corresponding event. If the client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also add the week number (of a year 1-52) to account for seasonality effects.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6"/>
    <w:bookmarkStart w:id="47"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June 2022. Validation data will start in the first week of January 2023 and end in the last week of December 2023. Test data will start in the first week of January 2024 and end in the last week of December 2024. We may omit data from the first 6 months of the COVID pandemic due to disruptions in normal service delivery that continued until new policies and procedures could be implemented. The irregularity of these data may interfere with the model identifying typical seasonal trends.</w:t>
      </w:r>
    </w:p>
    <w:p>
      <w:pPr>
        <w:pStyle w:val="BodyText"/>
      </w:pPr>
      <w:r>
        <w:t xml:space="preserve">10-fold, 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Performance evaluations will be conducted on a weekly basis and each week’s results will be used to build confidence intervals on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very end of the training process.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full list of all variables will be included in the final report.</w:t>
      </w:r>
    </w:p>
    <w:bookmarkEnd w:id="47"/>
    <w:bookmarkStart w:id="48"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 All algorithms will be trained on the same training set and cross validation folds and evaluated on the same test set using the TidyModels suite of packages in R Studio.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8"/>
    <w:bookmarkEnd w:id="49"/>
    <w:bookmarkStart w:id="50"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estimate client-related work. ADD INFO ABOUT SHAP HERE.</w:t>
      </w:r>
    </w:p>
    <w:bookmarkEnd w:id="50"/>
    <w:bookmarkStart w:id="51" w:name="software-and-tools"/>
    <w:p>
      <w:pPr>
        <w:pStyle w:val="Heading2"/>
      </w:pPr>
      <w:r>
        <w:t xml:space="preserve">Software and Tools</w:t>
      </w:r>
    </w:p>
    <w:p>
      <w:pPr>
        <w:pStyle w:val="FirstParagraph"/>
      </w:pPr>
      <w:r>
        <w:t xml:space="preserve">A Python kernel will be used for model building and evaluation (Khun &amp; Wickham 2020)</w:t>
      </w:r>
      <w:r>
        <w:t xml:space="preserve"> </w:t>
      </w:r>
      <w:hyperlink w:anchor="Xd8c3846978d47bdf5af6a8f09caf94b87f551a5">
        <w:r>
          <w:rPr>
            <w:rStyle w:val="Hyperlink"/>
          </w:rPr>
          <w:t xml:space="preserve">[KP1]</w:t>
        </w:r>
      </w:hyperlink>
      <w:r>
        <w:t xml:space="preserve"> </w:t>
      </w:r>
      <w:r>
        <w:t xml:space="preserve">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51"/>
    <w:bookmarkEnd w:id="52"/>
    <w:bookmarkStart w:id="53"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allocation of cases,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Given the pressing need for a case-management tool that can more accurately and fairly assess client-related work, we believe our proposed study is a timely addition. Not only does our research have the potential to advance understanding of the relationship between client characteristics and resource use, but it also contributes to the broader goal of optimizing mental health services to ensure that young people and their families receive high-quality, timely care.</w:t>
      </w:r>
    </w:p>
    <w:bookmarkEnd w:id="53"/>
    <w:bookmarkStart w:id="102" w:name="references"/>
    <w:p>
      <w:pPr>
        <w:pStyle w:val="Heading1"/>
      </w:pPr>
      <w:r>
        <w:t xml:space="preserve">References</w:t>
      </w:r>
    </w:p>
    <w:bookmarkStart w:id="101" w:name="refs"/>
    <w:bookmarkStart w:id="55"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4">
        <w:r>
          <w:rPr>
            <w:rStyle w:val="Hyperlink"/>
          </w:rPr>
          <w:t xml:space="preserve">https://doi.org/10.3390/s23094178</w:t>
        </w:r>
      </w:hyperlink>
    </w:p>
    <w:bookmarkEnd w:id="55"/>
    <w:bookmarkStart w:id="57"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6">
        <w:r>
          <w:rPr>
            <w:rStyle w:val="Hyperlink"/>
          </w:rPr>
          <w:t xml:space="preserve">https://www.auditor.on.ca/en/content/annualreports/arreports/en16/v1_301en16.pdf</w:t>
        </w:r>
      </w:hyperlink>
    </w:p>
    <w:bookmarkEnd w:id="57"/>
    <w:bookmarkStart w:id="59"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58">
        <w:r>
          <w:rPr>
            <w:rStyle w:val="Hyperlink"/>
          </w:rPr>
          <w:t xml:space="preserve">https://www.auditor.on.ca/en/content/annualreports/arreports/en18/v2_101en18.pdf</w:t>
        </w:r>
      </w:hyperlink>
    </w:p>
    <w:bookmarkEnd w:id="59"/>
    <w:bookmarkStart w:id="61"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0">
        <w:r>
          <w:rPr>
            <w:rStyle w:val="Hyperlink"/>
          </w:rPr>
          <w:t xml:space="preserve">https://doi.org/10.1080/09638230802522981</w:t>
        </w:r>
      </w:hyperlink>
    </w:p>
    <w:bookmarkEnd w:id="61"/>
    <w:bookmarkStart w:id="63"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2">
        <w:r>
          <w:rPr>
            <w:rStyle w:val="Hyperlink"/>
          </w:rPr>
          <w:t xml:space="preserve">https://doi.org/10.2196/38590</w:t>
        </w:r>
      </w:hyperlink>
    </w:p>
    <w:bookmarkEnd w:id="63"/>
    <w:bookmarkStart w:id="65"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4">
        <w:r>
          <w:rPr>
            <w:rStyle w:val="Hyperlink"/>
          </w:rPr>
          <w:t xml:space="preserve">https://iknow-oce.esolutionsgroup.ca/api/ServiceItem/GetDocument?clientId=A1B5AA8F-88A1-4688-83F8-FF0A5B083EF3&amp;documentId=6aeb8d26-16ac-4353-b49c-c21b131b735c</w:t>
        </w:r>
      </w:hyperlink>
    </w:p>
    <w:bookmarkEnd w:id="65"/>
    <w:bookmarkStart w:id="66" w:name="ref-cmho2020"/>
    <w:p>
      <w:pPr>
        <w:pStyle w:val="Bibliography"/>
      </w:pPr>
      <w:r>
        <w:t xml:space="preserve">CMHO. (2020).</w:t>
      </w:r>
      <w:r>
        <w:t xml:space="preserve"> </w:t>
      </w:r>
      <w:r>
        <w:rPr>
          <w:i/>
          <w:iCs/>
        </w:rPr>
        <w:t xml:space="preserve">Kids can’t wait</w:t>
      </w:r>
      <w:r>
        <w:t xml:space="preserve"> </w:t>
      </w:r>
      <w:r>
        <w:t xml:space="preserve">(p. 12).</w:t>
      </w:r>
    </w:p>
    <w:bookmarkEnd w:id="66"/>
    <w:bookmarkStart w:id="67"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7"/>
    <w:bookmarkStart w:id="69"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68">
        <w:r>
          <w:rPr>
            <w:rStyle w:val="Hyperlink"/>
          </w:rPr>
          <w:t xml:space="preserve">https://doi.org/10.1177/0706743719830035</w:t>
        </w:r>
      </w:hyperlink>
    </w:p>
    <w:bookmarkEnd w:id="69"/>
    <w:bookmarkStart w:id="71"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0">
        <w:r>
          <w:rPr>
            <w:rStyle w:val="Hyperlink"/>
          </w:rPr>
          <w:t xml:space="preserve">https://www.neofacs.org/files/Realizing-the-Potential-2018-2019-Provincial-Priorities-Report-EN-web-1.pdf</w:t>
        </w:r>
      </w:hyperlink>
    </w:p>
    <w:bookmarkEnd w:id="71"/>
    <w:bookmarkStart w:id="73"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2">
        <w:r>
          <w:rPr>
            <w:rStyle w:val="Hyperlink"/>
          </w:rPr>
          <w:t xml:space="preserve">https://doi.org/10.1038/s41591-022-01811-5</w:t>
        </w:r>
      </w:hyperlink>
    </w:p>
    <w:bookmarkEnd w:id="73"/>
    <w:bookmarkStart w:id="74"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4"/>
    <w:bookmarkStart w:id="76"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75">
        <w:r>
          <w:rPr>
            <w:rStyle w:val="Hyperlink"/>
          </w:rPr>
          <w:t xml:space="preserve">https://doi.org/10.1080/00048670902817661</w:t>
        </w:r>
      </w:hyperlink>
    </w:p>
    <w:bookmarkEnd w:id="76"/>
    <w:bookmarkStart w:id="78"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77">
        <w:r>
          <w:rPr>
            <w:rStyle w:val="Hyperlink"/>
          </w:rPr>
          <w:t xml:space="preserve">https://doi.org/10.1176/appi.ps.51.3.364</w:t>
        </w:r>
      </w:hyperlink>
    </w:p>
    <w:bookmarkEnd w:id="78"/>
    <w:bookmarkStart w:id="80"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79">
        <w:r>
          <w:rPr>
            <w:rStyle w:val="Hyperlink"/>
          </w:rPr>
          <w:t xml:space="preserve">https://doi.org/10.1111/j.1440-1614.2004.01388.x</w:t>
        </w:r>
      </w:hyperlink>
    </w:p>
    <w:bookmarkEnd w:id="80"/>
    <w:bookmarkStart w:id="81"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79">
        <w:r>
          <w:rPr>
            <w:rStyle w:val="Hyperlink"/>
          </w:rPr>
          <w:t xml:space="preserve">https://doi.org/10.1111/j.1440-1614.2004.01388.x</w:t>
        </w:r>
      </w:hyperlink>
    </w:p>
    <w:bookmarkEnd w:id="81"/>
    <w:bookmarkStart w:id="83"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2">
        <w:r>
          <w:rPr>
            <w:rStyle w:val="Hyperlink"/>
          </w:rPr>
          <w:t xml:space="preserve">https://doi.org/10.1016/j.gloepi.2020.100045</w:t>
        </w:r>
      </w:hyperlink>
    </w:p>
    <w:bookmarkEnd w:id="83"/>
    <w:bookmarkStart w:id="85"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4">
        <w:r>
          <w:rPr>
            <w:rStyle w:val="Hyperlink"/>
          </w:rPr>
          <w:t xml:space="preserve">https://doi.org/10.1080/09638237.2017.1370631</w:t>
        </w:r>
      </w:hyperlink>
    </w:p>
    <w:bookmarkEnd w:id="85"/>
    <w:bookmarkStart w:id="87"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86">
        <w:r>
          <w:rPr>
            <w:rStyle w:val="Hyperlink"/>
          </w:rPr>
          <w:t xml:space="preserve">https://ntnuopen.ntnu.no/ntnu-xmlui/bitstream/handle/11250/2433761/16128_FULLTEXT.pdf</w:t>
        </w:r>
      </w:hyperlink>
    </w:p>
    <w:bookmarkEnd w:id="87"/>
    <w:bookmarkStart w:id="89"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88">
        <w:r>
          <w:rPr>
            <w:rStyle w:val="Hyperlink"/>
          </w:rPr>
          <w:t xml:space="preserve">https://www.hhs.gov/hipaa/for-professionals/privacy/special-topics/de-identification/index.html</w:t>
        </w:r>
      </w:hyperlink>
    </w:p>
    <w:bookmarkEnd w:id="89"/>
    <w:bookmarkStart w:id="91"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90">
        <w:r>
          <w:rPr>
            <w:rStyle w:val="Hyperlink"/>
          </w:rPr>
          <w:t xml:space="preserve">https://doi.org/10.1186/1472-6963-13-15</w:t>
        </w:r>
      </w:hyperlink>
    </w:p>
    <w:bookmarkEnd w:id="91"/>
    <w:bookmarkStart w:id="93"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2">
        <w:r>
          <w:rPr>
            <w:rStyle w:val="Hyperlink"/>
          </w:rPr>
          <w:t xml:space="preserve">https://doi.org/10.1080/00273171.2022.2146638</w:t>
        </w:r>
      </w:hyperlink>
    </w:p>
    <w:bookmarkEnd w:id="93"/>
    <w:bookmarkStart w:id="95"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4">
        <w:r>
          <w:rPr>
            <w:rStyle w:val="Hyperlink"/>
          </w:rPr>
          <w:t xml:space="preserve">https://doi.org/10.1111/apps.12435</w:t>
        </w:r>
      </w:hyperlink>
    </w:p>
    <w:bookmarkEnd w:id="95"/>
    <w:bookmarkStart w:id="97"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96">
        <w:r>
          <w:rPr>
            <w:rStyle w:val="Hyperlink"/>
          </w:rPr>
          <w:t xml:space="preserve">https://doi.org/10.1177/1178632919862248</w:t>
        </w:r>
      </w:hyperlink>
    </w:p>
    <w:bookmarkEnd w:id="97"/>
    <w:bookmarkStart w:id="98"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98"/>
    <w:bookmarkStart w:id="100"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99">
        <w:r>
          <w:rPr>
            <w:rStyle w:val="Hyperlink"/>
          </w:rPr>
          <w:t xml:space="preserve">https://doi.org/10.1016/j.ijmedinf.2021.104451</w:t>
        </w:r>
      </w:hyperlink>
    </w:p>
    <w:bookmarkEnd w:id="100"/>
    <w:bookmarkEnd w:id="101"/>
    <w:p>
      <w:r>
        <w:br w:type="page"/>
      </w:r>
    </w:p>
    <w:bookmarkEnd w:id="102"/>
    <w:bookmarkStart w:id="107" w:name="appendix"/>
    <w:p>
      <w:pPr>
        <w:pStyle w:val="Heading1"/>
      </w:pPr>
      <w:r>
        <w:t xml:space="preserve">Appendix</w:t>
      </w:r>
    </w:p>
    <w:p>
      <w:pPr>
        <w:pStyle w:val="FirstParagraph"/>
      </w:pPr>
      <w:r>
        <w:t xml:space="preserve">TABLES GO HERE</w:t>
      </w:r>
    </w:p>
    <w:bookmarkStart w:id="106"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4" name="Picture"/>
            <a:graphic>
              <a:graphicData uri="http://schemas.openxmlformats.org/drawingml/2006/picture">
                <pic:pic>
                  <pic:nvPicPr>
                    <pic:cNvPr descr="images/predicting_caseweight.svg" id="10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3"/>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06"/>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0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7" Target="media/rId37.svg" /><Relationship Type="http://schemas.openxmlformats.org/officeDocument/2006/relationships/image" Id="rId42" Target="media/rId42.png" /><Relationship Type="http://schemas.openxmlformats.org/officeDocument/2006/relationships/image" Id="rId103" Target="media/rId103.svg" /><Relationship Type="http://schemas.openxmlformats.org/officeDocument/2006/relationships/hyperlink" Id="rId82" Target="https://doi.org/10.1016/j.gloepi.2020.100045" TargetMode="External" /><Relationship Type="http://schemas.openxmlformats.org/officeDocument/2006/relationships/hyperlink" Id="rId99" Target="https://doi.org/10.1016/j.ijmedinf.2021.104451" TargetMode="External" /><Relationship Type="http://schemas.openxmlformats.org/officeDocument/2006/relationships/hyperlink" Id="rId72" Target="https://doi.org/10.1038/s41591-022-01811-5" TargetMode="External" /><Relationship Type="http://schemas.openxmlformats.org/officeDocument/2006/relationships/hyperlink" Id="rId75" Target="https://doi.org/10.1080/00048670902817661" TargetMode="External" /><Relationship Type="http://schemas.openxmlformats.org/officeDocument/2006/relationships/hyperlink" Id="rId92" Target="https://doi.org/10.1080/00273171.2022.2146638" TargetMode="External" /><Relationship Type="http://schemas.openxmlformats.org/officeDocument/2006/relationships/hyperlink" Id="rId60" Target="https://doi.org/10.1080/09638230802522981" TargetMode="External" /><Relationship Type="http://schemas.openxmlformats.org/officeDocument/2006/relationships/hyperlink" Id="rId84" Target="https://doi.org/10.1080/09638237.2017.1370631" TargetMode="External" /><Relationship Type="http://schemas.openxmlformats.org/officeDocument/2006/relationships/hyperlink" Id="rId94" Target="https://doi.org/10.1111/apps.12435" TargetMode="External" /><Relationship Type="http://schemas.openxmlformats.org/officeDocument/2006/relationships/hyperlink" Id="rId79" Target="https://doi.org/10.1111/j.1440-1614.2004.01388.x" TargetMode="External" /><Relationship Type="http://schemas.openxmlformats.org/officeDocument/2006/relationships/hyperlink" Id="rId77" Target="https://doi.org/10.1176/appi.ps.51.3.364" TargetMode="External" /><Relationship Type="http://schemas.openxmlformats.org/officeDocument/2006/relationships/hyperlink" Id="rId68" Target="https://doi.org/10.1177/0706743719830035" TargetMode="External" /><Relationship Type="http://schemas.openxmlformats.org/officeDocument/2006/relationships/hyperlink" Id="rId96" Target="https://doi.org/10.1177/1178632919862248" TargetMode="External" /><Relationship Type="http://schemas.openxmlformats.org/officeDocument/2006/relationships/hyperlink" Id="rId90" Target="https://doi.org/10.1186/1472-6963-13-15" TargetMode="External" /><Relationship Type="http://schemas.openxmlformats.org/officeDocument/2006/relationships/hyperlink" Id="rId62" Target="https://doi.org/10.2196/38590" TargetMode="External" /><Relationship Type="http://schemas.openxmlformats.org/officeDocument/2006/relationships/hyperlink" Id="rId54" Target="https://doi.org/10.3390/s23094178" TargetMode="External" /><Relationship Type="http://schemas.openxmlformats.org/officeDocument/2006/relationships/hyperlink" Id="rId64" Target="https://iknow-oce.esolutionsgroup.ca/api/ServiceItem/GetDocument?clientId=A1B5AA8F-88A1-4688-83F8-FF0A5B083EF3&amp;documentId=6aeb8d26-16ac-4353-b49c-c21b131b735c" TargetMode="External" /><Relationship Type="http://schemas.openxmlformats.org/officeDocument/2006/relationships/hyperlink" Id="rId86" Target="https://ntnuopen.ntnu.no/ntnu-xmlui/bitstream/handle/11250/2433761/16128_FULLTEXT.pdf" TargetMode="External" /><Relationship Type="http://schemas.openxmlformats.org/officeDocument/2006/relationships/hyperlink" Id="rId56" Target="https://www.auditor.on.ca/en/content/annualreports/arreports/en16/v1_301en16.pdf" TargetMode="External" /><Relationship Type="http://schemas.openxmlformats.org/officeDocument/2006/relationships/hyperlink" Id="rId58" Target="https://www.auditor.on.ca/en/content/annualreports/arreports/en18/v2_101en18.pdf" TargetMode="External" /><Relationship Type="http://schemas.openxmlformats.org/officeDocument/2006/relationships/hyperlink" Id="rId88" Target="https://www.hhs.gov/hipaa/for-professionals/privacy/special-topics/de-identification/index.html" TargetMode="External" /><Relationship Type="http://schemas.openxmlformats.org/officeDocument/2006/relationships/hyperlink" Id="rId70"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16/j.gloepi.2020.100045" TargetMode="External" /><Relationship Type="http://schemas.openxmlformats.org/officeDocument/2006/relationships/hyperlink" Id="rId99" Target="https://doi.org/10.1016/j.ijmedinf.2021.104451" TargetMode="External" /><Relationship Type="http://schemas.openxmlformats.org/officeDocument/2006/relationships/hyperlink" Id="rId72" Target="https://doi.org/10.1038/s41591-022-01811-5" TargetMode="External" /><Relationship Type="http://schemas.openxmlformats.org/officeDocument/2006/relationships/hyperlink" Id="rId75" Target="https://doi.org/10.1080/00048670902817661" TargetMode="External" /><Relationship Type="http://schemas.openxmlformats.org/officeDocument/2006/relationships/hyperlink" Id="rId92" Target="https://doi.org/10.1080/00273171.2022.2146638" TargetMode="External" /><Relationship Type="http://schemas.openxmlformats.org/officeDocument/2006/relationships/hyperlink" Id="rId60" Target="https://doi.org/10.1080/09638230802522981" TargetMode="External" /><Relationship Type="http://schemas.openxmlformats.org/officeDocument/2006/relationships/hyperlink" Id="rId84" Target="https://doi.org/10.1080/09638237.2017.1370631" TargetMode="External" /><Relationship Type="http://schemas.openxmlformats.org/officeDocument/2006/relationships/hyperlink" Id="rId94" Target="https://doi.org/10.1111/apps.12435" TargetMode="External" /><Relationship Type="http://schemas.openxmlformats.org/officeDocument/2006/relationships/hyperlink" Id="rId79" Target="https://doi.org/10.1111/j.1440-1614.2004.01388.x" TargetMode="External" /><Relationship Type="http://schemas.openxmlformats.org/officeDocument/2006/relationships/hyperlink" Id="rId77" Target="https://doi.org/10.1176/appi.ps.51.3.364" TargetMode="External" /><Relationship Type="http://schemas.openxmlformats.org/officeDocument/2006/relationships/hyperlink" Id="rId68" Target="https://doi.org/10.1177/0706743719830035" TargetMode="External" /><Relationship Type="http://schemas.openxmlformats.org/officeDocument/2006/relationships/hyperlink" Id="rId96" Target="https://doi.org/10.1177/1178632919862248" TargetMode="External" /><Relationship Type="http://schemas.openxmlformats.org/officeDocument/2006/relationships/hyperlink" Id="rId90" Target="https://doi.org/10.1186/1472-6963-13-15" TargetMode="External" /><Relationship Type="http://schemas.openxmlformats.org/officeDocument/2006/relationships/hyperlink" Id="rId62" Target="https://doi.org/10.2196/38590" TargetMode="External" /><Relationship Type="http://schemas.openxmlformats.org/officeDocument/2006/relationships/hyperlink" Id="rId54" Target="https://doi.org/10.3390/s23094178" TargetMode="External" /><Relationship Type="http://schemas.openxmlformats.org/officeDocument/2006/relationships/hyperlink" Id="rId64" Target="https://iknow-oce.esolutionsgroup.ca/api/ServiceItem/GetDocument?clientId=A1B5AA8F-88A1-4688-83F8-FF0A5B083EF3&amp;documentId=6aeb8d26-16ac-4353-b49c-c21b131b735c" TargetMode="External" /><Relationship Type="http://schemas.openxmlformats.org/officeDocument/2006/relationships/hyperlink" Id="rId86" Target="https://ntnuopen.ntnu.no/ntnu-xmlui/bitstream/handle/11250/2433761/16128_FULLTEXT.pdf" TargetMode="External" /><Relationship Type="http://schemas.openxmlformats.org/officeDocument/2006/relationships/hyperlink" Id="rId56" Target="https://www.auditor.on.ca/en/content/annualreports/arreports/en16/v1_301en16.pdf" TargetMode="External" /><Relationship Type="http://schemas.openxmlformats.org/officeDocument/2006/relationships/hyperlink" Id="rId58" Target="https://www.auditor.on.ca/en/content/annualreports/arreports/en18/v2_101en18.pdf" TargetMode="External" /><Relationship Type="http://schemas.openxmlformats.org/officeDocument/2006/relationships/hyperlink" Id="rId88" Target="https://www.hhs.gov/hipaa/for-professionals/privacy/special-topics/de-identification/index.html" TargetMode="External" /><Relationship Type="http://schemas.openxmlformats.org/officeDocument/2006/relationships/hyperlink" Id="rId70"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2024-11-12T12:35:20Z</dcterms:created>
  <dcterms:modified xsi:type="dcterms:W3CDTF">2024-11-12T12:35:20Z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