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color w:val="073763"/>
          <w:sz w:val="48"/>
          <w:szCs w:val="48"/>
        </w:rPr>
      </w:pPr>
      <w:bookmarkStart w:colFirst="0" w:colLast="0" w:name="_y4bqhdfg08i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48"/>
          <w:szCs w:val="48"/>
          <w:rtl w:val="0"/>
        </w:rPr>
        <w:t xml:space="preserve">Urban Flood &amp; Waterlogging Early Warning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Shaunak Samant |  B.Tech CSE, Final Year — MIT-WPU, 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Other Issues Tackled By This Project:</w:t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Public Health </w:t>
      </w:r>
      <w:r w:rsidDel="00000000" w:rsidR="00000000" w:rsidRPr="00000000">
        <w:rPr>
          <w:rtl w:val="0"/>
        </w:rPr>
        <w:t xml:space="preserve">- Floods trigger dangerous disease outbreaks such as dengue, cholera, typhoid, etc. A natural extension to the project can be that after a flood event, auto-flag affected wards to the health department as a disease-risk window.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Insurance </w:t>
      </w:r>
      <w:r w:rsidDel="00000000" w:rsidR="00000000" w:rsidRPr="00000000">
        <w:rPr>
          <w:rtl w:val="0"/>
        </w:rPr>
        <w:t xml:space="preserve">- In India only 1% of home owners have adequate home insurance and after Mumbai, Surat, and Uttarakhand floods, only 11% of total losses were actually insured (FICCI). This is due to the lack of proper data for specific addresses. The projects’ risk data could power a "check this property's flood risk" lookup — useful to citizens and, longer-term, to insurers.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Proposed Initial Tech Stack: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Ingestion and Risk Engine Layer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Python + FastAPI (Supported libraries for reading elevation maps, joining ward boundaries to data, training a simple prediction model.) Alternatively, Node.js + turf.js (workable, but noticeably more friction for elevation/satellite-style data.)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Used for ward-level rainfall/drainage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PostgreSQL + PostGIS (adds geospatial queries) + TimescaleDB (adds efficient time-series storage). Optionally, MongoDB alongside for flexible data like citizen reports.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Used to handle relational, geospatial and time-series data.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API and Auth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Node.js</w:t>
      </w:r>
      <w:r w:rsidDel="00000000" w:rsidR="00000000" w:rsidRPr="00000000">
        <w:rPr>
          <w:rtl w:val="0"/>
        </w:rPr>
        <w:t xml:space="preserve"> and Express. Used for general API/auth layer, separate from the Python data / ML layer.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Alerting / Notifications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Redis (lightweight message queue) + a small worker service, sending through an SMS/WhatsApp gateway API.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Citizen-facing frontend + Authority Dashboard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React, built as a PWA (Progressive Web App) that installs straight from a browser link and behaves like an app. Alternatively, React Native, only if an actual app-store presence becomes a hard requirement later.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Docker Compose for local dev , k3s (a lightweight Kubernetes) for production. Alternatively, Docker Swarm.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Hosting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Oracle Cloud Always Free tier to run a real k3s cluster for the pilot.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 (optional)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Prometheus + Grafana that are free, industry-standard monitoring tools.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