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87722"/>
          <w:sz w:val="22"/>
          <w:szCs w:val="22"/>
        </w:rPr>
        <w:t xml:space="preserve">INTERNAL ONLY. NOT FOR ISSUE TO STL OR ANY THIRD PARTY.</w:t>
      </w:r>
    </w:p>
    <w:p>
      <w:pPr>
        <w:spacing w:after="120" w:line="276"/>
      </w:pPr>
      <w:r>
        <w:rPr>
          <w:rFonts w:ascii="Arial" w:cs="Arial" w:eastAsia="Arial" w:hAnsi="Arial"/>
          <w:color w:val="8C8C8C"/>
          <w:sz w:val="18"/>
          <w:szCs w:val="18"/>
        </w:rPr>
        <w:t xml:space="preserve">ED-018-2026-07  Internal Annex to the Options Assessment  Rev A  20 August 2026</w:t>
      </w:r>
    </w:p>
    <w:p>
      <w:pPr>
        <w:spacing w:after="240" w:line="276"/>
      </w:pPr>
      <w:r>
        <w:rPr>
          <w:rFonts w:ascii="Arial" w:cs="Arial" w:eastAsia="Arial" w:hAnsi="Arial"/>
          <w:color w:val="8C8C8C"/>
          <w:sz w:val="18"/>
          <w:szCs w:val="18"/>
        </w:rPr>
        <w:t xml:space="preserve">Holds the material removed from the client-facing report under the engagement ground rules: the contractual and claims commentary, and the reconciliation of our own baselines. Strictly commercial in confidence. Distribution: J van Iersel, S Kurien only.</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2340"/>
        <w:gridCol w:w="2340"/>
        <w:gridCol w:w="234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Document number</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Revision</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Status</w:t>
            </w:r>
          </w:p>
        </w:tc>
      </w:tr>
      <w:tr>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ED-018-2026-07</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August 2026</w:t>
            </w:r>
          </w:p>
        </w:tc>
        <w:tc>
          <w:tcPr>
            <w:tcW w:type="dxa" w:w="234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Internal only, not for issue</w:t>
            </w:r>
          </w:p>
        </w:tc>
      </w:tr>
    </w:tbl>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340"/>
        <w:gridCol w:w="3510"/>
        <w:gridCol w:w="3510"/>
      </w:tblGrid>
      <w:tr>
        <w:trPr>
          <w:tblHeader/>
        </w:trPr>
        <w:tc>
          <w:tcPr>
            <w:tcW w:type="dxa" w:w="234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Name and role</w:t>
            </w:r>
          </w:p>
        </w:tc>
        <w:tc>
          <w:tcPr>
            <w:tcW w:type="dxa" w:w="351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Signature and date</w:t>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Prepared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Checked by</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 Senior Consultant</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r>
        <w:tc>
          <w:tcPr>
            <w:tcW w:type="dxa" w:w="2340"/>
            <w:shd w:fill="FAF7F1"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Approved for issue</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 Director</w:t>
            </w:r>
          </w:p>
        </w:tc>
        <w:tc>
          <w:tcPr>
            <w:tcW w:type="dxa" w:w="351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
            </w:r>
          </w:p>
        </w:tc>
      </w:tr>
    </w:tbl>
    <w:p>
      <w:pPr>
        <w:spacing w:after="140"/>
      </w:pPr>
    </w:p>
    <w:p>
      <w:pPr>
        <w:spacing w:after="110" w:before="200"/>
      </w:pPr>
      <w:r>
        <w:rPr>
          <w:rFonts w:ascii="Georgia" w:cs="Georgia" w:eastAsia="Georgia" w:hAnsi="Georgia"/>
          <w:b/>
          <w:bCs/>
          <w:color w:val="1A1A1A"/>
          <w:sz w:val="21"/>
          <w:szCs w:val="21"/>
        </w:rPr>
        <w:t xml:space="preserve">Revision history</w:t>
      </w: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900"/>
        <w:gridCol w:w="1700"/>
        <w:gridCol w:w="4160"/>
        <w:gridCol w:w="1300"/>
        <w:gridCol w:w="1300"/>
      </w:tblGrid>
      <w:tr>
        <w:trPr>
          <w:tblHeader/>
        </w:trPr>
        <w:tc>
          <w:tcPr>
            <w:tcW w:type="dxa" w:w="9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Rev</w:t>
            </w:r>
          </w:p>
        </w:tc>
        <w:tc>
          <w:tcPr>
            <w:tcW w:type="dxa" w:w="17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Date</w:t>
            </w:r>
          </w:p>
        </w:tc>
        <w:tc>
          <w:tcPr>
            <w:tcW w:type="dxa" w:w="416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Description of revision</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Prepared</w:t>
            </w:r>
          </w:p>
        </w:tc>
        <w:tc>
          <w:tcPr>
            <w:tcW w:type="dxa" w:w="1300"/>
            <w:shd w:fill="1A1A1A" w:color="auto" w:val="clear"/>
            <w:tcMar>
              <w:top w:type="dxa" w:w="70"/>
              <w:left w:type="dxa" w:w="100"/>
              <w:bottom w:type="dxa" w:w="70"/>
              <w:right w:type="dxa" w:w="100"/>
            </w:tcMar>
          </w:tcPr>
          <w:p>
            <w:pPr>
              <w:spacing w:after="0" w:line="248"/>
            </w:pPr>
            <w:r>
              <w:rPr>
                <w:rFonts w:ascii="Arial" w:cs="Arial" w:eastAsia="Arial" w:hAnsi="Arial"/>
                <w:b w:val="1"/>
                <w:bCs w:val="1"/>
                <w:color w:val="FFFFFF"/>
                <w:sz w:val="17"/>
                <w:szCs w:val="17"/>
              </w:rPr>
              <w:t xml:space="preserve">Checked</w:t>
            </w:r>
          </w:p>
        </w:tc>
      </w:tr>
      <w:tr>
        <w:tc>
          <w:tcPr>
            <w:tcW w:type="dxa" w:w="900"/>
            <w:shd w:fill="FFFFFF" w:color="auto" w:val="clear"/>
            <w:tcMar>
              <w:top w:type="dxa" w:w="70"/>
              <w:left w:type="dxa" w:w="100"/>
              <w:bottom w:type="dxa" w:w="70"/>
              <w:right w:type="dxa" w:w="100"/>
            </w:tcMar>
          </w:tcPr>
          <w:p>
            <w:pPr>
              <w:spacing w:after="0" w:line="248"/>
            </w:pPr>
            <w:r>
              <w:rPr>
                <w:rFonts w:ascii="Arial" w:cs="Arial" w:eastAsia="Arial" w:hAnsi="Arial"/>
                <w:b w:val="1"/>
                <w:bCs w:val="1"/>
                <w:color w:val="1A1A1A"/>
                <w:sz w:val="17"/>
                <w:szCs w:val="17"/>
              </w:rPr>
              <w:t xml:space="preserve">Rev A</w:t>
            </w:r>
          </w:p>
        </w:tc>
        <w:tc>
          <w:tcPr>
            <w:tcW w:type="dxa" w:w="17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20 Aug 2026</w:t>
            </w:r>
          </w:p>
        </w:tc>
        <w:tc>
          <w:tcPr>
            <w:tcW w:type="dxa" w:w="416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First issue: material removed from ED-018-2026-02 at rework, baseline reconciliation, commercial position</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J van Iersel</w:t>
            </w:r>
          </w:p>
        </w:tc>
        <w:tc>
          <w:tcPr>
            <w:tcW w:type="dxa" w:w="1300"/>
            <w:shd w:fill="FFFFFF" w:color="auto" w:val="clear"/>
            <w:tcMar>
              <w:top w:type="dxa" w:w="70"/>
              <w:left w:type="dxa" w:w="100"/>
              <w:bottom w:type="dxa" w:w="70"/>
              <w:right w:type="dxa" w:w="100"/>
            </w:tcMar>
          </w:tcPr>
          <w:p>
            <w:pPr>
              <w:spacing w:after="0" w:line="248"/>
            </w:pPr>
            <w:r>
              <w:rPr>
                <w:rFonts w:ascii="Arial" w:cs="Arial" w:eastAsia="Arial" w:hAnsi="Arial"/>
                <w:color w:val="1A1A1A"/>
                <w:sz w:val="17"/>
                <w:szCs w:val="17"/>
              </w:rPr>
              <w:t xml:space="preserve">S Kurien</w:t>
            </w:r>
          </w:p>
        </w:tc>
      </w:tr>
    </w:tbl>
    <w:p>
      <w:pPr>
        <w:spacing w:after="140"/>
      </w:pPr>
    </w:p>
    <w:p>
      <w:pPr>
        <w:pStyle w:val="Heading1"/>
        <w:spacing w:after="150" w:before="320"/>
      </w:pPr>
      <w:r>
        <w:rPr>
          <w:rFonts w:ascii="Georgia" w:cs="Georgia" w:eastAsia="Georgia" w:hAnsi="Georgia"/>
          <w:b/>
          <w:bCs/>
          <w:color w:val="1A1A1A"/>
          <w:sz w:val="27"/>
          <w:szCs w:val="27"/>
        </w:rPr>
        <w:t xml:space="preserve">1  Why this annex exists</w:t>
      </w:r>
    </w:p>
    <w:p>
      <w:pPr>
        <w:spacing w:after="120" w:line="276"/>
      </w:pPr>
      <w:r>
        <w:rPr>
          <w:rFonts w:ascii="Arial" w:cs="Arial" w:eastAsia="Arial" w:hAnsi="Arial"/>
          <w:color w:val="1A1A1A"/>
          <w:sz w:val="20"/>
          <w:szCs w:val="20"/>
        </w:rPr>
        <w:t xml:space="preserve">The engagement sits behind a live contract remedy process (remedy deadline 14 August 2026, now passed). The client-facing report must stand as an independent technical assessment: it establishes the required rate, the achieved rate, that the gap is a property of the method, and that an alternative method achieves the outcome. It does that without commentary on the incumbent or the contract, which makes it durable if it is ever read in a dispute. Everything that would compromise that posture lives here instead.</w:t>
      </w:r>
    </w:p>
    <w:p>
      <w:pPr>
        <w:pStyle w:val="Heading1"/>
        <w:spacing w:after="150" w:before="320"/>
      </w:pPr>
      <w:r>
        <w:rPr>
          <w:rFonts w:ascii="Georgia" w:cs="Georgia" w:eastAsia="Georgia" w:hAnsi="Georgia"/>
          <w:b/>
          <w:bCs/>
          <w:color w:val="1A1A1A"/>
          <w:sz w:val="27"/>
          <w:szCs w:val="27"/>
        </w:rPr>
        <w:t xml:space="preserve">2  Contract and delivery position (removed from report Sections 4 and 9)</w:t>
      </w:r>
    </w:p>
    <w:p>
      <w:pPr>
        <w:spacing w:after="120" w:line="276"/>
      </w:pPr>
      <w:r>
        <w:rPr>
          <w:rFonts w:ascii="Arial" w:cs="Arial" w:eastAsia="Arial" w:hAnsi="Arial"/>
          <w:color w:val="1A1A1A"/>
          <w:sz w:val="20"/>
          <w:szCs w:val="20"/>
        </w:rPr>
        <w:t xml:space="preserve">Claims record by payment stage, March to July 2026: safe access 7.9 bent equivalents (0.36/wk); inspection and testing 9.0 (0.41/wk); blast and coating 7.0 (0.32/wk); pile jackets 12.0 pile equivalents (0.55/wk); welding 473 lineal metres (21.6/wk). May 2026 shows no claimed production in any stage. Inspection reports record welders without usable fronts, incomplete lower access, weather backlogs, and defects found after blast requiring reblast. Four scaffold sets have not produced four continuously available trade fronts.</w:t>
      </w:r>
    </w:p>
    <w:p>
      <w:pPr>
        <w:spacing w:after="120" w:line="276"/>
      </w:pPr>
      <w:r>
        <w:rPr>
          <w:rFonts w:ascii="Arial" w:cs="Arial" w:eastAsia="Arial" w:hAnsi="Arial"/>
          <w:color w:val="1A1A1A"/>
          <w:sz w:val="20"/>
          <w:szCs w:val="20"/>
        </w:rPr>
        <w:t xml:space="preserve">Commercial structure: the firm scope is lump sum items per bent, about $105,000 per bent within the roughly $25M contract sum. Slow delivery does not raise the contract price by itself; the exposure is time. Whether liquidated damages, rise and fall or termination provisions alter that balance is expressly a matter for STL and its legal advisers, and Endura's proposal excludes advice on the existing contractual arrangements. Our position if asked: the report gives STL the technical foundation on which its advisers can act; we do not characterise the contractor's performance in any document that could circulate.</w:t>
      </w:r>
    </w:p>
    <w:p>
      <w:pPr>
        <w:spacing w:after="120" w:line="276"/>
      </w:pPr>
      <w:r>
        <w:rPr>
          <w:rFonts w:ascii="Arial" w:cs="Arial" w:eastAsia="Arial" w:hAnsi="Arial"/>
          <w:color w:val="1A1A1A"/>
          <w:sz w:val="20"/>
          <w:szCs w:val="20"/>
        </w:rPr>
        <w:t xml:space="preserve">Continuation projections (in the report in neutral form): claimed 0.36/wk, finish beyond 2035; best claimed months 0.7/wk, about 2032; full plan 2.5/wk held without a lost week, late 2028 with no float. Remaining cost to complete on the current path is about $23.8M (contract sum less the roughly 4 percent certified), which anchors any cost-to-complete comparison STL's advisers build.</w:t>
      </w:r>
    </w:p>
    <w:p>
      <w:pPr>
        <w:pStyle w:val="Heading1"/>
        <w:spacing w:after="150" w:before="320"/>
      </w:pPr>
      <w:r>
        <w:rPr>
          <w:rFonts w:ascii="Georgia" w:cs="Georgia" w:eastAsia="Georgia" w:hAnsi="Georgia"/>
          <w:b/>
          <w:bCs/>
          <w:color w:val="1A1A1A"/>
          <w:sz w:val="27"/>
          <w:szCs w:val="27"/>
        </w:rPr>
        <w:t xml:space="preserve">3  Baseline reconciliation: kick off pack vs Draft A</w:t>
      </w:r>
    </w:p>
    <w:p>
      <w:pPr>
        <w:spacing w:after="120" w:line="276"/>
      </w:pPr>
      <w:r>
        <w:rPr>
          <w:rFonts w:ascii="Arial" w:cs="Arial" w:eastAsia="Arial" w:hAnsi="Arial"/>
          <w:color w:val="1A1A1A"/>
          <w:sz w:val="20"/>
          <w:szCs w:val="20"/>
        </w:rPr>
        <w:t xml:space="preserve">Our own two documents carried different baselines. The reworked Rev A adopts one set; this table records the differences so nobody is caught by them in the workshop, because the contractor and STL will have both documents.</w:t>
      </w:r>
    </w:p>
    <w:p>
      <w:pPr>
        <w:spacing w:after="140"/>
      </w:pPr>
    </w:p>
    <w:tbl>
      <w:tblPr>
        <w:tblW w:type="dxa" w:w="9360"/>
        <w:tblBorders>
          <w:top w:val="single" w:color="8C8C8C" w:sz="2"/>
          <w:left w:val="single" w:color="8C8C8C" w:sz="2"/>
          <w:bottom w:val="single" w:color="8C8C8C" w:sz="2"/>
          <w:right w:val="single" w:color="8C8C8C" w:sz="2"/>
          <w:insideH w:val="single" w:color="8C8C8C" w:sz="2"/>
          <w:insideV w:val="single" w:color="8C8C8C" w:sz="2"/>
        </w:tblBorders>
      </w:tblPr>
      <w:tblGrid>
        <w:gridCol w:w="2800"/>
        <w:gridCol w:w="2200"/>
        <w:gridCol w:w="2200"/>
        <w:gridCol w:w="2160"/>
      </w:tblGrid>
      <w:tr>
        <w:trPr>
          <w:tblHeader/>
        </w:trPr>
        <w:tc>
          <w:tcPr>
            <w:tcW w:type="dxa" w:w="28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Item</w:t>
            </w:r>
          </w:p>
        </w:tc>
        <w:tc>
          <w:tcPr>
            <w:tcW w:type="dxa" w:w="2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Kick off pack (4 Aug)</w:t>
            </w:r>
          </w:p>
        </w:tc>
        <w:tc>
          <w:tcPr>
            <w:tcW w:type="dxa" w:w="220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Shaun Draft A (20 Aug)</w:t>
            </w:r>
          </w:p>
        </w:tc>
        <w:tc>
          <w:tcPr>
            <w:tcW w:type="dxa" w:w="2160"/>
            <w:shd w:fill="1A1A1A" w:color="auto" w:val="clear"/>
            <w:tcMar>
              <w:top w:type="dxa" w:w="70"/>
              <w:left w:type="dxa" w:w="100"/>
              <w:bottom w:type="dxa" w:w="70"/>
              <w:right w:type="dxa" w:w="100"/>
            </w:tcMar>
          </w:tcPr>
          <w:p>
            <w:pPr>
              <w:spacing w:after="0" w:line="248"/>
            </w:pPr>
            <w:r>
              <w:rPr>
                <w:rFonts w:ascii="Arial" w:cs="Arial" w:eastAsia="Arial" w:hAnsi="Arial"/>
                <w:b/>
                <w:bCs/>
                <w:color w:val="FFFFFF"/>
                <w:sz w:val="17"/>
                <w:szCs w:val="17"/>
              </w:rPr>
              <w:t xml:space="preserve">Adopted in reworked Rev A</w:t>
            </w:r>
          </w:p>
        </w:tc>
      </w:tr>
      <w:tr>
        <w:trPr>
          <w:tblHeader w:val="false"/>
        </w:trPr>
        <w:tc>
          <w:tcPr>
            <w:tcW w:type="dxa" w:w="2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Typical scaffold bent cycle</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16 wd (3 scaffold, 3 hold, 8 trade, 2 Sundays)</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15 wd (5 access and Sundays, 3 hold, 7 trade)</w:t>
            </w:r>
          </w:p>
        </w:tc>
        <w:tc>
          <w:tcPr>
            <w:tcW w:type="dxa" w:w="216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15 to 16 wd stated as a range; 7 trade shifts held</w:t>
            </w:r>
          </w:p>
        </w:tc>
      </w:tr>
      <w:tr>
        <w:trPr>
          <w:tblHeader w:val="false"/>
        </w:trPr>
        <w:tc>
          <w:tcPr>
            <w:tcW w:type="dxa" w:w="28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Contract planned rate</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~2.0 bents/wk</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2.5 bents/wk</w:t>
            </w:r>
          </w:p>
        </w:tc>
        <w:tc>
          <w:tcPr>
            <w:tcW w:type="dxa" w:w="216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2.0 to 2.5 stated as a range</w:t>
            </w:r>
          </w:p>
        </w:tc>
      </w:tr>
      <w:tr>
        <w:trPr>
          <w:tblHeader w:val="false"/>
        </w:trPr>
        <w:tc>
          <w:tcPr>
            <w:tcW w:type="dxa" w:w="2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Season length</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~30 wk field season</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26 wk seasons, 50.4 available</w:t>
            </w:r>
          </w:p>
        </w:tc>
        <w:tc>
          <w:tcPr>
            <w:tcW w:type="dxa" w:w="216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26 wk / 50.4 available (conservative)</w:t>
            </w:r>
          </w:p>
        </w:tc>
      </w:tr>
      <w:tr>
        <w:trPr>
          <w:tblHeader w:val="false"/>
        </w:trPr>
        <w:tc>
          <w:tcPr>
            <w:tcW w:type="dxa" w:w="28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Access allowance</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$9.3M of $24.8M (= $8.19M access lump sums + $1.085M bespoke tooling), sourced from the pack</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Not quoted</w:t>
            </w:r>
          </w:p>
        </w:tc>
        <w:tc>
          <w:tcPr>
            <w:tcW w:type="dxa" w:w="216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$9.3M carried, flagged to confirm from schedule of rates</w:t>
            </w:r>
          </w:p>
        </w:tc>
      </w:tr>
      <w:tr>
        <w:trPr>
          <w:tblHeader w:val="false"/>
        </w:trPr>
        <w:tc>
          <w:tcPr>
            <w:tcW w:type="dxa" w:w="2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Weld quantity basis</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4,040 lm expressly unknown (items 2.16.3/4)</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53 lm/bent from claims (12,031 lm)</w:t>
            </w:r>
          </w:p>
        </w:tc>
        <w:tc>
          <w:tcPr>
            <w:tcW w:type="dxa" w:w="216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Removed from scope with trade works</w:t>
            </w:r>
          </w:p>
        </w:tc>
      </w:tr>
      <w:tr>
        <w:trPr>
          <w:tblHeader w:val="false"/>
        </w:trPr>
        <w:tc>
          <w:tcPr>
            <w:tcW w:type="dxa" w:w="28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Night work</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Live idea; incumbent flagged night tides; +8 dB(A) test; HP5</w:t>
            </w:r>
          </w:p>
        </w:tc>
        <w:tc>
          <w:tcPr>
            <w:tcW w:type="dxa" w:w="2200"/>
            <w:shd w:fill="FAF7F1"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Hard exclusion</w:t>
            </w:r>
          </w:p>
        </w:tc>
        <w:tc>
          <w:tcPr>
            <w:tcW w:type="dxa" w:w="2160"/>
            <w:shd w:fill="FAF7F1"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Option under assessment (kick off position restored)</w:t>
            </w:r>
          </w:p>
        </w:tc>
      </w:tr>
      <w:tr>
        <w:trPr>
          <w:tblHeader w:val="false"/>
        </w:trPr>
        <w:tc>
          <w:tcPr>
            <w:tcW w:type="dxa" w:w="28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Scope count</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227 of 237, plus gallery and 20 EJ optional</w:t>
            </w:r>
          </w:p>
        </w:tc>
        <w:tc>
          <w:tcPr>
            <w:tcW w:type="dxa" w:w="2200"/>
            <w:shd w:fill="FFFFFF" w:color="auto" w:val="clear"/>
            <w:tcMar>
              <w:top w:type="dxa" w:w="70"/>
              <w:left w:type="dxa" w:w="100"/>
              <w:bottom w:type="dxa" w:w="70"/>
              <w:right w:type="dxa" w:w="100"/>
            </w:tcMar>
          </w:tcPr>
          <w:p>
            <w:pPr>
              <w:spacing w:after="0" w:line="248"/>
            </w:pPr>
            <w:r>
              <w:rPr>
                <w:rFonts w:ascii="Arial" w:cs="Arial" w:eastAsia="Arial" w:hAnsi="Arial"/>
                <w:b w:val="false"/>
                <w:bCs w:val="false"/>
                <w:color w:val="1A1A1A"/>
                <w:sz w:val="17"/>
                <w:szCs w:val="17"/>
              </w:rPr>
              <w:t xml:space="preserve">227 / 237 / 257 all appear</w:t>
            </w:r>
          </w:p>
        </w:tc>
        <w:tc>
          <w:tcPr>
            <w:tcW w:type="dxa" w:w="2160"/>
            <w:shd w:fill="FFFFFF" w:color="auto" w:val="clear"/>
            <w:tcMar>
              <w:top w:type="dxa" w:w="70"/>
              <w:left w:type="dxa" w:w="100"/>
              <w:bottom w:type="dxa" w:w="70"/>
              <w:right w:type="dxa" w:w="100"/>
            </w:tcMar>
          </w:tcPr>
          <w:p>
            <w:pPr>
              <w:spacing w:after="0" w:line="248"/>
            </w:pPr>
            <w:r>
              <w:rPr>
                <w:rFonts w:ascii="Arial" w:cs="Arial" w:eastAsia="Arial" w:hAnsi="Arial"/>
                <w:b/>
                <w:bCs/>
                <w:color w:val="1A1A1A"/>
                <w:sz w:val="17"/>
                <w:szCs w:val="17"/>
              </w:rPr>
              <w:t xml:space="preserve">227 planning basis, 257 sensitivity stated</w:t>
            </w:r>
          </w:p>
        </w:tc>
      </w:tr>
    </w:tbl>
    <w:p>
      <w:pPr>
        <w:spacing w:after="140"/>
      </w:pPr>
    </w:p>
    <w:p>
      <w:pPr>
        <w:spacing w:after="120" w:line="276"/>
      </w:pPr>
      <w:r>
        <w:rPr>
          <w:rFonts w:ascii="Arial" w:cs="Arial" w:eastAsia="Arial" w:hAnsi="Arial"/>
          <w:color w:val="1A1A1A"/>
          <w:sz w:val="20"/>
          <w:szCs w:val="20"/>
        </w:rPr>
        <w:t xml:space="preserve">Open verifications carried forward: 1.7 m LAT datum vs drawing G01 and MSQ tidal planes; tug harbour vs Herbert River launching; availability percentages vs metocean records; the $9.3M access allowance; whether a supplier platform is a front or a stage half; the SeaLift 6 rate ($10,000/day quoted vs $32,000/month indicative).</w:t>
      </w:r>
    </w:p>
    <w:p>
      <w:pPr>
        <w:pStyle w:val="Heading1"/>
        <w:spacing w:after="150" w:before="320"/>
      </w:pPr>
      <w:r>
        <w:rPr>
          <w:rFonts w:ascii="Georgia" w:cs="Georgia" w:eastAsia="Georgia" w:hAnsi="Georgia"/>
          <w:b/>
          <w:bCs/>
          <w:color w:val="1A1A1A"/>
          <w:sz w:val="27"/>
          <w:szCs w:val="27"/>
        </w:rPr>
        <w:t xml:space="preserve">4  Commercial position on our own scope</w:t>
      </w:r>
    </w:p>
    <w:p>
      <w:pPr>
        <w:spacing w:after="120" w:line="276"/>
      </w:pPr>
      <w:r>
        <w:rPr>
          <w:rFonts w:ascii="Arial" w:cs="Arial" w:eastAsia="Arial" w:hAnsi="Arial"/>
          <w:color w:val="1A1A1A"/>
          <w:sz w:val="20"/>
          <w:szCs w:val="20"/>
        </w:rPr>
        <w:t xml:space="preserve">Accepted Stage 1 is $15,260 and 68 hours. The work now produced (options model, bent by bent programme, board pack, delivery model) is materially beyond that. Decision for Jed: absorb as BD investment on a client with Stage 2 attached, or raise a variation before the workshop. Site visit, preservation advice and any interim campaign remain separately instructed in either case. Marine insurance note for Stage 2: the contract marine hull cover (clause 18A.1) was switched off; a marine method requires the insurance schedule rebuilt at tender.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9360"/>
      </w:tabs>
    </w:pPr>
    <w:r>
      <w:rPr>
        <w:rFonts w:ascii="Arial" w:cs="Arial" w:eastAsia="Arial" w:hAnsi="Arial"/>
        <w:color w:val="8C8C8C"/>
        <w:sz w:val="15"/>
        <w:szCs w:val="15"/>
      </w:rPr>
      <w:t xml:space="preserve">ED-018-2026-07  |  Rev A  |  Commercial in confidence</w:t>
    </w:r>
    <w:r>
      <w:rPr>
        <w:rFonts w:ascii="Arial" w:cs="Arial" w:eastAsia="Arial" w:hAnsi="Arial"/>
        <w:sz w:val="15"/>
        <w:szCs w:val="15"/>
      </w:rPr>
      <w:t xml:space="preserve">	</w:t>
    </w:r>
    <w:r>
      <w:rPr>
        <w:rFonts w:ascii="Arial" w:cs="Arial" w:eastAsia="Arial" w:hAnsi="Arial"/>
        <w:color w:val="8C8C8C"/>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5"/>
        <w:szCs w:val="15"/>
      </w:rPr>
      <w:t xml:space="preserve">Endura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ED-018-2026-07 Internal Annex Rev A</dc:title>
  <dc:creator>Endura Decommissioning</dc:creator>
  <cp:lastModifiedBy>Un-named</cp:lastModifiedBy>
  <cp:revision>1</cp:revision>
  <dcterms:created xsi:type="dcterms:W3CDTF">2026-08-20T18:47:01.612Z</dcterms:created>
  <dcterms:modified xsi:type="dcterms:W3CDTF">2026-08-20T18:47:01.612Z</dcterms:modified>
</cp:coreProperties>
</file>

<file path=docProps/custom.xml><?xml version="1.0" encoding="utf-8"?>
<Properties xmlns="http://schemas.openxmlformats.org/officeDocument/2006/custom-properties" xmlns:vt="http://schemas.openxmlformats.org/officeDocument/2006/docPropsVTypes"/>
</file>