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33333"/>
          <w:sz w:val="28"/>
        </w:rPr>
        <w:t>SUGAR TERMINALS LIMITED</w:t>
      </w:r>
    </w:p>
    <w:p>
      <w:pPr>
        <w:jc w:val="center"/>
      </w:pPr>
      <w:r>
        <w:rPr>
          <w:sz w:val="26"/>
        </w:rPr>
        <w:t>Lucinda Bulk Sugar Terminal</w:t>
      </w:r>
    </w:p>
    <w:p>
      <w:pPr>
        <w:spacing w:before="800"/>
        <w:jc w:val="center"/>
      </w:pPr>
      <w:r>
        <w:rPr>
          <w:b/>
          <w:color w:val="333333"/>
          <w:sz w:val="44"/>
        </w:rPr>
        <w:t>STAGE 1 ACCESS METHODOLOGY OPTIONS ASSESSMENT</w:t>
      </w:r>
    </w:p>
    <w:p>
      <w:pPr>
        <w:jc w:val="center"/>
      </w:pPr>
      <w:r>
        <w:rPr>
          <w:b/>
          <w:color w:val="E8751A"/>
          <w:sz w:val="36"/>
        </w:rPr>
        <w:t>Authoring Brief and Independent Engineering Basis</w:t>
      </w:r>
    </w:p>
    <w:p>
      <w:pPr>
        <w:jc w:val="center"/>
      </w:pPr>
      <w:r>
        <w:drawing>
          <wp:inline xmlns:a="http://schemas.openxmlformats.org/drawingml/2006/main" xmlns:pic="http://schemas.openxmlformats.org/drawingml/2006/picture">
            <wp:extent cx="6400800" cy="3599807"/>
            <wp:docPr id="1" name="Picture 1"/>
            <wp:cNvGraphicFramePr>
              <a:graphicFrameLocks noChangeAspect="1"/>
            </wp:cNvGraphicFramePr>
            <a:graphic>
              <a:graphicData uri="http://schemas.openxmlformats.org/drawingml/2006/picture">
                <pic:pic>
                  <pic:nvPicPr>
                    <pic:cNvPr id="0" name="slide-01.png"/>
                    <pic:cNvPicPr/>
                  </pic:nvPicPr>
                  <pic:blipFill>
                    <a:blip r:embed="rId11"/>
                    <a:stretch>
                      <a:fillRect/>
                    </a:stretch>
                  </pic:blipFill>
                  <pic:spPr>
                    <a:xfrm>
                      <a:off x="0" y="0"/>
                      <a:ext cx="6400800" cy="3599807"/>
                    </a:xfrm>
                    <a:prstGeom prst="rect"/>
                  </pic:spPr>
                </pic:pic>
              </a:graphicData>
            </a:graphic>
          </wp:inline>
        </w:drawing>
      </w:r>
    </w:p>
    <w:p>
      <w:pPr>
        <w:spacing w:before="360"/>
        <w:jc w:val="center"/>
      </w:pPr>
      <w:r>
        <w:rPr>
          <w:sz w:val="20"/>
        </w:rPr>
        <w:t>Prepared under engagement ED-018-2026-01</w:t>
        <w:br/>
      </w:r>
      <w:r>
        <w:rPr>
          <w:sz w:val="20"/>
        </w:rPr>
        <w:t>Prepared for Claude authoring and Shaun / Jed review</w:t>
        <w:br/>
      </w:r>
      <w:r>
        <w:rPr>
          <w:sz w:val="20"/>
        </w:rPr>
        <w:t>20 August 2026</w:t>
        <w:br/>
      </w:r>
      <w:r>
        <w:rPr>
          <w:sz w:val="20"/>
        </w:rPr>
        <w:t>Working draft. Not for STL issue.</w:t>
        <w:br/>
      </w:r>
    </w:p>
    <w:p>
      <w:r>
        <w:br w:type="page"/>
      </w:r>
    </w:p>
    <w:p>
      <w:pPr>
        <w:pStyle w:val="Heading1"/>
        <w:spacing w:before="200" w:after="80"/>
      </w:pPr>
      <w:r>
        <w:t>Document control and intended use</w:t>
      </w:r>
    </w:p>
    <w:tbl>
      <w:tblPr>
        <w:tblStyle w:val="TableGrid"/>
        <w:tblW w:type="auto" w:w="0"/>
        <w:jc w:val="center"/>
        <w:tblLook w:firstColumn="1" w:firstRow="1" w:lastColumn="0" w:lastRow="0" w:noHBand="0" w:noVBand="1" w:val="04A0"/>
      </w:tblPr>
      <w:tblGrid>
        <w:gridCol w:w="5184"/>
        <w:gridCol w:w="5184"/>
      </w:tblGrid>
      <w:tr>
        <w:tc>
          <w:tcPr>
            <w:tcW w:type="dxa" w:w="2448"/>
            <w:vAlign w:val="center"/>
            <w:shd w:fill="E8751A"/>
          </w:tcPr>
          <w:p>
            <w:pPr>
              <w:jc w:val="left"/>
            </w:pPr>
            <w:r/>
            <w:r>
              <w:rPr>
                <w:rFonts w:ascii="Calibri" w:hAnsi="Calibri"/>
                <w:b/>
                <w:color w:val="FFFFFF"/>
                <w:sz w:val="18"/>
              </w:rPr>
              <w:t>Field</w:t>
            </w:r>
          </w:p>
        </w:tc>
        <w:tc>
          <w:tcPr>
            <w:tcW w:type="dxa" w:w="8064"/>
            <w:vAlign w:val="center"/>
            <w:shd w:fill="E8751A"/>
          </w:tcPr>
          <w:p>
            <w:pPr>
              <w:jc w:val="left"/>
            </w:pPr>
            <w:r/>
            <w:r>
              <w:rPr>
                <w:rFonts w:ascii="Calibri" w:hAnsi="Calibri"/>
                <w:b/>
                <w:color w:val="FFFFFF"/>
                <w:sz w:val="18"/>
              </w:rPr>
              <w:t>Entry</w:t>
            </w:r>
          </w:p>
        </w:tc>
      </w:tr>
      <w:tr>
        <w:tc>
          <w:tcPr>
            <w:tcW w:type="dxa" w:w="2448"/>
            <w:vAlign w:val="center"/>
            <w:shd w:fill="F2F2F2"/>
          </w:tcPr>
          <w:p>
            <w:pPr>
              <w:jc w:val="left"/>
            </w:pPr>
            <w:r/>
            <w:r>
              <w:rPr>
                <w:rFonts w:ascii="Calibri" w:hAnsi="Calibri"/>
                <w:b w:val="0"/>
                <w:sz w:val="18"/>
              </w:rPr>
              <w:t>Document type</w:t>
            </w:r>
          </w:p>
        </w:tc>
        <w:tc>
          <w:tcPr>
            <w:tcW w:type="dxa" w:w="8064"/>
            <w:vAlign w:val="center"/>
            <w:shd w:fill="F2F2F2"/>
          </w:tcPr>
          <w:p>
            <w:pPr>
              <w:jc w:val="left"/>
            </w:pPr>
            <w:r/>
            <w:r>
              <w:rPr>
                <w:rFonts w:ascii="Calibri" w:hAnsi="Calibri"/>
                <w:b w:val="0"/>
                <w:sz w:val="18"/>
              </w:rPr>
              <w:t>Independent engineering basis and authoring brief. This is not the client deliverable.</w:t>
            </w:r>
          </w:p>
        </w:tc>
      </w:tr>
      <w:tr>
        <w:tc>
          <w:tcPr>
            <w:tcW w:type="dxa" w:w="2448"/>
            <w:vAlign w:val="center"/>
          </w:tcPr>
          <w:p>
            <w:pPr>
              <w:jc w:val="left"/>
            </w:pPr>
            <w:r/>
            <w:r>
              <w:rPr>
                <w:rFonts w:ascii="Calibri" w:hAnsi="Calibri"/>
                <w:b w:val="0"/>
                <w:sz w:val="18"/>
              </w:rPr>
              <w:t>Authoring workflow</w:t>
            </w:r>
          </w:p>
        </w:tc>
        <w:tc>
          <w:tcPr>
            <w:tcW w:type="dxa" w:w="8064"/>
            <w:vAlign w:val="center"/>
          </w:tcPr>
          <w:p>
            <w:pPr>
              <w:jc w:val="left"/>
            </w:pPr>
            <w:r/>
            <w:r>
              <w:rPr>
                <w:rFonts w:ascii="Calibri" w:hAnsi="Calibri"/>
                <w:b w:val="0"/>
                <w:sz w:val="18"/>
              </w:rPr>
              <w:t>Claude prepares the controlled Stage 1 report. ChatGPT remains the independent checker.</w:t>
            </w:r>
          </w:p>
        </w:tc>
      </w:tr>
      <w:tr>
        <w:tc>
          <w:tcPr>
            <w:tcW w:type="dxa" w:w="2448"/>
            <w:vAlign w:val="center"/>
            <w:shd w:fill="F2F2F2"/>
          </w:tcPr>
          <w:p>
            <w:pPr>
              <w:jc w:val="left"/>
            </w:pPr>
            <w:r/>
            <w:r>
              <w:rPr>
                <w:rFonts w:ascii="Calibri" w:hAnsi="Calibri"/>
                <w:b w:val="0"/>
                <w:sz w:val="18"/>
              </w:rPr>
              <w:t>Engagement reference</w:t>
            </w:r>
          </w:p>
        </w:tc>
        <w:tc>
          <w:tcPr>
            <w:tcW w:type="dxa" w:w="8064"/>
            <w:vAlign w:val="center"/>
            <w:shd w:fill="F2F2F2"/>
          </w:tcPr>
          <w:p>
            <w:pPr>
              <w:jc w:val="left"/>
            </w:pPr>
            <w:r/>
            <w:r>
              <w:rPr>
                <w:rFonts w:ascii="Calibri" w:hAnsi="Calibri"/>
                <w:b w:val="0"/>
                <w:sz w:val="18"/>
              </w:rPr>
              <w:t>ED-018-2026-01, Stage 1 Access Methodology Options Assessment.</w:t>
            </w:r>
          </w:p>
        </w:tc>
      </w:tr>
      <w:tr>
        <w:tc>
          <w:tcPr>
            <w:tcW w:type="dxa" w:w="2448"/>
            <w:vAlign w:val="center"/>
          </w:tcPr>
          <w:p>
            <w:pPr>
              <w:jc w:val="left"/>
            </w:pPr>
            <w:r/>
            <w:r>
              <w:rPr>
                <w:rFonts w:ascii="Calibri" w:hAnsi="Calibri"/>
                <w:b w:val="0"/>
                <w:sz w:val="18"/>
              </w:rPr>
              <w:t>Primary purpose</w:t>
            </w:r>
          </w:p>
        </w:tc>
        <w:tc>
          <w:tcPr>
            <w:tcW w:type="dxa" w:w="8064"/>
            <w:vAlign w:val="center"/>
          </w:tcPr>
          <w:p>
            <w:pPr>
              <w:jc w:val="left"/>
            </w:pPr>
            <w:r/>
            <w:r>
              <w:rPr>
                <w:rFonts w:ascii="Calibri" w:hAnsi="Calibri"/>
                <w:b w:val="0"/>
                <w:sz w:val="18"/>
              </w:rPr>
              <w:t>Freeze the source-based engineering, productivity, cost-model structure and proposal compliance before the author prepares the client draft.</w:t>
            </w:r>
          </w:p>
        </w:tc>
      </w:tr>
      <w:tr>
        <w:tc>
          <w:tcPr>
            <w:tcW w:type="dxa" w:w="2448"/>
            <w:vAlign w:val="center"/>
            <w:shd w:fill="F2F2F2"/>
          </w:tcPr>
          <w:p>
            <w:pPr>
              <w:jc w:val="left"/>
            </w:pPr>
            <w:r/>
            <w:r>
              <w:rPr>
                <w:rFonts w:ascii="Calibri" w:hAnsi="Calibri"/>
                <w:b w:val="0"/>
                <w:sz w:val="18"/>
              </w:rPr>
              <w:t>Assurance status</w:t>
            </w:r>
          </w:p>
        </w:tc>
        <w:tc>
          <w:tcPr>
            <w:tcW w:type="dxa" w:w="8064"/>
            <w:vAlign w:val="center"/>
            <w:shd w:fill="F2F2F2"/>
          </w:tcPr>
          <w:p>
            <w:pPr>
              <w:jc w:val="left"/>
            </w:pPr>
            <w:r/>
            <w:r>
              <w:rPr>
                <w:rFonts w:ascii="Calibri" w:hAnsi="Calibri"/>
                <w:b w:val="0"/>
                <w:sz w:val="18"/>
              </w:rPr>
              <w:t>Working basis. Supplier, site and owner inputs remain open.</w:t>
            </w:r>
          </w:p>
        </w:tc>
      </w:tr>
      <w:tr>
        <w:tc>
          <w:tcPr>
            <w:tcW w:type="dxa" w:w="2448"/>
            <w:vAlign w:val="center"/>
          </w:tcPr>
          <w:p>
            <w:pPr>
              <w:jc w:val="left"/>
            </w:pPr>
            <w:r/>
            <w:r>
              <w:rPr>
                <w:rFonts w:ascii="Calibri" w:hAnsi="Calibri"/>
                <w:b w:val="0"/>
                <w:sz w:val="18"/>
              </w:rPr>
              <w:t>Companion model</w:t>
            </w:r>
          </w:p>
        </w:tc>
        <w:tc>
          <w:tcPr>
            <w:tcW w:type="dxa" w:w="8064"/>
            <w:vAlign w:val="center"/>
          </w:tcPr>
          <w:p>
            <w:pPr>
              <w:jc w:val="left"/>
            </w:pPr>
            <w:r/>
            <w:r>
              <w:rPr>
                <w:rFonts w:ascii="Calibri" w:hAnsi="Calibri"/>
                <w:b w:val="0"/>
                <w:sz w:val="18"/>
              </w:rPr>
              <w:t>ED018202607_STL_Access_Productivity_Cost_Model_RevA.xlsx.</w:t>
            </w:r>
          </w:p>
        </w:tc>
      </w:tr>
      <w:tr>
        <w:tc>
          <w:tcPr>
            <w:tcW w:type="dxa" w:w="2448"/>
            <w:vAlign w:val="center"/>
            <w:shd w:fill="F2F2F2"/>
          </w:tcPr>
          <w:p>
            <w:pPr>
              <w:jc w:val="left"/>
            </w:pPr>
            <w:r/>
            <w:r>
              <w:rPr>
                <w:rFonts w:ascii="Calibri" w:hAnsi="Calibri"/>
                <w:b w:val="0"/>
                <w:sz w:val="18"/>
              </w:rPr>
              <w:t>Issue restriction</w:t>
            </w:r>
          </w:p>
        </w:tc>
        <w:tc>
          <w:tcPr>
            <w:tcW w:type="dxa" w:w="8064"/>
            <w:vAlign w:val="center"/>
            <w:shd w:fill="F2F2F2"/>
          </w:tcPr>
          <w:p>
            <w:pPr>
              <w:jc w:val="left"/>
            </w:pPr>
            <w:r/>
            <w:r>
              <w:rPr>
                <w:rFonts w:ascii="Calibri" w:hAnsi="Calibri"/>
                <w:b w:val="0"/>
                <w:sz w:val="18"/>
              </w:rPr>
              <w:t>Not for construction, procurement, contractual action or cost commitment.</w:t>
            </w:r>
          </w:p>
        </w:tc>
      </w:tr>
    </w:tbl>
    <w:p/>
    <w:p>
      <w:pPr>
        <w:spacing w:after="80" w:line="259" w:lineRule="auto"/>
      </w:pPr>
      <w:r>
        <w:rPr>
          <w:i w:val="0"/>
        </w:rPr>
        <w:t>This document deliberately separates project facts, current contractor evidence, engineering assumptions, supplier inputs and open verification gates. It must not be converted into stronger client claims without the evidence identified in the relevant section.</w:t>
      </w:r>
    </w:p>
    <w:p>
      <w:pPr>
        <w:pStyle w:val="Heading1"/>
        <w:spacing w:before="200" w:after="80"/>
      </w:pPr>
      <w:r>
        <w:t>Executive summary</w:t>
      </w:r>
    </w:p>
    <w:p>
      <w:pPr>
        <w:spacing w:after="80" w:line="259" w:lineRule="auto"/>
      </w:pPr>
      <w:r>
        <w:rPr>
          <w:i w:val="0"/>
        </w:rPr>
        <w:t>STL requires the priority integrity repairs on the Lucinda jetty to be closed out by the end of 2028. The boundary between the priority package and the wider remaining scope has not yet been confirmed. A conservative stress test of 227 remaining bents over two nominal 30-week production seasons requires 3.783 QA-closed bents per week. This is a planning stress case, not confirmation that all 227 bents form the priority package.</w:t>
      </w:r>
    </w:p>
    <w:p>
      <w:pPr>
        <w:spacing w:after="80" w:line="259" w:lineRule="auto"/>
      </w:pPr>
      <w:r>
        <w:rPr>
          <w:i w:val="0"/>
        </w:rPr>
        <w:t>The current scaffold methodology has not demonstrated the required production. From March to July 2026, safe access was claimed on 7.9 typical-bent equivalents over approximately 21.9 calendar weeks, equal to about 0.36 stage equivalents per week. Inspection and UT reached about 0.41 equivalents per week and blast/coating about 0.32 equivalents per week. These are contract payment-stage quantities. The supplied records do not establish the number of fully completed and QA-closed bents.</w:t>
      </w:r>
    </w:p>
    <w:p>
      <w:pPr>
        <w:spacing w:after="80" w:line="259" w:lineRule="auto"/>
      </w:pPr>
      <w:r>
        <w:rPr>
          <w:i w:val="0"/>
        </w:rPr>
        <w:t>The preferred candidate for typical two-pile bents is a reusable marine access system. One complete set comprises two full-length floating platforms, one on each long face of the headstock, laterally travelling suspension to follow the 1:4 pile rake, traversing decks between the platforms for 360-degree access, opposing half-shell pile containment, a movable access tower, workboat support and an adjacent jack-up barge carrying the campaign utilities and welfare.</w:t>
      </w:r>
    </w:p>
    <w:p>
      <w:pPr>
        <w:spacing w:after="80" w:line="259" w:lineRule="auto"/>
      </w:pPr>
      <w:r>
        <w:rPr>
          <w:i w:val="0"/>
        </w:rPr>
        <w:t>The access concept addresses a real constraint, but the current model does not prove that two sets can deliver the programme. Two sets should be treated as the proving/leapfrog pair. The current incomplete base model produces approximately 0.73 bents per week for two sets and mathematically requires 11 sets to reach the 3.783-bent stress rate. Improved welding and a pre-approved repair library reduce the diagnostic requirement to six to nine sets, but headstock containment, below-LAT jackets, clean-out/rework and coating elapsed holds are still outside the completed cycle. The final fleet is therefore an output of the proving campaign and dated line-of-balance, not a concept assumption.</w:t>
      </w:r>
    </w:p>
    <w:p>
      <w:pPr>
        <w:spacing w:after="80" w:line="259" w:lineRule="auto"/>
      </w:pPr>
      <w:r>
        <w:rPr>
          <w:i w:val="0"/>
        </w:rPr>
        <w:t>The recommendation is to retain the marine access system as the preferred candidate for typical bents, use conventional or hybrid access for non-typical families where needed, complete the supplier and site gates, run a two-set proving campaign, then size the production fleet and cost from measured QA-closed output. No board decision should rely on an unsupported claim that two sets alone will complete the programme.</w:t>
      </w:r>
    </w:p>
    <w:p>
      <w:pPr>
        <w:pStyle w:val="Heading2"/>
        <w:spacing w:before="200" w:after="80"/>
      </w:pPr>
      <w:r>
        <w:t>Key decision position</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E8751A"/>
          </w:tcPr>
          <w:p>
            <w:pPr>
              <w:jc w:val="left"/>
            </w:pPr>
            <w:r/>
            <w:r>
              <w:rPr>
                <w:rFonts w:ascii="Calibri" w:hAnsi="Calibri"/>
                <w:b/>
                <w:color w:val="FFFFFF"/>
                <w:sz w:val="17"/>
              </w:rPr>
              <w:t>Matter</w:t>
            </w:r>
          </w:p>
        </w:tc>
        <w:tc>
          <w:tcPr>
            <w:tcW w:type="dxa" w:w="4464"/>
            <w:vAlign w:val="center"/>
            <w:shd w:fill="E8751A"/>
          </w:tcPr>
          <w:p>
            <w:pPr>
              <w:jc w:val="left"/>
            </w:pPr>
            <w:r/>
            <w:r>
              <w:rPr>
                <w:rFonts w:ascii="Calibri" w:hAnsi="Calibri"/>
                <w:b/>
                <w:color w:val="FFFFFF"/>
                <w:sz w:val="17"/>
              </w:rPr>
              <w:t>Current position</w:t>
            </w:r>
          </w:p>
        </w:tc>
        <w:tc>
          <w:tcPr>
            <w:tcW w:type="dxa" w:w="4464"/>
            <w:vAlign w:val="center"/>
            <w:shd w:fill="E8751A"/>
          </w:tcPr>
          <w:p>
            <w:pPr>
              <w:jc w:val="left"/>
            </w:pPr>
            <w:r/>
            <w:r>
              <w:rPr>
                <w:rFonts w:ascii="Calibri" w:hAnsi="Calibri"/>
                <w:b/>
                <w:color w:val="FFFFFF"/>
                <w:sz w:val="17"/>
              </w:rPr>
              <w:t>Required next step</w:t>
            </w:r>
          </w:p>
        </w:tc>
      </w:tr>
      <w:tr>
        <w:tc>
          <w:tcPr>
            <w:tcW w:type="dxa" w:w="2160"/>
            <w:vAlign w:val="center"/>
            <w:shd w:fill="F2F2F2"/>
          </w:tcPr>
          <w:p>
            <w:pPr>
              <w:jc w:val="left"/>
            </w:pPr>
            <w:r/>
            <w:r>
              <w:rPr>
                <w:rFonts w:ascii="Calibri" w:hAnsi="Calibri"/>
                <w:b w:val="0"/>
                <w:sz w:val="17"/>
              </w:rPr>
              <w:t>Preferred direction</w:t>
            </w:r>
          </w:p>
        </w:tc>
        <w:tc>
          <w:tcPr>
            <w:tcW w:type="dxa" w:w="4464"/>
            <w:vAlign w:val="center"/>
            <w:shd w:fill="F2F2F2"/>
          </w:tcPr>
          <w:p>
            <w:pPr>
              <w:jc w:val="left"/>
            </w:pPr>
            <w:r/>
            <w:r>
              <w:rPr>
                <w:rFonts w:ascii="Calibri" w:hAnsi="Calibri"/>
                <w:b w:val="0"/>
                <w:sz w:val="17"/>
              </w:rPr>
              <w:t>Reusable marine access for typical two-pile bents; hybrid access for other families.</w:t>
            </w:r>
          </w:p>
        </w:tc>
        <w:tc>
          <w:tcPr>
            <w:tcW w:type="dxa" w:w="4464"/>
            <w:vAlign w:val="center"/>
            <w:shd w:fill="F2F2F2"/>
          </w:tcPr>
          <w:p>
            <w:pPr>
              <w:jc w:val="left"/>
            </w:pPr>
            <w:r/>
            <w:r>
              <w:rPr>
                <w:rFonts w:ascii="Calibri" w:hAnsi="Calibri"/>
                <w:b w:val="0"/>
                <w:sz w:val="17"/>
              </w:rPr>
              <w:t>Confirm direction at STL workshop.</w:t>
            </w:r>
          </w:p>
        </w:tc>
      </w:tr>
      <w:tr>
        <w:tc>
          <w:tcPr>
            <w:tcW w:type="dxa" w:w="2160"/>
            <w:vAlign w:val="center"/>
          </w:tcPr>
          <w:p>
            <w:pPr>
              <w:jc w:val="left"/>
            </w:pPr>
            <w:r/>
            <w:r>
              <w:rPr>
                <w:rFonts w:ascii="Calibri" w:hAnsi="Calibri"/>
                <w:b w:val="0"/>
                <w:sz w:val="17"/>
              </w:rPr>
              <w:t>Proving configuration</w:t>
            </w:r>
          </w:p>
        </w:tc>
        <w:tc>
          <w:tcPr>
            <w:tcW w:type="dxa" w:w="4464"/>
            <w:vAlign w:val="center"/>
          </w:tcPr>
          <w:p>
            <w:pPr>
              <w:jc w:val="left"/>
            </w:pPr>
            <w:r/>
            <w:r>
              <w:rPr>
                <w:rFonts w:ascii="Calibri" w:hAnsi="Calibri"/>
                <w:b w:val="0"/>
                <w:sz w:val="17"/>
              </w:rPr>
              <w:t>Two complete access sets forming one leapfrog operating pair.</w:t>
            </w:r>
          </w:p>
        </w:tc>
        <w:tc>
          <w:tcPr>
            <w:tcW w:type="dxa" w:w="4464"/>
            <w:vAlign w:val="center"/>
          </w:tcPr>
          <w:p>
            <w:pPr>
              <w:jc w:val="left"/>
            </w:pPr>
            <w:r/>
            <w:r>
              <w:rPr>
                <w:rFonts w:ascii="Calibri" w:hAnsi="Calibri"/>
                <w:b w:val="0"/>
                <w:sz w:val="17"/>
              </w:rPr>
              <w:t>Obtain GGC/supplier data and undertake a timed proving campaign.</w:t>
            </w:r>
          </w:p>
        </w:tc>
      </w:tr>
      <w:tr>
        <w:tc>
          <w:tcPr>
            <w:tcW w:type="dxa" w:w="2160"/>
            <w:vAlign w:val="center"/>
            <w:shd w:fill="F2F2F2"/>
          </w:tcPr>
          <w:p>
            <w:pPr>
              <w:jc w:val="left"/>
            </w:pPr>
            <w:r/>
            <w:r>
              <w:rPr>
                <w:rFonts w:ascii="Calibri" w:hAnsi="Calibri"/>
                <w:b w:val="0"/>
                <w:sz w:val="17"/>
              </w:rPr>
              <w:t>Production fleet</w:t>
            </w:r>
          </w:p>
        </w:tc>
        <w:tc>
          <w:tcPr>
            <w:tcW w:type="dxa" w:w="4464"/>
            <w:vAlign w:val="center"/>
            <w:shd w:fill="F2F2F2"/>
          </w:tcPr>
          <w:p>
            <w:pPr>
              <w:jc w:val="left"/>
            </w:pPr>
            <w:r/>
            <w:r>
              <w:rPr>
                <w:rFonts w:ascii="Calibri" w:hAnsi="Calibri"/>
                <w:b w:val="0"/>
                <w:sz w:val="17"/>
              </w:rPr>
              <w:t>Not fixed. Current diagnostic range is six to eleven sets depending proven improvements and missing work.</w:t>
            </w:r>
          </w:p>
        </w:tc>
        <w:tc>
          <w:tcPr>
            <w:tcW w:type="dxa" w:w="4464"/>
            <w:vAlign w:val="center"/>
            <w:shd w:fill="F2F2F2"/>
          </w:tcPr>
          <w:p>
            <w:pPr>
              <w:jc w:val="left"/>
            </w:pPr>
            <w:r/>
            <w:r>
              <w:rPr>
                <w:rFonts w:ascii="Calibri" w:hAnsi="Calibri"/>
                <w:b w:val="0"/>
                <w:sz w:val="17"/>
              </w:rPr>
              <w:t>Complete work-lot and resource-loaded model after trial.</w:t>
            </w:r>
          </w:p>
        </w:tc>
      </w:tr>
      <w:tr>
        <w:tc>
          <w:tcPr>
            <w:tcW w:type="dxa" w:w="2160"/>
            <w:vAlign w:val="center"/>
          </w:tcPr>
          <w:p>
            <w:pPr>
              <w:jc w:val="left"/>
            </w:pPr>
            <w:r/>
            <w:r>
              <w:rPr>
                <w:rFonts w:ascii="Calibri" w:hAnsi="Calibri"/>
                <w:b w:val="0"/>
                <w:sz w:val="17"/>
              </w:rPr>
              <w:t>Repair approval</w:t>
            </w:r>
          </w:p>
        </w:tc>
        <w:tc>
          <w:tcPr>
            <w:tcW w:type="dxa" w:w="4464"/>
            <w:vAlign w:val="center"/>
          </w:tcPr>
          <w:p>
            <w:pPr>
              <w:jc w:val="left"/>
            </w:pPr>
            <w:r/>
            <w:r>
              <w:rPr>
                <w:rFonts w:ascii="Calibri" w:hAnsi="Calibri"/>
                <w:b w:val="0"/>
                <w:sz w:val="17"/>
              </w:rPr>
              <w:t>One bent-level submission after diagnostic exposure of both piles and headstock is the current modelling basis.</w:t>
            </w:r>
          </w:p>
        </w:tc>
        <w:tc>
          <w:tcPr>
            <w:tcW w:type="dxa" w:w="4464"/>
            <w:vAlign w:val="center"/>
          </w:tcPr>
          <w:p>
            <w:pPr>
              <w:jc w:val="left"/>
            </w:pPr>
            <w:r/>
            <w:r>
              <w:rPr>
                <w:rFonts w:ascii="Calibri" w:hAnsi="Calibri"/>
                <w:b w:val="0"/>
                <w:sz w:val="17"/>
              </w:rPr>
              <w:t>Confirm with Jed, STL and reviewing engineer.</w:t>
            </w:r>
          </w:p>
        </w:tc>
      </w:tr>
      <w:tr>
        <w:tc>
          <w:tcPr>
            <w:tcW w:type="dxa" w:w="2160"/>
            <w:vAlign w:val="center"/>
            <w:shd w:fill="F2F2F2"/>
          </w:tcPr>
          <w:p>
            <w:pPr>
              <w:jc w:val="left"/>
            </w:pPr>
            <w:r/>
            <w:r>
              <w:rPr>
                <w:rFonts w:ascii="Calibri" w:hAnsi="Calibri"/>
                <w:b w:val="0"/>
                <w:sz w:val="17"/>
              </w:rPr>
              <w:t>Commercial position</w:t>
            </w:r>
          </w:p>
        </w:tc>
        <w:tc>
          <w:tcPr>
            <w:tcW w:type="dxa" w:w="4464"/>
            <w:vAlign w:val="center"/>
            <w:shd w:fill="F2F2F2"/>
          </w:tcPr>
          <w:p>
            <w:pPr>
              <w:jc w:val="left"/>
            </w:pPr>
            <w:r/>
            <w:r>
              <w:rPr>
                <w:rFonts w:ascii="Calibri" w:hAnsi="Calibri"/>
                <w:b w:val="0"/>
                <w:sz w:val="17"/>
              </w:rPr>
              <w:t>Detailed bottom-up cost model exists, but a total remains incomplete.</w:t>
            </w:r>
          </w:p>
        </w:tc>
        <w:tc>
          <w:tcPr>
            <w:tcW w:type="dxa" w:w="4464"/>
            <w:vAlign w:val="center"/>
            <w:shd w:fill="F2F2F2"/>
          </w:tcPr>
          <w:p>
            <w:pPr>
              <w:jc w:val="left"/>
            </w:pPr>
            <w:r/>
            <w:r>
              <w:rPr>
                <w:rFonts w:ascii="Calibri" w:hAnsi="Calibri"/>
                <w:b w:val="0"/>
                <w:sz w:val="17"/>
              </w:rPr>
              <w:t>Load written GGC, JUB, labour and material rates; reconcile current cost to complete.</w:t>
            </w:r>
          </w:p>
        </w:tc>
      </w:tr>
    </w:tbl>
    <w:p/>
    <w:p>
      <w:pPr>
        <w:pStyle w:val="Heading1"/>
        <w:spacing w:before="200" w:after="80"/>
      </w:pPr>
      <w:r>
        <w:t>1. Proposal scope and deliverable compliance</w:t>
      </w:r>
    </w:p>
    <w:p>
      <w:pPr>
        <w:spacing w:after="80" w:line="259" w:lineRule="auto"/>
      </w:pPr>
      <w:r>
        <w:rPr>
          <w:i w:val="0"/>
        </w:rPr>
        <w:t>The client draft must answer every output committed under the accepted Stage 1 proposal. The following matrix is the authoring control. It is not optional content.</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E8751A"/>
          </w:tcPr>
          <w:p>
            <w:pPr>
              <w:jc w:val="left"/>
            </w:pPr>
            <w:r/>
            <w:r>
              <w:rPr>
                <w:rFonts w:ascii="Calibri" w:hAnsi="Calibri"/>
                <w:b/>
                <w:color w:val="FFFFFF"/>
                <w:sz w:val="16"/>
              </w:rPr>
              <w:t>Proposal output</w:t>
            </w:r>
          </w:p>
        </w:tc>
        <w:tc>
          <w:tcPr>
            <w:tcW w:type="dxa" w:w="7488"/>
            <w:vAlign w:val="center"/>
            <w:shd w:fill="E8751A"/>
          </w:tcPr>
          <w:p>
            <w:pPr>
              <w:jc w:val="left"/>
            </w:pPr>
            <w:r/>
            <w:r>
              <w:rPr>
                <w:rFonts w:ascii="Calibri" w:hAnsi="Calibri"/>
                <w:b/>
                <w:color w:val="FFFFFF"/>
                <w:sz w:val="16"/>
              </w:rPr>
              <w:t>Required treatment in Stage 1 report</w:t>
            </w:r>
          </w:p>
        </w:tc>
      </w:tr>
      <w:tr>
        <w:tc>
          <w:tcPr>
            <w:tcW w:type="dxa" w:w="3600"/>
            <w:vAlign w:val="center"/>
            <w:shd w:fill="F2F2F2"/>
          </w:tcPr>
          <w:p>
            <w:pPr>
              <w:jc w:val="left"/>
            </w:pPr>
            <w:r/>
            <w:r>
              <w:rPr>
                <w:rFonts w:ascii="Calibri" w:hAnsi="Calibri"/>
                <w:b w:val="0"/>
                <w:sz w:val="16"/>
              </w:rPr>
              <w:t>Information review and source basis</w:t>
            </w:r>
          </w:p>
        </w:tc>
        <w:tc>
          <w:tcPr>
            <w:tcW w:type="dxa" w:w="7488"/>
            <w:vAlign w:val="center"/>
            <w:shd w:fill="F2F2F2"/>
          </w:tcPr>
          <w:p>
            <w:pPr>
              <w:jc w:val="left"/>
            </w:pPr>
            <w:r/>
            <w:r>
              <w:rPr>
                <w:rFonts w:ascii="Calibri" w:hAnsi="Calibri"/>
                <w:b w:val="0"/>
                <w:sz w:val="16"/>
              </w:rPr>
              <w:t>Describe reviewed contract, drawings, Shoreline report, current progress, programme, site reports, ship profile and RFIs. Include source limitations.</w:t>
            </w:r>
          </w:p>
        </w:tc>
      </w:tr>
      <w:tr>
        <w:tc>
          <w:tcPr>
            <w:tcW w:type="dxa" w:w="3600"/>
            <w:vAlign w:val="center"/>
          </w:tcPr>
          <w:p>
            <w:pPr>
              <w:jc w:val="left"/>
            </w:pPr>
            <w:r/>
            <w:r>
              <w:rPr>
                <w:rFonts w:ascii="Calibri" w:hAnsi="Calibri"/>
                <w:b w:val="0"/>
                <w:sz w:val="16"/>
              </w:rPr>
              <w:t>Options identification and screening</w:t>
            </w:r>
          </w:p>
        </w:tc>
        <w:tc>
          <w:tcPr>
            <w:tcW w:type="dxa" w:w="7488"/>
            <w:vAlign w:val="center"/>
          </w:tcPr>
          <w:p>
            <w:pPr>
              <w:jc w:val="left"/>
            </w:pPr>
            <w:r/>
            <w:r>
              <w:rPr>
                <w:rFonts w:ascii="Calibri" w:hAnsi="Calibri"/>
                <w:b w:val="0"/>
                <w:sz w:val="16"/>
              </w:rPr>
              <w:t>Screen current scaffold, reusable marine access, jack-up supported access, hybrid/special-bent access and any other credible alternative.</w:t>
            </w:r>
          </w:p>
        </w:tc>
      </w:tr>
      <w:tr>
        <w:tc>
          <w:tcPr>
            <w:tcW w:type="dxa" w:w="3600"/>
            <w:vAlign w:val="center"/>
            <w:shd w:fill="F2F2F2"/>
          </w:tcPr>
          <w:p>
            <w:pPr>
              <w:jc w:val="left"/>
            </w:pPr>
            <w:r/>
            <w:r>
              <w:rPr>
                <w:rFonts w:ascii="Calibri" w:hAnsi="Calibri"/>
                <w:b w:val="0"/>
                <w:sz w:val="16"/>
              </w:rPr>
              <w:t>Working configuration and equipment make-up</w:t>
            </w:r>
          </w:p>
        </w:tc>
        <w:tc>
          <w:tcPr>
            <w:tcW w:type="dxa" w:w="7488"/>
            <w:vAlign w:val="center"/>
            <w:shd w:fill="F2F2F2"/>
          </w:tcPr>
          <w:p>
            <w:pPr>
              <w:jc w:val="left"/>
            </w:pPr>
            <w:r/>
            <w:r>
              <w:rPr>
                <w:rFonts w:ascii="Calibri" w:hAnsi="Calibri"/>
                <w:b w:val="0"/>
                <w:sz w:val="16"/>
              </w:rPr>
              <w:t>Define platforms, suspension, traversing decks, containment, access towers, JUB, workboats, services and rescue arrangement.</w:t>
            </w:r>
          </w:p>
        </w:tc>
      </w:tr>
      <w:tr>
        <w:tc>
          <w:tcPr>
            <w:tcW w:type="dxa" w:w="3600"/>
            <w:vAlign w:val="center"/>
          </w:tcPr>
          <w:p>
            <w:pPr>
              <w:jc w:val="left"/>
            </w:pPr>
            <w:r/>
            <w:r>
              <w:rPr>
                <w:rFonts w:ascii="Calibri" w:hAnsi="Calibri"/>
                <w:b w:val="0"/>
                <w:sz w:val="16"/>
              </w:rPr>
              <w:t>Deployment and relocation</w:t>
            </w:r>
          </w:p>
        </w:tc>
        <w:tc>
          <w:tcPr>
            <w:tcW w:type="dxa" w:w="7488"/>
            <w:vAlign w:val="center"/>
          </w:tcPr>
          <w:p>
            <w:pPr>
              <w:jc w:val="left"/>
            </w:pPr>
            <w:r/>
            <w:r>
              <w:rPr>
                <w:rFonts w:ascii="Calibri" w:hAnsi="Calibri"/>
                <w:b w:val="0"/>
                <w:sz w:val="16"/>
              </w:rPr>
              <w:t>Provide mobilisation, assembly, proof load, pre-rig, float-in, hook-on, lift, restrain, services, lower, tow and recommission sequence.</w:t>
            </w:r>
          </w:p>
        </w:tc>
      </w:tr>
      <w:tr>
        <w:tc>
          <w:tcPr>
            <w:tcW w:type="dxa" w:w="3600"/>
            <w:vAlign w:val="center"/>
            <w:shd w:fill="F2F2F2"/>
          </w:tcPr>
          <w:p>
            <w:pPr>
              <w:jc w:val="left"/>
            </w:pPr>
            <w:r/>
            <w:r>
              <w:rPr>
                <w:rFonts w:ascii="Calibri" w:hAnsi="Calibri"/>
                <w:b w:val="0"/>
                <w:sz w:val="16"/>
              </w:rPr>
              <w:t>Tide, weather and operability</w:t>
            </w:r>
          </w:p>
        </w:tc>
        <w:tc>
          <w:tcPr>
            <w:tcW w:type="dxa" w:w="7488"/>
            <w:vAlign w:val="center"/>
            <w:shd w:fill="F2F2F2"/>
          </w:tcPr>
          <w:p>
            <w:pPr>
              <w:jc w:val="left"/>
            </w:pPr>
            <w:r/>
            <w:r>
              <w:rPr>
                <w:rFonts w:ascii="Calibri" w:hAnsi="Calibri"/>
                <w:b w:val="0"/>
                <w:sz w:val="16"/>
              </w:rPr>
              <w:t>Define separate limits for approach, hook-on, lift, occupied work, lowest-position work, lowering, tow, survival, ship make-safe and cyclone recovery.</w:t>
            </w:r>
          </w:p>
        </w:tc>
      </w:tr>
      <w:tr>
        <w:tc>
          <w:tcPr>
            <w:tcW w:type="dxa" w:w="3600"/>
            <w:vAlign w:val="center"/>
          </w:tcPr>
          <w:p>
            <w:pPr>
              <w:jc w:val="left"/>
            </w:pPr>
            <w:r/>
            <w:r>
              <w:rPr>
                <w:rFonts w:ascii="Calibri" w:hAnsi="Calibri"/>
                <w:b w:val="0"/>
                <w:sz w:val="16"/>
              </w:rPr>
              <w:t>Containment and waste</w:t>
            </w:r>
          </w:p>
        </w:tc>
        <w:tc>
          <w:tcPr>
            <w:tcW w:type="dxa" w:w="7488"/>
            <w:vAlign w:val="center"/>
          </w:tcPr>
          <w:p>
            <w:pPr>
              <w:jc w:val="left"/>
            </w:pPr>
            <w:r/>
            <w:r>
              <w:rPr>
                <w:rFonts w:ascii="Calibri" w:hAnsi="Calibri"/>
                <w:b w:val="0"/>
                <w:sz w:val="16"/>
              </w:rPr>
              <w:t>Define pile half-shell and headstock containment, negative pressure, extraction, spent abrasive, wash water, coating overspray, noise and waste handling.</w:t>
            </w:r>
          </w:p>
        </w:tc>
      </w:tr>
      <w:tr>
        <w:tc>
          <w:tcPr>
            <w:tcW w:type="dxa" w:w="3600"/>
            <w:vAlign w:val="center"/>
            <w:shd w:fill="F2F2F2"/>
          </w:tcPr>
          <w:p>
            <w:pPr>
              <w:jc w:val="left"/>
            </w:pPr>
            <w:r/>
            <w:r>
              <w:rPr>
                <w:rFonts w:ascii="Calibri" w:hAnsi="Calibri"/>
                <w:b w:val="0"/>
                <w:sz w:val="16"/>
              </w:rPr>
              <w:t>Materials, crew and waste logistics</w:t>
            </w:r>
          </w:p>
        </w:tc>
        <w:tc>
          <w:tcPr>
            <w:tcW w:type="dxa" w:w="7488"/>
            <w:vAlign w:val="center"/>
            <w:shd w:fill="F2F2F2"/>
          </w:tcPr>
          <w:p>
            <w:pPr>
              <w:jc w:val="left"/>
            </w:pPr>
            <w:r/>
            <w:r>
              <w:rPr>
                <w:rFonts w:ascii="Calibri" w:hAnsi="Calibri"/>
                <w:b w:val="0"/>
                <w:sz w:val="16"/>
              </w:rPr>
              <w:t>Define crew-by-road, heavy materials by water, JUB services, shore base, waste runs, fuel, accommodation and rescue coverage.</w:t>
            </w:r>
          </w:p>
        </w:tc>
      </w:tr>
      <w:tr>
        <w:tc>
          <w:tcPr>
            <w:tcW w:type="dxa" w:w="3600"/>
            <w:vAlign w:val="center"/>
          </w:tcPr>
          <w:p>
            <w:pPr>
              <w:jc w:val="left"/>
            </w:pPr>
            <w:r/>
            <w:r>
              <w:rPr>
                <w:rFonts w:ascii="Calibri" w:hAnsi="Calibri"/>
                <w:b w:val="0"/>
                <w:sz w:val="16"/>
              </w:rPr>
              <w:t>Structural and temporary works interfaces</w:t>
            </w:r>
          </w:p>
        </w:tc>
        <w:tc>
          <w:tcPr>
            <w:tcW w:type="dxa" w:w="7488"/>
            <w:vAlign w:val="center"/>
          </w:tcPr>
          <w:p>
            <w:pPr>
              <w:jc w:val="left"/>
            </w:pPr>
            <w:r/>
            <w:r>
              <w:rPr>
                <w:rFonts w:ascii="Calibri" w:hAnsi="Calibri"/>
                <w:b w:val="0"/>
                <w:sz w:val="16"/>
              </w:rPr>
              <w:t>Define host structure capacity, hang-off points, unequal load/fault cases, travelling suspension, traversing-deck load path, containment alignment and platform states.</w:t>
            </w:r>
          </w:p>
        </w:tc>
      </w:tr>
      <w:tr>
        <w:tc>
          <w:tcPr>
            <w:tcW w:type="dxa" w:w="3600"/>
            <w:vAlign w:val="center"/>
            <w:shd w:fill="F2F2F2"/>
          </w:tcPr>
          <w:p>
            <w:pPr>
              <w:jc w:val="left"/>
            </w:pPr>
            <w:r/>
            <w:r>
              <w:rPr>
                <w:rFonts w:ascii="Calibri" w:hAnsi="Calibri"/>
                <w:b w:val="0"/>
                <w:sz w:val="16"/>
              </w:rPr>
              <w:t>Shipping, cyclone and wet season</w:t>
            </w:r>
          </w:p>
        </w:tc>
        <w:tc>
          <w:tcPr>
            <w:tcW w:type="dxa" w:w="7488"/>
            <w:vAlign w:val="center"/>
            <w:shd w:fill="F2F2F2"/>
          </w:tcPr>
          <w:p>
            <w:pPr>
              <w:jc w:val="left"/>
            </w:pPr>
            <w:r/>
            <w:r>
              <w:rPr>
                <w:rFonts w:ascii="Calibri" w:hAnsi="Calibri"/>
                <w:b w:val="0"/>
                <w:sz w:val="16"/>
              </w:rPr>
              <w:t>Define two-day make-safe, ship-call reinstatement, warning-time recovery, refuge and full Dec-Mar demobilisation/remobilisation.</w:t>
            </w:r>
          </w:p>
        </w:tc>
      </w:tr>
      <w:tr>
        <w:tc>
          <w:tcPr>
            <w:tcW w:type="dxa" w:w="3600"/>
            <w:vAlign w:val="center"/>
          </w:tcPr>
          <w:p>
            <w:pPr>
              <w:jc w:val="left"/>
            </w:pPr>
            <w:r/>
            <w:r>
              <w:rPr>
                <w:rFonts w:ascii="Calibri" w:hAnsi="Calibri"/>
                <w:b w:val="0"/>
                <w:sz w:val="16"/>
              </w:rPr>
              <w:t>Productivity, programme, cost and risk comparison</w:t>
            </w:r>
          </w:p>
        </w:tc>
        <w:tc>
          <w:tcPr>
            <w:tcW w:type="dxa" w:w="7488"/>
            <w:vAlign w:val="center"/>
          </w:tcPr>
          <w:p>
            <w:pPr>
              <w:jc w:val="left"/>
            </w:pPr>
            <w:r/>
            <w:r>
              <w:rPr>
                <w:rFonts w:ascii="Calibri" w:hAnsi="Calibri"/>
                <w:b w:val="0"/>
                <w:sz w:val="16"/>
              </w:rPr>
              <w:t>Use one measurement basis, QA-closed bents/week, a dated calendar, bottom-up cost build-up and a transparent risk/gate register.</w:t>
            </w:r>
          </w:p>
        </w:tc>
      </w:tr>
      <w:tr>
        <w:tc>
          <w:tcPr>
            <w:tcW w:type="dxa" w:w="3600"/>
            <w:vAlign w:val="center"/>
            <w:shd w:fill="F2F2F2"/>
          </w:tcPr>
          <w:p>
            <w:pPr>
              <w:jc w:val="left"/>
            </w:pPr>
            <w:r/>
            <w:r>
              <w:rPr>
                <w:rFonts w:ascii="Calibri" w:hAnsi="Calibri"/>
                <w:b w:val="0"/>
                <w:sz w:val="16"/>
              </w:rPr>
              <w:t>Market sounding</w:t>
            </w:r>
          </w:p>
        </w:tc>
        <w:tc>
          <w:tcPr>
            <w:tcW w:type="dxa" w:w="7488"/>
            <w:vAlign w:val="center"/>
            <w:shd w:fill="F2F2F2"/>
          </w:tcPr>
          <w:p>
            <w:pPr>
              <w:jc w:val="left"/>
            </w:pPr>
            <w:r/>
            <w:r>
              <w:rPr>
                <w:rFonts w:ascii="Calibri" w:hAnsi="Calibri"/>
                <w:b w:val="0"/>
                <w:sz w:val="16"/>
              </w:rPr>
              <w:t>Record GGC/Hansen platform data, containment suppliers, JUB/workboat candidates, availability, rates and exclusions.</w:t>
            </w:r>
          </w:p>
        </w:tc>
      </w:tr>
      <w:tr>
        <w:tc>
          <w:tcPr>
            <w:tcW w:type="dxa" w:w="3600"/>
            <w:vAlign w:val="center"/>
          </w:tcPr>
          <w:p>
            <w:pPr>
              <w:jc w:val="left"/>
            </w:pPr>
            <w:r/>
            <w:r>
              <w:rPr>
                <w:rFonts w:ascii="Calibri" w:hAnsi="Calibri"/>
                <w:b w:val="0"/>
                <w:sz w:val="16"/>
              </w:rPr>
              <w:t>Options workshop</w:t>
            </w:r>
          </w:p>
        </w:tc>
        <w:tc>
          <w:tcPr>
            <w:tcW w:type="dxa" w:w="7488"/>
            <w:vAlign w:val="center"/>
          </w:tcPr>
          <w:p>
            <w:pPr>
              <w:jc w:val="left"/>
            </w:pPr>
            <w:r/>
            <w:r>
              <w:rPr>
                <w:rFonts w:ascii="Calibri" w:hAnsi="Calibri"/>
                <w:b w:val="0"/>
                <w:sz w:val="16"/>
              </w:rPr>
              <w:t>Present decisions, open gates and required client inputs.</w:t>
            </w:r>
          </w:p>
        </w:tc>
      </w:tr>
      <w:tr>
        <w:tc>
          <w:tcPr>
            <w:tcW w:type="dxa" w:w="3600"/>
            <w:vAlign w:val="center"/>
            <w:shd w:fill="F2F2F2"/>
          </w:tcPr>
          <w:p>
            <w:pPr>
              <w:jc w:val="left"/>
            </w:pPr>
            <w:r/>
            <w:r>
              <w:rPr>
                <w:rFonts w:ascii="Calibri" w:hAnsi="Calibri"/>
                <w:b w:val="0"/>
                <w:sz w:val="16"/>
              </w:rPr>
              <w:t>Final recommendation and roadmap</w:t>
            </w:r>
          </w:p>
        </w:tc>
        <w:tc>
          <w:tcPr>
            <w:tcW w:type="dxa" w:w="7488"/>
            <w:vAlign w:val="center"/>
            <w:shd w:fill="F2F2F2"/>
          </w:tcPr>
          <w:p>
            <w:pPr>
              <w:jc w:val="left"/>
            </w:pPr>
            <w:r/>
            <w:r>
              <w:rPr>
                <w:rFonts w:ascii="Calibri" w:hAnsi="Calibri"/>
                <w:b w:val="0"/>
                <w:sz w:val="16"/>
              </w:rPr>
              <w:t>Recommend method by bent family, proving campaign, procurement path, implementation sequence and decision gates.</w:t>
            </w:r>
          </w:p>
        </w:tc>
      </w:tr>
    </w:tbl>
    <w:p/>
    <w:p>
      <w:pPr>
        <w:pStyle w:val="Heading1"/>
        <w:spacing w:before="200" w:after="80"/>
      </w:pPr>
      <w:r>
        <w:t>2. Source basis and evidence hierarchy</w:t>
      </w:r>
    </w:p>
    <w:p>
      <w:pPr>
        <w:spacing w:after="80" w:line="259" w:lineRule="auto"/>
      </w:pPr>
      <w:r>
        <w:rPr>
          <w:i w:val="0"/>
        </w:rPr>
        <w:t>The repository was inventoried programmatically and the material sources were subjected to targeted engineering review. The companion workbook contains the full file manifest, file hashes and extraction status. The following sources carry the main technical and commercial basis.</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center"/>
            <w:shd w:fill="E8751A"/>
          </w:tcPr>
          <w:p>
            <w:pPr>
              <w:jc w:val="left"/>
            </w:pPr>
            <w:r/>
            <w:r>
              <w:rPr>
                <w:rFonts w:ascii="Calibri" w:hAnsi="Calibri"/>
                <w:b/>
                <w:color w:val="FFFFFF"/>
                <w:sz w:val="16"/>
              </w:rPr>
              <w:t>Ref</w:t>
            </w:r>
          </w:p>
        </w:tc>
        <w:tc>
          <w:tcPr>
            <w:tcW w:type="dxa" w:w="4608"/>
            <w:vAlign w:val="center"/>
            <w:shd w:fill="E8751A"/>
          </w:tcPr>
          <w:p>
            <w:pPr>
              <w:jc w:val="left"/>
            </w:pPr>
            <w:r/>
            <w:r>
              <w:rPr>
                <w:rFonts w:ascii="Calibri" w:hAnsi="Calibri"/>
                <w:b/>
                <w:color w:val="FFFFFF"/>
                <w:sz w:val="16"/>
              </w:rPr>
              <w:t>Source</w:t>
            </w:r>
          </w:p>
        </w:tc>
        <w:tc>
          <w:tcPr>
            <w:tcW w:type="dxa" w:w="5760"/>
            <w:vAlign w:val="center"/>
            <w:shd w:fill="E8751A"/>
          </w:tcPr>
          <w:p>
            <w:pPr>
              <w:jc w:val="left"/>
            </w:pPr>
            <w:r/>
            <w:r>
              <w:rPr>
                <w:rFonts w:ascii="Calibri" w:hAnsi="Calibri"/>
                <w:b/>
                <w:color w:val="FFFFFF"/>
                <w:sz w:val="16"/>
              </w:rPr>
              <w:t>Use / limitation</w:t>
            </w:r>
          </w:p>
        </w:tc>
      </w:tr>
      <w:tr>
        <w:tc>
          <w:tcPr>
            <w:tcW w:type="dxa" w:w="864"/>
            <w:vAlign w:val="center"/>
            <w:shd w:fill="F2F2F2"/>
          </w:tcPr>
          <w:p>
            <w:pPr>
              <w:jc w:val="left"/>
            </w:pPr>
            <w:r/>
            <w:r>
              <w:rPr>
                <w:rFonts w:ascii="Calibri" w:hAnsi="Calibri"/>
                <w:b w:val="0"/>
                <w:sz w:val="16"/>
              </w:rPr>
              <w:t>S01</w:t>
            </w:r>
          </w:p>
        </w:tc>
        <w:tc>
          <w:tcPr>
            <w:tcW w:type="dxa" w:w="4608"/>
            <w:vAlign w:val="center"/>
            <w:shd w:fill="F2F2F2"/>
          </w:tcPr>
          <w:p>
            <w:pPr>
              <w:jc w:val="left"/>
            </w:pPr>
            <w:r/>
            <w:r>
              <w:rPr>
                <w:rFonts w:ascii="Calibri" w:hAnsi="Calibri"/>
                <w:b w:val="0"/>
                <w:sz w:val="16"/>
              </w:rPr>
              <w:t>ED-018-2026-01 Method Assessment Proposal Rev A</w:t>
            </w:r>
          </w:p>
        </w:tc>
        <w:tc>
          <w:tcPr>
            <w:tcW w:type="dxa" w:w="5760"/>
            <w:vAlign w:val="center"/>
            <w:shd w:fill="F2F2F2"/>
          </w:tcPr>
          <w:p>
            <w:pPr>
              <w:jc w:val="left"/>
            </w:pPr>
            <w:r/>
            <w:r>
              <w:rPr>
                <w:rFonts w:ascii="Calibri" w:hAnsi="Calibri"/>
                <w:b w:val="0"/>
                <w:sz w:val="16"/>
              </w:rPr>
              <w:t>Engagement scope, deliverables and exclusions.</w:t>
            </w:r>
          </w:p>
        </w:tc>
      </w:tr>
      <w:tr>
        <w:tc>
          <w:tcPr>
            <w:tcW w:type="dxa" w:w="864"/>
            <w:vAlign w:val="center"/>
          </w:tcPr>
          <w:p>
            <w:pPr>
              <w:jc w:val="left"/>
            </w:pPr>
            <w:r/>
            <w:r>
              <w:rPr>
                <w:rFonts w:ascii="Calibri" w:hAnsi="Calibri"/>
                <w:b w:val="0"/>
                <w:sz w:val="16"/>
              </w:rPr>
              <w:t>S02</w:t>
            </w:r>
          </w:p>
        </w:tc>
        <w:tc>
          <w:tcPr>
            <w:tcW w:type="dxa" w:w="4608"/>
            <w:vAlign w:val="center"/>
          </w:tcPr>
          <w:p>
            <w:pPr>
              <w:jc w:val="left"/>
            </w:pPr>
            <w:r/>
            <w:r>
              <w:rPr>
                <w:rFonts w:ascii="Calibri" w:hAnsi="Calibri"/>
                <w:b w:val="0"/>
                <w:sz w:val="16"/>
              </w:rPr>
              <w:t>AAB Contract Scope &amp; Specification</w:t>
            </w:r>
          </w:p>
        </w:tc>
        <w:tc>
          <w:tcPr>
            <w:tcW w:type="dxa" w:w="5760"/>
            <w:vAlign w:val="center"/>
          </w:tcPr>
          <w:p>
            <w:pPr>
              <w:jc w:val="left"/>
            </w:pPr>
            <w:r/>
            <w:r>
              <w:rPr>
                <w:rFonts w:ascii="Calibri" w:hAnsi="Calibri"/>
                <w:b w:val="0"/>
                <w:sz w:val="16"/>
              </w:rPr>
              <w:t>Contract scope, bent families, coating/jacket requirements and current access/commercial basis.</w:t>
            </w:r>
          </w:p>
        </w:tc>
      </w:tr>
      <w:tr>
        <w:tc>
          <w:tcPr>
            <w:tcW w:type="dxa" w:w="864"/>
            <w:vAlign w:val="center"/>
            <w:shd w:fill="F2F2F2"/>
          </w:tcPr>
          <w:p>
            <w:pPr>
              <w:jc w:val="left"/>
            </w:pPr>
            <w:r/>
            <w:r>
              <w:rPr>
                <w:rFonts w:ascii="Calibri" w:hAnsi="Calibri"/>
                <w:b w:val="0"/>
                <w:sz w:val="16"/>
              </w:rPr>
              <w:t>S03</w:t>
            </w:r>
          </w:p>
        </w:tc>
        <w:tc>
          <w:tcPr>
            <w:tcW w:type="dxa" w:w="4608"/>
            <w:vAlign w:val="center"/>
            <w:shd w:fill="F2F2F2"/>
          </w:tcPr>
          <w:p>
            <w:pPr>
              <w:jc w:val="left"/>
            </w:pPr>
            <w:r/>
            <w:r>
              <w:rPr>
                <w:rFonts w:ascii="Calibri" w:hAnsi="Calibri"/>
                <w:b w:val="0"/>
                <w:sz w:val="16"/>
              </w:rPr>
              <w:t>SCMC-22020-REP-001 Rev 1 Phase 1 Summary Report</w:t>
            </w:r>
          </w:p>
        </w:tc>
        <w:tc>
          <w:tcPr>
            <w:tcW w:type="dxa" w:w="5760"/>
            <w:vAlign w:val="center"/>
            <w:shd w:fill="F2F2F2"/>
          </w:tcPr>
          <w:p>
            <w:pPr>
              <w:jc w:val="left"/>
            </w:pPr>
            <w:r/>
            <w:r>
              <w:rPr>
                <w:rFonts w:ascii="Calibri" w:hAnsi="Calibri"/>
                <w:b w:val="0"/>
                <w:sz w:val="16"/>
              </w:rPr>
              <w:t>Condition and strategy basis; multiple fronts and movable platform precedent.</w:t>
            </w:r>
          </w:p>
        </w:tc>
      </w:tr>
      <w:tr>
        <w:tc>
          <w:tcPr>
            <w:tcW w:type="dxa" w:w="864"/>
            <w:vAlign w:val="center"/>
          </w:tcPr>
          <w:p>
            <w:pPr>
              <w:jc w:val="left"/>
            </w:pPr>
            <w:r/>
            <w:r>
              <w:rPr>
                <w:rFonts w:ascii="Calibri" w:hAnsi="Calibri"/>
                <w:b w:val="0"/>
                <w:sz w:val="16"/>
              </w:rPr>
              <w:t>S04</w:t>
            </w:r>
          </w:p>
        </w:tc>
        <w:tc>
          <w:tcPr>
            <w:tcW w:type="dxa" w:w="4608"/>
            <w:vAlign w:val="center"/>
          </w:tcPr>
          <w:p>
            <w:pPr>
              <w:jc w:val="left"/>
            </w:pPr>
            <w:r/>
            <w:r>
              <w:rPr>
                <w:rFonts w:ascii="Calibri" w:hAnsi="Calibri"/>
                <w:b w:val="0"/>
                <w:sz w:val="16"/>
              </w:rPr>
              <w:t>AAB Claim Qty workbook</w:t>
            </w:r>
          </w:p>
        </w:tc>
        <w:tc>
          <w:tcPr>
            <w:tcW w:type="dxa" w:w="5760"/>
            <w:vAlign w:val="center"/>
          </w:tcPr>
          <w:p>
            <w:pPr>
              <w:jc w:val="left"/>
            </w:pPr>
            <w:r/>
            <w:r>
              <w:rPr>
                <w:rFonts w:ascii="Calibri" w:hAnsi="Calibri"/>
                <w:b w:val="0"/>
                <w:sz w:val="16"/>
              </w:rPr>
              <w:t>Claimed stage quantities, weld actuals and monthly performance.</w:t>
            </w:r>
          </w:p>
        </w:tc>
      </w:tr>
      <w:tr>
        <w:tc>
          <w:tcPr>
            <w:tcW w:type="dxa" w:w="864"/>
            <w:vAlign w:val="center"/>
            <w:shd w:fill="F2F2F2"/>
          </w:tcPr>
          <w:p>
            <w:pPr>
              <w:jc w:val="left"/>
            </w:pPr>
            <w:r/>
            <w:r>
              <w:rPr>
                <w:rFonts w:ascii="Calibri" w:hAnsi="Calibri"/>
                <w:b w:val="0"/>
                <w:sz w:val="16"/>
              </w:rPr>
              <w:t>S05</w:t>
            </w:r>
          </w:p>
        </w:tc>
        <w:tc>
          <w:tcPr>
            <w:tcW w:type="dxa" w:w="4608"/>
            <w:vAlign w:val="center"/>
            <w:shd w:fill="F2F2F2"/>
          </w:tcPr>
          <w:p>
            <w:pPr>
              <w:jc w:val="left"/>
            </w:pPr>
            <w:r/>
            <w:r>
              <w:rPr>
                <w:rFonts w:ascii="Calibri" w:hAnsi="Calibri"/>
                <w:b w:val="0"/>
                <w:sz w:val="16"/>
              </w:rPr>
              <w:t>AAB Program (June 26).mpp and screenshots</w:t>
            </w:r>
          </w:p>
        </w:tc>
        <w:tc>
          <w:tcPr>
            <w:tcW w:type="dxa" w:w="5760"/>
            <w:vAlign w:val="center"/>
            <w:shd w:fill="F2F2F2"/>
          </w:tcPr>
          <w:p>
            <w:pPr>
              <w:jc w:val="left"/>
            </w:pPr>
            <w:r/>
            <w:r>
              <w:rPr>
                <w:rFonts w:ascii="Calibri" w:hAnsi="Calibri"/>
                <w:b w:val="0"/>
                <w:sz w:val="16"/>
              </w:rPr>
              <w:t>Current planned sequence, durations and concurrent WIP. Native logic remains to be planner-verified.</w:t>
            </w:r>
          </w:p>
        </w:tc>
      </w:tr>
      <w:tr>
        <w:tc>
          <w:tcPr>
            <w:tcW w:type="dxa" w:w="864"/>
            <w:vAlign w:val="center"/>
          </w:tcPr>
          <w:p>
            <w:pPr>
              <w:jc w:val="left"/>
            </w:pPr>
            <w:r/>
            <w:r>
              <w:rPr>
                <w:rFonts w:ascii="Calibri" w:hAnsi="Calibri"/>
                <w:b w:val="0"/>
                <w:sz w:val="16"/>
              </w:rPr>
              <w:t>S06</w:t>
            </w:r>
          </w:p>
        </w:tc>
        <w:tc>
          <w:tcPr>
            <w:tcW w:type="dxa" w:w="4608"/>
            <w:vAlign w:val="center"/>
          </w:tcPr>
          <w:p>
            <w:pPr>
              <w:jc w:val="left"/>
            </w:pPr>
            <w:r/>
            <w:r>
              <w:rPr>
                <w:rFonts w:ascii="Calibri" w:hAnsi="Calibri"/>
                <w:b w:val="0"/>
                <w:sz w:val="16"/>
              </w:rPr>
              <w:t>July 2026 JPHR inspection reports</w:t>
            </w:r>
          </w:p>
        </w:tc>
        <w:tc>
          <w:tcPr>
            <w:tcW w:type="dxa" w:w="5760"/>
            <w:vAlign w:val="center"/>
          </w:tcPr>
          <w:p>
            <w:pPr>
              <w:jc w:val="left"/>
            </w:pPr>
            <w:r/>
            <w:r>
              <w:rPr>
                <w:rFonts w:ascii="Calibri" w:hAnsi="Calibri"/>
                <w:b w:val="0"/>
                <w:sz w:val="16"/>
              </w:rPr>
              <w:t>Workfront, access, welding, weather, rework and coating observations.</w:t>
            </w:r>
          </w:p>
        </w:tc>
      </w:tr>
      <w:tr>
        <w:tc>
          <w:tcPr>
            <w:tcW w:type="dxa" w:w="864"/>
            <w:vAlign w:val="center"/>
            <w:shd w:fill="F2F2F2"/>
          </w:tcPr>
          <w:p>
            <w:pPr>
              <w:jc w:val="left"/>
            </w:pPr>
            <w:r/>
            <w:r>
              <w:rPr>
                <w:rFonts w:ascii="Calibri" w:hAnsi="Calibri"/>
                <w:b w:val="0"/>
                <w:sz w:val="16"/>
              </w:rPr>
              <w:t>S07</w:t>
            </w:r>
          </w:p>
        </w:tc>
        <w:tc>
          <w:tcPr>
            <w:tcW w:type="dxa" w:w="4608"/>
            <w:vAlign w:val="center"/>
            <w:shd w:fill="F2F2F2"/>
          </w:tcPr>
          <w:p>
            <w:pPr>
              <w:jc w:val="left"/>
            </w:pPr>
            <w:r/>
            <w:r>
              <w:rPr>
                <w:rFonts w:ascii="Calibri" w:hAnsi="Calibri"/>
                <w:b w:val="0"/>
                <w:sz w:val="16"/>
              </w:rPr>
              <w:t>Original and Aurecon drawings, G01/G02</w:t>
            </w:r>
          </w:p>
        </w:tc>
        <w:tc>
          <w:tcPr>
            <w:tcW w:type="dxa" w:w="5760"/>
            <w:vAlign w:val="center"/>
            <w:shd w:fill="F2F2F2"/>
          </w:tcPr>
          <w:p>
            <w:pPr>
              <w:jc w:val="left"/>
            </w:pPr>
            <w:r/>
            <w:r>
              <w:rPr>
                <w:rFonts w:ascii="Calibri" w:hAnsi="Calibri"/>
                <w:b w:val="0"/>
                <w:sz w:val="16"/>
              </w:rPr>
              <w:t>Bent geometry, levels, structural interfaces, coating and repair details.</w:t>
            </w:r>
          </w:p>
        </w:tc>
      </w:tr>
      <w:tr>
        <w:tc>
          <w:tcPr>
            <w:tcW w:type="dxa" w:w="864"/>
            <w:vAlign w:val="center"/>
          </w:tcPr>
          <w:p>
            <w:pPr>
              <w:jc w:val="left"/>
            </w:pPr>
            <w:r/>
            <w:r>
              <w:rPr>
                <w:rFonts w:ascii="Calibri" w:hAnsi="Calibri"/>
                <w:b w:val="0"/>
                <w:sz w:val="16"/>
              </w:rPr>
              <w:t>S08</w:t>
            </w:r>
          </w:p>
        </w:tc>
        <w:tc>
          <w:tcPr>
            <w:tcW w:type="dxa" w:w="4608"/>
            <w:vAlign w:val="center"/>
          </w:tcPr>
          <w:p>
            <w:pPr>
              <w:jc w:val="left"/>
            </w:pPr>
            <w:r/>
            <w:r>
              <w:rPr>
                <w:rFonts w:ascii="Calibri" w:hAnsi="Calibri"/>
                <w:b w:val="0"/>
                <w:sz w:val="16"/>
              </w:rPr>
              <w:t>Hansen Engineering platform drawings and GGC images</w:t>
            </w:r>
          </w:p>
        </w:tc>
        <w:tc>
          <w:tcPr>
            <w:tcW w:type="dxa" w:w="5760"/>
            <w:vAlign w:val="center"/>
          </w:tcPr>
          <w:p>
            <w:pPr>
              <w:jc w:val="left"/>
            </w:pPr>
            <w:r/>
            <w:r>
              <w:rPr>
                <w:rFonts w:ascii="Calibri" w:hAnsi="Calibri"/>
                <w:b w:val="0"/>
                <w:sz w:val="16"/>
              </w:rPr>
              <w:t>Closest supplier platform basis. Written current data and commercial offer still required.</w:t>
            </w:r>
          </w:p>
        </w:tc>
      </w:tr>
      <w:tr>
        <w:tc>
          <w:tcPr>
            <w:tcW w:type="dxa" w:w="864"/>
            <w:vAlign w:val="center"/>
            <w:shd w:fill="F2F2F2"/>
          </w:tcPr>
          <w:p>
            <w:pPr>
              <w:jc w:val="left"/>
            </w:pPr>
            <w:r/>
            <w:r>
              <w:rPr>
                <w:rFonts w:ascii="Calibri" w:hAnsi="Calibri"/>
                <w:b w:val="0"/>
                <w:sz w:val="16"/>
              </w:rPr>
              <w:t>S09</w:t>
            </w:r>
          </w:p>
        </w:tc>
        <w:tc>
          <w:tcPr>
            <w:tcW w:type="dxa" w:w="4608"/>
            <w:vAlign w:val="center"/>
            <w:shd w:fill="F2F2F2"/>
          </w:tcPr>
          <w:p>
            <w:pPr>
              <w:jc w:val="left"/>
            </w:pPr>
            <w:r/>
            <w:r>
              <w:rPr>
                <w:rFonts w:ascii="Calibri" w:hAnsi="Calibri"/>
                <w:b w:val="0"/>
                <w:sz w:val="16"/>
              </w:rPr>
              <w:t>JUB and marine spread data sheets</w:t>
            </w:r>
          </w:p>
        </w:tc>
        <w:tc>
          <w:tcPr>
            <w:tcW w:type="dxa" w:w="5760"/>
            <w:vAlign w:val="center"/>
            <w:shd w:fill="F2F2F2"/>
          </w:tcPr>
          <w:p>
            <w:pPr>
              <w:jc w:val="left"/>
            </w:pPr>
            <w:r/>
            <w:r>
              <w:rPr>
                <w:rFonts w:ascii="Calibri" w:hAnsi="Calibri"/>
                <w:b w:val="0"/>
                <w:sz w:val="16"/>
              </w:rPr>
              <w:t>Candidate equipment classes only. No unit selected.</w:t>
            </w:r>
          </w:p>
        </w:tc>
      </w:tr>
      <w:tr>
        <w:tc>
          <w:tcPr>
            <w:tcW w:type="dxa" w:w="864"/>
            <w:vAlign w:val="center"/>
          </w:tcPr>
          <w:p>
            <w:pPr>
              <w:jc w:val="left"/>
            </w:pPr>
            <w:r/>
            <w:r>
              <w:rPr>
                <w:rFonts w:ascii="Calibri" w:hAnsi="Calibri"/>
                <w:b w:val="0"/>
                <w:sz w:val="16"/>
              </w:rPr>
              <w:t>S10</w:t>
            </w:r>
          </w:p>
        </w:tc>
        <w:tc>
          <w:tcPr>
            <w:tcW w:type="dxa" w:w="4608"/>
            <w:vAlign w:val="center"/>
          </w:tcPr>
          <w:p>
            <w:pPr>
              <w:jc w:val="left"/>
            </w:pPr>
            <w:r/>
            <w:r>
              <w:rPr>
                <w:rFonts w:ascii="Calibri" w:hAnsi="Calibri"/>
                <w:b w:val="0"/>
                <w:sz w:val="16"/>
              </w:rPr>
              <w:t>RFI register and ship-loading profile</w:t>
            </w:r>
          </w:p>
        </w:tc>
        <w:tc>
          <w:tcPr>
            <w:tcW w:type="dxa" w:w="5760"/>
            <w:vAlign w:val="center"/>
          </w:tcPr>
          <w:p>
            <w:pPr>
              <w:jc w:val="left"/>
            </w:pPr>
            <w:r/>
            <w:r>
              <w:rPr>
                <w:rFonts w:ascii="Calibri" w:hAnsi="Calibri"/>
                <w:b w:val="0"/>
                <w:sz w:val="16"/>
              </w:rPr>
              <w:t>Open client inputs and operational interruptions.</w:t>
            </w:r>
          </w:p>
        </w:tc>
      </w:tr>
      <w:tr>
        <w:tc>
          <w:tcPr>
            <w:tcW w:type="dxa" w:w="864"/>
            <w:vAlign w:val="center"/>
            <w:shd w:fill="F2F2F2"/>
          </w:tcPr>
          <w:p>
            <w:pPr>
              <w:jc w:val="left"/>
            </w:pPr>
            <w:r/>
            <w:r>
              <w:rPr>
                <w:rFonts w:ascii="Calibri" w:hAnsi="Calibri"/>
                <w:b w:val="0"/>
                <w:sz w:val="16"/>
              </w:rPr>
              <w:t>S11</w:t>
            </w:r>
          </w:p>
        </w:tc>
        <w:tc>
          <w:tcPr>
            <w:tcW w:type="dxa" w:w="4608"/>
            <w:vAlign w:val="center"/>
            <w:shd w:fill="F2F2F2"/>
          </w:tcPr>
          <w:p>
            <w:pPr>
              <w:jc w:val="left"/>
            </w:pPr>
            <w:r/>
            <w:r>
              <w:rPr>
                <w:rFonts w:ascii="Calibri" w:hAnsi="Calibri"/>
                <w:b w:val="0"/>
                <w:sz w:val="16"/>
              </w:rPr>
              <w:t>Jed/Shaun/Tim method discussions and accepted concept plate</w:t>
            </w:r>
          </w:p>
        </w:tc>
        <w:tc>
          <w:tcPr>
            <w:tcW w:type="dxa" w:w="5760"/>
            <w:vAlign w:val="center"/>
            <w:shd w:fill="F2F2F2"/>
          </w:tcPr>
          <w:p>
            <w:pPr>
              <w:jc w:val="left"/>
            </w:pPr>
            <w:r/>
            <w:r>
              <w:rPr>
                <w:rFonts w:ascii="Calibri" w:hAnsi="Calibri"/>
                <w:b w:val="0"/>
                <w:sz w:val="16"/>
              </w:rPr>
              <w:t>Current concept direction. Supplier implementation remains open.</w:t>
            </w:r>
          </w:p>
        </w:tc>
      </w:tr>
    </w:tbl>
    <w:p/>
    <w:p>
      <w:pPr>
        <w:spacing w:after="80" w:line="259" w:lineRule="auto"/>
      </w:pPr>
      <w:r>
        <w:rPr>
          <w:i w:val="0"/>
        </w:rPr>
        <w:t>Evidence rule: the current contract and formal STL instructions govern. Claim stages are not completed bents. Programme screenshots can support visible durations and WIP, but not an independently verified native critical path. GGC and marine supplier information must be issued in writing before it is used as a committed cost or capacity basis.</w:t>
      </w:r>
    </w:p>
    <w:p>
      <w:pPr>
        <w:pStyle w:val="Heading1"/>
        <w:spacing w:before="200" w:after="80"/>
      </w:pPr>
      <w:r>
        <w:t>3. Current methodology and demonstrated performance</w:t>
      </w:r>
    </w:p>
    <w:p>
      <w:pPr>
        <w:pStyle w:val="Heading2"/>
        <w:spacing w:before="200" w:after="80"/>
      </w:pPr>
      <w:r>
        <w:t>3.1 Current delivery sequence</w:t>
      </w:r>
    </w:p>
    <w:p>
      <w:pPr>
        <w:pStyle w:val="ListNumber"/>
        <w:spacing w:after="40"/>
      </w:pPr>
      <w:r>
        <w:t>Install kerb-hung scaffold and full-bent encapsulation from the roadway.</w:t>
      </w:r>
    </w:p>
    <w:p>
      <w:pPr>
        <w:pStyle w:val="ListNumber"/>
        <w:spacing w:after="40"/>
      </w:pPr>
      <w:r>
        <w:t>Remove existing wrapping, wash, inspect and perform UT.</w:t>
      </w:r>
    </w:p>
    <w:p>
      <w:pPr>
        <w:pStyle w:val="ListNumber"/>
        <w:spacing w:after="40"/>
      </w:pPr>
      <w:r>
        <w:t>Determine and submit weld repair requirements.</w:t>
      </w:r>
    </w:p>
    <w:p>
      <w:pPr>
        <w:pStyle w:val="ListNumber"/>
        <w:spacing w:after="40"/>
      </w:pPr>
      <w:r>
        <w:t>Wait for repair approval while the scaffold remains at the bent.</w:t>
      </w:r>
    </w:p>
    <w:p>
      <w:pPr>
        <w:pStyle w:val="ListNumber"/>
        <w:spacing w:after="40"/>
      </w:pPr>
      <w:r>
        <w:t>Complete plate preparation, fit-up, welding, NDT and rectification.</w:t>
      </w:r>
    </w:p>
    <w:p>
      <w:pPr>
        <w:pStyle w:val="ListNumber"/>
        <w:spacing w:after="40"/>
      </w:pPr>
      <w:r>
        <w:t>Abrasive blast, apply the two-coat system and complete coating QA.</w:t>
      </w:r>
    </w:p>
    <w:p>
      <w:pPr>
        <w:pStyle w:val="ListNumber"/>
        <w:spacing w:after="40"/>
      </w:pPr>
      <w:r>
        <w:t>Install pile jackets within available tidal windows.</w:t>
      </w:r>
    </w:p>
    <w:p>
      <w:pPr>
        <w:pStyle w:val="ListNumber"/>
        <w:spacing w:after="40"/>
      </w:pPr>
      <w:r>
        <w:t>Dismantle and relocate the scaffold and repeat at the next bent.</w:t>
      </w:r>
    </w:p>
    <w:p>
      <w:pPr>
        <w:pStyle w:val="Heading2"/>
        <w:spacing w:before="200" w:after="80"/>
      </w:pPr>
      <w:r>
        <w:t>3.2 Claimed progress, March to July 2026</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448"/>
            <w:vAlign w:val="center"/>
            <w:shd w:fill="E8751A"/>
          </w:tcPr>
          <w:p>
            <w:pPr>
              <w:jc w:val="left"/>
            </w:pPr>
            <w:r/>
            <w:r>
              <w:rPr>
                <w:rFonts w:ascii="Calibri" w:hAnsi="Calibri"/>
                <w:b/>
                <w:color w:val="FFFFFF"/>
                <w:sz w:val="16"/>
              </w:rPr>
              <w:t>Stage</w:t>
            </w:r>
          </w:p>
        </w:tc>
        <w:tc>
          <w:tcPr>
            <w:tcW w:type="dxa" w:w="1728"/>
            <w:vAlign w:val="center"/>
            <w:shd w:fill="E8751A"/>
          </w:tcPr>
          <w:p>
            <w:pPr>
              <w:jc w:val="left"/>
            </w:pPr>
            <w:r/>
            <w:r>
              <w:rPr>
                <w:rFonts w:ascii="Calibri" w:hAnsi="Calibri"/>
                <w:b/>
                <w:color w:val="FFFFFF"/>
                <w:sz w:val="16"/>
              </w:rPr>
              <w:t>Claimed total</w:t>
            </w:r>
          </w:p>
        </w:tc>
        <w:tc>
          <w:tcPr>
            <w:tcW w:type="dxa" w:w="1728"/>
            <w:vAlign w:val="center"/>
            <w:shd w:fill="E8751A"/>
          </w:tcPr>
          <w:p>
            <w:pPr>
              <w:jc w:val="left"/>
            </w:pPr>
            <w:r/>
            <w:r>
              <w:rPr>
                <w:rFonts w:ascii="Calibri" w:hAnsi="Calibri"/>
                <w:b/>
                <w:color w:val="FFFFFF"/>
                <w:sz w:val="16"/>
              </w:rPr>
              <w:t>Calendar rate</w:t>
            </w:r>
          </w:p>
        </w:tc>
        <w:tc>
          <w:tcPr>
            <w:tcW w:type="dxa" w:w="1440"/>
            <w:vAlign w:val="center"/>
            <w:shd w:fill="E8751A"/>
          </w:tcPr>
          <w:p>
            <w:pPr>
              <w:jc w:val="left"/>
            </w:pPr>
            <w:r/>
            <w:r>
              <w:rPr>
                <w:rFonts w:ascii="Calibri" w:hAnsi="Calibri"/>
                <w:b/>
                <w:color w:val="FFFFFF"/>
                <w:sz w:val="16"/>
              </w:rPr>
              <w:t>Best month</w:t>
            </w:r>
          </w:p>
        </w:tc>
        <w:tc>
          <w:tcPr>
            <w:tcW w:type="dxa" w:w="3744"/>
            <w:vAlign w:val="center"/>
            <w:shd w:fill="E8751A"/>
          </w:tcPr>
          <w:p>
            <w:pPr>
              <w:jc w:val="left"/>
            </w:pPr>
            <w:r/>
            <w:r>
              <w:rPr>
                <w:rFonts w:ascii="Calibri" w:hAnsi="Calibri"/>
                <w:b/>
                <w:color w:val="FFFFFF"/>
                <w:sz w:val="16"/>
              </w:rPr>
              <w:t>Interpretation</w:t>
            </w:r>
          </w:p>
        </w:tc>
      </w:tr>
      <w:tr>
        <w:tc>
          <w:tcPr>
            <w:tcW w:type="dxa" w:w="2448"/>
            <w:vAlign w:val="center"/>
            <w:shd w:fill="F2F2F2"/>
          </w:tcPr>
          <w:p>
            <w:pPr>
              <w:jc w:val="left"/>
            </w:pPr>
            <w:r/>
            <w:r>
              <w:rPr>
                <w:rFonts w:ascii="Calibri" w:hAnsi="Calibri"/>
                <w:b w:val="0"/>
                <w:sz w:val="16"/>
              </w:rPr>
              <w:t>Safe access</w:t>
            </w:r>
          </w:p>
        </w:tc>
        <w:tc>
          <w:tcPr>
            <w:tcW w:type="dxa" w:w="1728"/>
            <w:vAlign w:val="center"/>
            <w:shd w:fill="F2F2F2"/>
          </w:tcPr>
          <w:p>
            <w:pPr>
              <w:jc w:val="left"/>
            </w:pPr>
            <w:r/>
            <w:r>
              <w:rPr>
                <w:rFonts w:ascii="Calibri" w:hAnsi="Calibri"/>
                <w:b w:val="0"/>
                <w:sz w:val="16"/>
              </w:rPr>
              <w:t>7.9 bent eq</w:t>
            </w:r>
          </w:p>
        </w:tc>
        <w:tc>
          <w:tcPr>
            <w:tcW w:type="dxa" w:w="1728"/>
            <w:vAlign w:val="center"/>
            <w:shd w:fill="F2F2F2"/>
          </w:tcPr>
          <w:p>
            <w:pPr>
              <w:jc w:val="left"/>
            </w:pPr>
            <w:r/>
            <w:r>
              <w:rPr>
                <w:rFonts w:ascii="Calibri" w:hAnsi="Calibri"/>
                <w:b w:val="0"/>
                <w:sz w:val="16"/>
              </w:rPr>
              <w:t>0.36/week</w:t>
            </w:r>
          </w:p>
        </w:tc>
        <w:tc>
          <w:tcPr>
            <w:tcW w:type="dxa" w:w="1440"/>
            <w:vAlign w:val="center"/>
            <w:shd w:fill="F2F2F2"/>
          </w:tcPr>
          <w:p>
            <w:pPr>
              <w:jc w:val="left"/>
            </w:pPr>
            <w:r/>
            <w:r>
              <w:rPr>
                <w:rFonts w:ascii="Calibri" w:hAnsi="Calibri"/>
                <w:b w:val="0"/>
                <w:sz w:val="16"/>
              </w:rPr>
              <w:t>3.2</w:t>
            </w:r>
          </w:p>
        </w:tc>
        <w:tc>
          <w:tcPr>
            <w:tcW w:type="dxa" w:w="3744"/>
            <w:vAlign w:val="center"/>
            <w:shd w:fill="F2F2F2"/>
          </w:tcPr>
          <w:p>
            <w:pPr>
              <w:jc w:val="left"/>
            </w:pPr>
            <w:r/>
            <w:r>
              <w:rPr>
                <w:rFonts w:ascii="Calibri" w:hAnsi="Calibri"/>
                <w:b w:val="0"/>
                <w:sz w:val="16"/>
              </w:rPr>
              <w:t>Not completed bents</w:t>
            </w:r>
          </w:p>
        </w:tc>
      </w:tr>
      <w:tr>
        <w:tc>
          <w:tcPr>
            <w:tcW w:type="dxa" w:w="2448"/>
            <w:vAlign w:val="center"/>
          </w:tcPr>
          <w:p>
            <w:pPr>
              <w:jc w:val="left"/>
            </w:pPr>
            <w:r/>
            <w:r>
              <w:rPr>
                <w:rFonts w:ascii="Calibri" w:hAnsi="Calibri"/>
                <w:b w:val="0"/>
                <w:sz w:val="16"/>
              </w:rPr>
              <w:t>Inspection and UT</w:t>
            </w:r>
          </w:p>
        </w:tc>
        <w:tc>
          <w:tcPr>
            <w:tcW w:type="dxa" w:w="1728"/>
            <w:vAlign w:val="center"/>
          </w:tcPr>
          <w:p>
            <w:pPr>
              <w:jc w:val="left"/>
            </w:pPr>
            <w:r/>
            <w:r>
              <w:rPr>
                <w:rFonts w:ascii="Calibri" w:hAnsi="Calibri"/>
                <w:b w:val="0"/>
                <w:sz w:val="16"/>
              </w:rPr>
              <w:t>9.0 bent eq</w:t>
            </w:r>
          </w:p>
        </w:tc>
        <w:tc>
          <w:tcPr>
            <w:tcW w:type="dxa" w:w="1728"/>
            <w:vAlign w:val="center"/>
          </w:tcPr>
          <w:p>
            <w:pPr>
              <w:jc w:val="left"/>
            </w:pPr>
            <w:r/>
            <w:r>
              <w:rPr>
                <w:rFonts w:ascii="Calibri" w:hAnsi="Calibri"/>
                <w:b w:val="0"/>
                <w:sz w:val="16"/>
              </w:rPr>
              <w:t>0.41/week</w:t>
            </w:r>
          </w:p>
        </w:tc>
        <w:tc>
          <w:tcPr>
            <w:tcW w:type="dxa" w:w="1440"/>
            <w:vAlign w:val="center"/>
          </w:tcPr>
          <w:p>
            <w:pPr>
              <w:jc w:val="left"/>
            </w:pPr>
            <w:r/>
            <w:r>
              <w:rPr>
                <w:rFonts w:ascii="Calibri" w:hAnsi="Calibri"/>
                <w:b w:val="0"/>
                <w:sz w:val="16"/>
              </w:rPr>
              <w:t>5.0</w:t>
            </w:r>
          </w:p>
        </w:tc>
        <w:tc>
          <w:tcPr>
            <w:tcW w:type="dxa" w:w="3744"/>
            <w:vAlign w:val="center"/>
          </w:tcPr>
          <w:p>
            <w:pPr>
              <w:jc w:val="left"/>
            </w:pPr>
            <w:r/>
            <w:r>
              <w:rPr>
                <w:rFonts w:ascii="Calibri" w:hAnsi="Calibri"/>
                <w:b w:val="0"/>
                <w:sz w:val="16"/>
              </w:rPr>
              <w:t>Payment-stage equivalent</w:t>
            </w:r>
          </w:p>
        </w:tc>
      </w:tr>
      <w:tr>
        <w:tc>
          <w:tcPr>
            <w:tcW w:type="dxa" w:w="2448"/>
            <w:vAlign w:val="center"/>
            <w:shd w:fill="F2F2F2"/>
          </w:tcPr>
          <w:p>
            <w:pPr>
              <w:jc w:val="left"/>
            </w:pPr>
            <w:r/>
            <w:r>
              <w:rPr>
                <w:rFonts w:ascii="Calibri" w:hAnsi="Calibri"/>
                <w:b w:val="0"/>
                <w:sz w:val="16"/>
              </w:rPr>
              <w:t>Blast and coating</w:t>
            </w:r>
          </w:p>
        </w:tc>
        <w:tc>
          <w:tcPr>
            <w:tcW w:type="dxa" w:w="1728"/>
            <w:vAlign w:val="center"/>
            <w:shd w:fill="F2F2F2"/>
          </w:tcPr>
          <w:p>
            <w:pPr>
              <w:jc w:val="left"/>
            </w:pPr>
            <w:r/>
            <w:r>
              <w:rPr>
                <w:rFonts w:ascii="Calibri" w:hAnsi="Calibri"/>
                <w:b w:val="0"/>
                <w:sz w:val="16"/>
              </w:rPr>
              <w:t>7.0 bent eq</w:t>
            </w:r>
          </w:p>
        </w:tc>
        <w:tc>
          <w:tcPr>
            <w:tcW w:type="dxa" w:w="1728"/>
            <w:vAlign w:val="center"/>
            <w:shd w:fill="F2F2F2"/>
          </w:tcPr>
          <w:p>
            <w:pPr>
              <w:jc w:val="left"/>
            </w:pPr>
            <w:r/>
            <w:r>
              <w:rPr>
                <w:rFonts w:ascii="Calibri" w:hAnsi="Calibri"/>
                <w:b w:val="0"/>
                <w:sz w:val="16"/>
              </w:rPr>
              <w:t>0.32/week</w:t>
            </w:r>
          </w:p>
        </w:tc>
        <w:tc>
          <w:tcPr>
            <w:tcW w:type="dxa" w:w="1440"/>
            <w:vAlign w:val="center"/>
            <w:shd w:fill="F2F2F2"/>
          </w:tcPr>
          <w:p>
            <w:pPr>
              <w:jc w:val="left"/>
            </w:pPr>
            <w:r/>
            <w:r>
              <w:rPr>
                <w:rFonts w:ascii="Calibri" w:hAnsi="Calibri"/>
                <w:b w:val="0"/>
                <w:sz w:val="16"/>
              </w:rPr>
              <w:t>3.5</w:t>
            </w:r>
          </w:p>
        </w:tc>
        <w:tc>
          <w:tcPr>
            <w:tcW w:type="dxa" w:w="3744"/>
            <w:vAlign w:val="center"/>
            <w:shd w:fill="F2F2F2"/>
          </w:tcPr>
          <w:p>
            <w:pPr>
              <w:jc w:val="left"/>
            </w:pPr>
            <w:r/>
            <w:r>
              <w:rPr>
                <w:rFonts w:ascii="Calibri" w:hAnsi="Calibri"/>
                <w:b w:val="0"/>
                <w:sz w:val="16"/>
              </w:rPr>
              <w:t>Payment-stage equivalent</w:t>
            </w:r>
          </w:p>
        </w:tc>
      </w:tr>
      <w:tr>
        <w:tc>
          <w:tcPr>
            <w:tcW w:type="dxa" w:w="2448"/>
            <w:vAlign w:val="center"/>
          </w:tcPr>
          <w:p>
            <w:pPr>
              <w:jc w:val="left"/>
            </w:pPr>
            <w:r/>
            <w:r>
              <w:rPr>
                <w:rFonts w:ascii="Calibri" w:hAnsi="Calibri"/>
                <w:b w:val="0"/>
                <w:sz w:val="16"/>
              </w:rPr>
              <w:t>Pile jackets</w:t>
            </w:r>
          </w:p>
        </w:tc>
        <w:tc>
          <w:tcPr>
            <w:tcW w:type="dxa" w:w="1728"/>
            <w:vAlign w:val="center"/>
          </w:tcPr>
          <w:p>
            <w:pPr>
              <w:jc w:val="left"/>
            </w:pPr>
            <w:r/>
            <w:r>
              <w:rPr>
                <w:rFonts w:ascii="Calibri" w:hAnsi="Calibri"/>
                <w:b w:val="0"/>
                <w:sz w:val="16"/>
              </w:rPr>
              <w:t>12.0 pile eq</w:t>
            </w:r>
          </w:p>
        </w:tc>
        <w:tc>
          <w:tcPr>
            <w:tcW w:type="dxa" w:w="1728"/>
            <w:vAlign w:val="center"/>
          </w:tcPr>
          <w:p>
            <w:pPr>
              <w:jc w:val="left"/>
            </w:pPr>
            <w:r/>
            <w:r>
              <w:rPr>
                <w:rFonts w:ascii="Calibri" w:hAnsi="Calibri"/>
                <w:b w:val="0"/>
                <w:sz w:val="16"/>
              </w:rPr>
              <w:t>0.55/week</w:t>
            </w:r>
          </w:p>
        </w:tc>
        <w:tc>
          <w:tcPr>
            <w:tcW w:type="dxa" w:w="1440"/>
            <w:vAlign w:val="center"/>
          </w:tcPr>
          <w:p>
            <w:pPr>
              <w:jc w:val="left"/>
            </w:pPr>
            <w:r/>
            <w:r>
              <w:rPr>
                <w:rFonts w:ascii="Calibri" w:hAnsi="Calibri"/>
                <w:b w:val="0"/>
                <w:sz w:val="16"/>
              </w:rPr>
              <w:t>7.3</w:t>
            </w:r>
          </w:p>
        </w:tc>
        <w:tc>
          <w:tcPr>
            <w:tcW w:type="dxa" w:w="3744"/>
            <w:vAlign w:val="center"/>
          </w:tcPr>
          <w:p>
            <w:pPr>
              <w:jc w:val="left"/>
            </w:pPr>
            <w:r/>
            <w:r>
              <w:rPr>
                <w:rFonts w:ascii="Calibri" w:hAnsi="Calibri"/>
                <w:b w:val="0"/>
                <w:sz w:val="16"/>
              </w:rPr>
              <w:t>Pile equivalent</w:t>
            </w:r>
          </w:p>
        </w:tc>
      </w:tr>
      <w:tr>
        <w:tc>
          <w:tcPr>
            <w:tcW w:type="dxa" w:w="2448"/>
            <w:vAlign w:val="center"/>
            <w:shd w:fill="F2F2F2"/>
          </w:tcPr>
          <w:p>
            <w:pPr>
              <w:jc w:val="left"/>
            </w:pPr>
            <w:r/>
            <w:r>
              <w:rPr>
                <w:rFonts w:ascii="Calibri" w:hAnsi="Calibri"/>
                <w:b w:val="0"/>
                <w:sz w:val="16"/>
              </w:rPr>
              <w:t>Weld preparation and welding</w:t>
            </w:r>
          </w:p>
        </w:tc>
        <w:tc>
          <w:tcPr>
            <w:tcW w:type="dxa" w:w="1728"/>
            <w:vAlign w:val="center"/>
            <w:shd w:fill="F2F2F2"/>
          </w:tcPr>
          <w:p>
            <w:pPr>
              <w:jc w:val="left"/>
            </w:pPr>
            <w:r/>
            <w:r>
              <w:rPr>
                <w:rFonts w:ascii="Calibri" w:hAnsi="Calibri"/>
                <w:b w:val="0"/>
                <w:sz w:val="16"/>
              </w:rPr>
              <w:t>473.0 lm</w:t>
            </w:r>
          </w:p>
        </w:tc>
        <w:tc>
          <w:tcPr>
            <w:tcW w:type="dxa" w:w="1728"/>
            <w:vAlign w:val="center"/>
            <w:shd w:fill="F2F2F2"/>
          </w:tcPr>
          <w:p>
            <w:pPr>
              <w:jc w:val="left"/>
            </w:pPr>
            <w:r/>
            <w:r>
              <w:rPr>
                <w:rFonts w:ascii="Calibri" w:hAnsi="Calibri"/>
                <w:b w:val="0"/>
                <w:sz w:val="16"/>
              </w:rPr>
              <w:t>21.6 lm/week</w:t>
            </w:r>
          </w:p>
        </w:tc>
        <w:tc>
          <w:tcPr>
            <w:tcW w:type="dxa" w:w="1440"/>
            <w:vAlign w:val="center"/>
            <w:shd w:fill="F2F2F2"/>
          </w:tcPr>
          <w:p>
            <w:pPr>
              <w:jc w:val="left"/>
            </w:pPr>
            <w:r/>
            <w:r>
              <w:rPr>
                <w:rFonts w:ascii="Calibri" w:hAnsi="Calibri"/>
                <w:b w:val="0"/>
                <w:sz w:val="16"/>
              </w:rPr>
              <w:t>202.0 lm</w:t>
            </w:r>
          </w:p>
        </w:tc>
        <w:tc>
          <w:tcPr>
            <w:tcW w:type="dxa" w:w="3744"/>
            <w:vAlign w:val="center"/>
            <w:shd w:fill="F2F2F2"/>
          </w:tcPr>
          <w:p>
            <w:pPr>
              <w:jc w:val="left"/>
            </w:pPr>
            <w:r/>
            <w:r>
              <w:rPr>
                <w:rFonts w:ascii="Calibri" w:hAnsi="Calibri"/>
                <w:b w:val="0"/>
                <w:sz w:val="16"/>
              </w:rPr>
              <w:t>10 mm share 61.1%</w:t>
            </w:r>
          </w:p>
        </w:tc>
      </w:tr>
    </w:tbl>
    <w:p/>
    <w:p>
      <w:pPr>
        <w:jc w:val="center"/>
      </w:pPr>
      <w:r>
        <w:drawing>
          <wp:inline xmlns:a="http://schemas.openxmlformats.org/drawingml/2006/main" xmlns:pic="http://schemas.openxmlformats.org/drawingml/2006/picture">
            <wp:extent cx="5852160" cy="3121152"/>
            <wp:docPr id="2" name="Picture 2"/>
            <wp:cNvGraphicFramePr>
              <a:graphicFrameLocks noChangeAspect="1"/>
            </wp:cNvGraphicFramePr>
            <a:graphic>
              <a:graphicData uri="http://schemas.openxmlformats.org/drawingml/2006/picture">
                <pic:pic>
                  <pic:nvPicPr>
                    <pic:cNvPr id="0" name="current_stage_rates.png"/>
                    <pic:cNvPicPr/>
                  </pic:nvPicPr>
                  <pic:blipFill>
                    <a:blip r:embed="rId12"/>
                    <a:stretch>
                      <a:fillRect/>
                    </a:stretch>
                  </pic:blipFill>
                  <pic:spPr>
                    <a:xfrm>
                      <a:off x="0" y="0"/>
                      <a:ext cx="5852160" cy="3121152"/>
                    </a:xfrm>
                    <a:prstGeom prst="rect"/>
                  </pic:spPr>
                </pic:pic>
              </a:graphicData>
            </a:graphic>
          </wp:inline>
        </w:drawing>
      </w:r>
    </w:p>
    <w:p>
      <w:pPr>
        <w:jc w:val="center"/>
      </w:pPr>
      <w:r>
        <w:rPr>
          <w:i/>
          <w:color w:val="646464"/>
          <w:sz w:val="16"/>
        </w:rPr>
        <w:t>Figure 1. Current claimed stage rates. Stage equivalents are not QA-closed bents.</w:t>
      </w:r>
    </w:p>
    <w:p>
      <w:pPr>
        <w:pStyle w:val="Heading2"/>
        <w:spacing w:before="200" w:after="80"/>
      </w:pPr>
      <w:r>
        <w:t>3.3 Current cycle and constraints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4752"/>
            <w:vAlign w:val="center"/>
            <w:shd w:fill="E8751A"/>
          </w:tcPr>
          <w:p>
            <w:pPr>
              <w:jc w:val="left"/>
            </w:pPr>
            <w:r/>
            <w:r>
              <w:rPr>
                <w:rFonts w:ascii="Calibri" w:hAnsi="Calibri"/>
                <w:b/>
                <w:color w:val="FFFFFF"/>
                <w:sz w:val="17"/>
              </w:rPr>
              <w:t>Activity</w:t>
            </w:r>
          </w:p>
        </w:tc>
        <w:tc>
          <w:tcPr>
            <w:tcW w:type="dxa" w:w="1584"/>
            <w:vAlign w:val="center"/>
            <w:shd w:fill="E8751A"/>
          </w:tcPr>
          <w:p>
            <w:pPr>
              <w:jc w:val="left"/>
            </w:pPr>
            <w:r/>
            <w:r>
              <w:rPr>
                <w:rFonts w:ascii="Calibri" w:hAnsi="Calibri"/>
                <w:b/>
                <w:color w:val="FFFFFF"/>
                <w:sz w:val="17"/>
              </w:rPr>
              <w:t>Range, days</w:t>
            </w:r>
          </w:p>
        </w:tc>
        <w:tc>
          <w:tcPr>
            <w:tcW w:type="dxa" w:w="1440"/>
            <w:vAlign w:val="center"/>
            <w:shd w:fill="E8751A"/>
          </w:tcPr>
          <w:p>
            <w:pPr>
              <w:jc w:val="left"/>
            </w:pPr>
            <w:r/>
            <w:r>
              <w:rPr>
                <w:rFonts w:ascii="Calibri" w:hAnsi="Calibri"/>
                <w:b/>
                <w:color w:val="FFFFFF"/>
                <w:sz w:val="17"/>
              </w:rPr>
              <w:t>Central, days</w:t>
            </w:r>
          </w:p>
        </w:tc>
        <w:tc>
          <w:tcPr>
            <w:tcW w:type="dxa" w:w="3168"/>
            <w:vAlign w:val="center"/>
            <w:shd w:fill="E8751A"/>
          </w:tcPr>
          <w:p>
            <w:pPr>
              <w:jc w:val="left"/>
            </w:pPr>
            <w:r/>
            <w:r>
              <w:rPr>
                <w:rFonts w:ascii="Calibri" w:hAnsi="Calibri"/>
                <w:b/>
                <w:color w:val="FFFFFF"/>
                <w:sz w:val="17"/>
              </w:rPr>
              <w:t>Character</w:t>
            </w:r>
          </w:p>
        </w:tc>
      </w:tr>
      <w:tr>
        <w:tc>
          <w:tcPr>
            <w:tcW w:type="dxa" w:w="4752"/>
            <w:vAlign w:val="center"/>
            <w:shd w:fill="F2F2F2"/>
          </w:tcPr>
          <w:p>
            <w:pPr>
              <w:jc w:val="left"/>
            </w:pPr>
            <w:r/>
            <w:r>
              <w:rPr>
                <w:rFonts w:ascii="Calibri" w:hAnsi="Calibri"/>
                <w:b w:val="0"/>
                <w:sz w:val="17"/>
              </w:rPr>
              <w:t>Scaffold erection and encapsulation</w:t>
            </w:r>
          </w:p>
        </w:tc>
        <w:tc>
          <w:tcPr>
            <w:tcW w:type="dxa" w:w="1584"/>
            <w:vAlign w:val="center"/>
            <w:shd w:fill="F2F2F2"/>
          </w:tcPr>
          <w:p>
            <w:pPr>
              <w:jc w:val="left"/>
            </w:pPr>
            <w:r/>
            <w:r>
              <w:rPr>
                <w:rFonts w:ascii="Calibri" w:hAnsi="Calibri"/>
                <w:b w:val="0"/>
                <w:sz w:val="17"/>
              </w:rPr>
              <w:t>2 to 3</w:t>
            </w:r>
          </w:p>
        </w:tc>
        <w:tc>
          <w:tcPr>
            <w:tcW w:type="dxa" w:w="1440"/>
            <w:vAlign w:val="center"/>
            <w:shd w:fill="F2F2F2"/>
          </w:tcPr>
          <w:p>
            <w:pPr>
              <w:jc w:val="left"/>
            </w:pPr>
            <w:r/>
            <w:r>
              <w:rPr>
                <w:rFonts w:ascii="Calibri" w:hAnsi="Calibri"/>
                <w:b w:val="0"/>
                <w:sz w:val="17"/>
              </w:rPr>
              <w:t>2.5</w:t>
            </w:r>
          </w:p>
        </w:tc>
        <w:tc>
          <w:tcPr>
            <w:tcW w:type="dxa" w:w="3168"/>
            <w:vAlign w:val="center"/>
            <w:shd w:fill="F2F2F2"/>
          </w:tcPr>
          <w:p>
            <w:pPr>
              <w:jc w:val="left"/>
            </w:pPr>
            <w:r/>
            <w:r>
              <w:rPr>
                <w:rFonts w:ascii="Calibri" w:hAnsi="Calibri"/>
                <w:b w:val="0"/>
                <w:sz w:val="17"/>
              </w:rPr>
              <w:t>Access handling</w:t>
            </w:r>
          </w:p>
        </w:tc>
      </w:tr>
      <w:tr>
        <w:tc>
          <w:tcPr>
            <w:tcW w:type="dxa" w:w="4752"/>
            <w:vAlign w:val="center"/>
          </w:tcPr>
          <w:p>
            <w:pPr>
              <w:jc w:val="left"/>
            </w:pPr>
            <w:r/>
            <w:r>
              <w:rPr>
                <w:rFonts w:ascii="Calibri" w:hAnsi="Calibri"/>
                <w:b w:val="0"/>
                <w:sz w:val="17"/>
              </w:rPr>
              <w:t>High pressure wash, inspection, UT</w:t>
            </w:r>
          </w:p>
        </w:tc>
        <w:tc>
          <w:tcPr>
            <w:tcW w:type="dxa" w:w="1584"/>
            <w:vAlign w:val="center"/>
          </w:tcPr>
          <w:p>
            <w:pPr>
              <w:jc w:val="left"/>
            </w:pPr>
            <w:r/>
            <w:r>
              <w:rPr>
                <w:rFonts w:ascii="Calibri" w:hAnsi="Calibri"/>
                <w:b w:val="0"/>
                <w:sz w:val="17"/>
              </w:rPr>
              <w:t>1 to 1</w:t>
            </w:r>
          </w:p>
        </w:tc>
        <w:tc>
          <w:tcPr>
            <w:tcW w:type="dxa" w:w="1440"/>
            <w:vAlign w:val="center"/>
          </w:tcPr>
          <w:p>
            <w:pPr>
              <w:jc w:val="left"/>
            </w:pPr>
            <w:r/>
            <w:r>
              <w:rPr>
                <w:rFonts w:ascii="Calibri" w:hAnsi="Calibri"/>
                <w:b w:val="0"/>
                <w:sz w:val="17"/>
              </w:rPr>
              <w:t>1</w:t>
            </w:r>
          </w:p>
        </w:tc>
        <w:tc>
          <w:tcPr>
            <w:tcW w:type="dxa" w:w="3168"/>
            <w:vAlign w:val="center"/>
          </w:tcPr>
          <w:p>
            <w:pPr>
              <w:jc w:val="left"/>
            </w:pPr>
            <w:r/>
            <w:r>
              <w:rPr>
                <w:rFonts w:ascii="Calibri" w:hAnsi="Calibri"/>
                <w:b w:val="0"/>
                <w:sz w:val="17"/>
              </w:rPr>
              <w:t>Productive</w:t>
            </w:r>
          </w:p>
        </w:tc>
      </w:tr>
      <w:tr>
        <w:tc>
          <w:tcPr>
            <w:tcW w:type="dxa" w:w="4752"/>
            <w:vAlign w:val="center"/>
            <w:shd w:fill="F2F2F2"/>
          </w:tcPr>
          <w:p>
            <w:pPr>
              <w:jc w:val="left"/>
            </w:pPr>
            <w:r/>
            <w:r>
              <w:rPr>
                <w:rFonts w:ascii="Calibri" w:hAnsi="Calibri"/>
                <w:b w:val="0"/>
                <w:sz w:val="17"/>
              </w:rPr>
              <w:t>Weld repairs</w:t>
            </w:r>
          </w:p>
        </w:tc>
        <w:tc>
          <w:tcPr>
            <w:tcW w:type="dxa" w:w="1584"/>
            <w:vAlign w:val="center"/>
            <w:shd w:fill="F2F2F2"/>
          </w:tcPr>
          <w:p>
            <w:pPr>
              <w:jc w:val="left"/>
            </w:pPr>
            <w:r/>
            <w:r>
              <w:rPr>
                <w:rFonts w:ascii="Calibri" w:hAnsi="Calibri"/>
                <w:b w:val="0"/>
                <w:sz w:val="17"/>
              </w:rPr>
              <w:t>2 to 7</w:t>
            </w:r>
          </w:p>
        </w:tc>
        <w:tc>
          <w:tcPr>
            <w:tcW w:type="dxa" w:w="1440"/>
            <w:vAlign w:val="center"/>
            <w:shd w:fill="F2F2F2"/>
          </w:tcPr>
          <w:p>
            <w:pPr>
              <w:jc w:val="left"/>
            </w:pPr>
            <w:r/>
            <w:r>
              <w:rPr>
                <w:rFonts w:ascii="Calibri" w:hAnsi="Calibri"/>
                <w:b w:val="0"/>
                <w:sz w:val="17"/>
              </w:rPr>
              <w:t>4.5</w:t>
            </w:r>
          </w:p>
        </w:tc>
        <w:tc>
          <w:tcPr>
            <w:tcW w:type="dxa" w:w="3168"/>
            <w:vAlign w:val="center"/>
            <w:shd w:fill="F2F2F2"/>
          </w:tcPr>
          <w:p>
            <w:pPr>
              <w:jc w:val="left"/>
            </w:pPr>
            <w:r/>
            <w:r>
              <w:rPr>
                <w:rFonts w:ascii="Calibri" w:hAnsi="Calibri"/>
                <w:b w:val="0"/>
                <w:sz w:val="17"/>
              </w:rPr>
              <w:t>Productive, variable</w:t>
            </w:r>
          </w:p>
        </w:tc>
      </w:tr>
      <w:tr>
        <w:tc>
          <w:tcPr>
            <w:tcW w:type="dxa" w:w="4752"/>
            <w:vAlign w:val="center"/>
          </w:tcPr>
          <w:p>
            <w:pPr>
              <w:jc w:val="left"/>
            </w:pPr>
            <w:r/>
            <w:r>
              <w:rPr>
                <w:rFonts w:ascii="Calibri" w:hAnsi="Calibri"/>
                <w:b w:val="0"/>
                <w:sz w:val="17"/>
              </w:rPr>
              <w:t>Repair approval hold</w:t>
            </w:r>
          </w:p>
        </w:tc>
        <w:tc>
          <w:tcPr>
            <w:tcW w:type="dxa" w:w="1584"/>
            <w:vAlign w:val="center"/>
          </w:tcPr>
          <w:p>
            <w:pPr>
              <w:jc w:val="left"/>
            </w:pPr>
            <w:r/>
            <w:r>
              <w:rPr>
                <w:rFonts w:ascii="Calibri" w:hAnsi="Calibri"/>
                <w:b w:val="0"/>
                <w:sz w:val="17"/>
              </w:rPr>
              <w:t>3 to 3</w:t>
            </w:r>
          </w:p>
        </w:tc>
        <w:tc>
          <w:tcPr>
            <w:tcW w:type="dxa" w:w="1440"/>
            <w:vAlign w:val="center"/>
          </w:tcPr>
          <w:p>
            <w:pPr>
              <w:jc w:val="left"/>
            </w:pPr>
            <w:r/>
            <w:r>
              <w:rPr>
                <w:rFonts w:ascii="Calibri" w:hAnsi="Calibri"/>
                <w:b w:val="0"/>
                <w:sz w:val="17"/>
              </w:rPr>
              <w:t>3</w:t>
            </w:r>
          </w:p>
        </w:tc>
        <w:tc>
          <w:tcPr>
            <w:tcW w:type="dxa" w:w="3168"/>
            <w:vAlign w:val="center"/>
          </w:tcPr>
          <w:p>
            <w:pPr>
              <w:jc w:val="left"/>
            </w:pPr>
            <w:r/>
            <w:r>
              <w:rPr>
                <w:rFonts w:ascii="Calibri" w:hAnsi="Calibri"/>
                <w:b w:val="0"/>
                <w:sz w:val="17"/>
              </w:rPr>
              <w:t>Waiting</w:t>
            </w:r>
          </w:p>
        </w:tc>
      </w:tr>
      <w:tr>
        <w:tc>
          <w:tcPr>
            <w:tcW w:type="dxa" w:w="4752"/>
            <w:vAlign w:val="center"/>
            <w:shd w:fill="F2F2F2"/>
          </w:tcPr>
          <w:p>
            <w:pPr>
              <w:jc w:val="left"/>
            </w:pPr>
            <w:r/>
            <w:r>
              <w:rPr>
                <w:rFonts w:ascii="Calibri" w:hAnsi="Calibri"/>
                <w:b w:val="0"/>
                <w:sz w:val="17"/>
              </w:rPr>
              <w:t>Abrasive blast and two coats</w:t>
            </w:r>
          </w:p>
        </w:tc>
        <w:tc>
          <w:tcPr>
            <w:tcW w:type="dxa" w:w="1584"/>
            <w:vAlign w:val="center"/>
            <w:shd w:fill="F2F2F2"/>
          </w:tcPr>
          <w:p>
            <w:pPr>
              <w:jc w:val="left"/>
            </w:pPr>
            <w:r/>
            <w:r>
              <w:rPr>
                <w:rFonts w:ascii="Calibri" w:hAnsi="Calibri"/>
                <w:b w:val="0"/>
                <w:sz w:val="17"/>
              </w:rPr>
              <w:t>3 to 4</w:t>
            </w:r>
          </w:p>
        </w:tc>
        <w:tc>
          <w:tcPr>
            <w:tcW w:type="dxa" w:w="1440"/>
            <w:vAlign w:val="center"/>
            <w:shd w:fill="F2F2F2"/>
          </w:tcPr>
          <w:p>
            <w:pPr>
              <w:jc w:val="left"/>
            </w:pPr>
            <w:r/>
            <w:r>
              <w:rPr>
                <w:rFonts w:ascii="Calibri" w:hAnsi="Calibri"/>
                <w:b w:val="0"/>
                <w:sz w:val="17"/>
              </w:rPr>
              <w:t>3.5</w:t>
            </w:r>
          </w:p>
        </w:tc>
        <w:tc>
          <w:tcPr>
            <w:tcW w:type="dxa" w:w="3168"/>
            <w:vAlign w:val="center"/>
            <w:shd w:fill="F2F2F2"/>
          </w:tcPr>
          <w:p>
            <w:pPr>
              <w:jc w:val="left"/>
            </w:pPr>
            <w:r/>
            <w:r>
              <w:rPr>
                <w:rFonts w:ascii="Calibri" w:hAnsi="Calibri"/>
                <w:b w:val="0"/>
                <w:sz w:val="17"/>
              </w:rPr>
              <w:t>Productive</w:t>
            </w:r>
          </w:p>
        </w:tc>
      </w:tr>
      <w:tr>
        <w:tc>
          <w:tcPr>
            <w:tcW w:type="dxa" w:w="4752"/>
            <w:vAlign w:val="center"/>
          </w:tcPr>
          <w:p>
            <w:pPr>
              <w:jc w:val="left"/>
            </w:pPr>
            <w:r/>
            <w:r>
              <w:rPr>
                <w:rFonts w:ascii="Calibri" w:hAnsi="Calibri"/>
                <w:b w:val="0"/>
                <w:sz w:val="17"/>
              </w:rPr>
              <w:t>Pile jacket installation</w:t>
            </w:r>
          </w:p>
        </w:tc>
        <w:tc>
          <w:tcPr>
            <w:tcW w:type="dxa" w:w="1584"/>
            <w:vAlign w:val="center"/>
          </w:tcPr>
          <w:p>
            <w:pPr>
              <w:jc w:val="left"/>
            </w:pPr>
            <w:r/>
            <w:r>
              <w:rPr>
                <w:rFonts w:ascii="Calibri" w:hAnsi="Calibri"/>
                <w:b w:val="0"/>
                <w:sz w:val="17"/>
              </w:rPr>
              <w:t>0 to 2</w:t>
            </w:r>
          </w:p>
        </w:tc>
        <w:tc>
          <w:tcPr>
            <w:tcW w:type="dxa" w:w="1440"/>
            <w:vAlign w:val="center"/>
          </w:tcPr>
          <w:p>
            <w:pPr>
              <w:jc w:val="left"/>
            </w:pPr>
            <w:r/>
            <w:r>
              <w:rPr>
                <w:rFonts w:ascii="Calibri" w:hAnsi="Calibri"/>
                <w:b w:val="0"/>
                <w:sz w:val="17"/>
              </w:rPr>
              <w:t>1</w:t>
            </w:r>
          </w:p>
        </w:tc>
        <w:tc>
          <w:tcPr>
            <w:tcW w:type="dxa" w:w="3168"/>
            <w:vAlign w:val="center"/>
          </w:tcPr>
          <w:p>
            <w:pPr>
              <w:jc w:val="left"/>
            </w:pPr>
            <w:r/>
            <w:r>
              <w:rPr>
                <w:rFonts w:ascii="Calibri" w:hAnsi="Calibri"/>
                <w:b w:val="0"/>
                <w:sz w:val="17"/>
              </w:rPr>
              <w:t>Tide limited</w:t>
            </w:r>
          </w:p>
        </w:tc>
      </w:tr>
      <w:tr>
        <w:tc>
          <w:tcPr>
            <w:tcW w:type="dxa" w:w="4752"/>
            <w:vAlign w:val="center"/>
            <w:shd w:fill="F2F2F2"/>
          </w:tcPr>
          <w:p>
            <w:pPr>
              <w:jc w:val="left"/>
            </w:pPr>
            <w:r/>
            <w:r>
              <w:rPr>
                <w:rFonts w:ascii="Calibri" w:hAnsi="Calibri"/>
                <w:b w:val="0"/>
                <w:sz w:val="17"/>
              </w:rPr>
              <w:t>Scaffold strip and relocation</w:t>
            </w:r>
          </w:p>
        </w:tc>
        <w:tc>
          <w:tcPr>
            <w:tcW w:type="dxa" w:w="1584"/>
            <w:vAlign w:val="center"/>
            <w:shd w:fill="F2F2F2"/>
          </w:tcPr>
          <w:p>
            <w:pPr>
              <w:jc w:val="left"/>
            </w:pPr>
            <w:r/>
            <w:r>
              <w:rPr>
                <w:rFonts w:ascii="Calibri" w:hAnsi="Calibri"/>
                <w:b w:val="0"/>
                <w:sz w:val="17"/>
              </w:rPr>
              <w:t>1 to 2</w:t>
            </w:r>
          </w:p>
        </w:tc>
        <w:tc>
          <w:tcPr>
            <w:tcW w:type="dxa" w:w="1440"/>
            <w:vAlign w:val="center"/>
            <w:shd w:fill="F2F2F2"/>
          </w:tcPr>
          <w:p>
            <w:pPr>
              <w:jc w:val="left"/>
            </w:pPr>
            <w:r/>
            <w:r>
              <w:rPr>
                <w:rFonts w:ascii="Calibri" w:hAnsi="Calibri"/>
                <w:b w:val="0"/>
                <w:sz w:val="17"/>
              </w:rPr>
              <w:t>1.5</w:t>
            </w:r>
          </w:p>
        </w:tc>
        <w:tc>
          <w:tcPr>
            <w:tcW w:type="dxa" w:w="3168"/>
            <w:vAlign w:val="center"/>
            <w:shd w:fill="F2F2F2"/>
          </w:tcPr>
          <w:p>
            <w:pPr>
              <w:jc w:val="left"/>
            </w:pPr>
            <w:r/>
            <w:r>
              <w:rPr>
                <w:rFonts w:ascii="Calibri" w:hAnsi="Calibri"/>
                <w:b w:val="0"/>
                <w:sz w:val="17"/>
              </w:rPr>
              <w:t>Access handling</w:t>
            </w:r>
          </w:p>
        </w:tc>
      </w:tr>
    </w:tbl>
    <w:p/>
    <w:p>
      <w:pPr>
        <w:jc w:val="center"/>
      </w:pPr>
      <w:r>
        <w:drawing>
          <wp:inline xmlns:a="http://schemas.openxmlformats.org/drawingml/2006/main" xmlns:pic="http://schemas.openxmlformats.org/drawingml/2006/picture">
            <wp:extent cx="6035040" cy="2192404"/>
            <wp:docPr id="3" name="Picture 3"/>
            <wp:cNvGraphicFramePr>
              <a:graphicFrameLocks noChangeAspect="1"/>
            </wp:cNvGraphicFramePr>
            <a:graphic>
              <a:graphicData uri="http://schemas.openxmlformats.org/drawingml/2006/picture">
                <pic:pic>
                  <pic:nvPicPr>
                    <pic:cNvPr id="0" name="current_cycle.png"/>
                    <pic:cNvPicPr/>
                  </pic:nvPicPr>
                  <pic:blipFill>
                    <a:blip r:embed="rId13"/>
                    <a:stretch>
                      <a:fillRect/>
                    </a:stretch>
                  </pic:blipFill>
                  <pic:spPr>
                    <a:xfrm>
                      <a:off x="0" y="0"/>
                      <a:ext cx="6035040" cy="2192404"/>
                    </a:xfrm>
                    <a:prstGeom prst="rect"/>
                  </pic:spPr>
                </pic:pic>
              </a:graphicData>
            </a:graphic>
          </wp:inline>
        </w:drawing>
      </w:r>
    </w:p>
    <w:p>
      <w:pPr>
        <w:jc w:val="center"/>
      </w:pPr>
      <w:r>
        <w:rPr>
          <w:i/>
          <w:color w:val="646464"/>
          <w:sz w:val="16"/>
        </w:rPr>
        <w:t>Figure 2. Representative current-method activity content. Actual calendar elapsed time varies.</w:t>
      </w:r>
    </w:p>
    <w:p>
      <w:pPr>
        <w:spacing w:after="80" w:line="259" w:lineRule="auto"/>
      </w:pPr>
      <w:r>
        <w:rPr>
          <w:i w:val="0"/>
        </w:rPr>
        <w:t>The records support a multi-constraint diagnosis. Four scaffold sets did not provide four continuously available trade fronts. July reports record welders without usable fronts, incomplete lower access, weather/removal backlogs, post-blast defect discovery, reblast and coating touch-up. Peak programme WIP of up to nine bents is not evidence of nine physical scaffold sets. The dominant recoverable issue is the serial access and workflow cycle, but repair quantity, approval, coating, tide, weather and vessel operations remain material.</w:t>
      </w:r>
    </w:p>
    <w:p>
      <w:pPr>
        <w:pStyle w:val="Heading1"/>
        <w:spacing w:before="200" w:after="80"/>
      </w:pPr>
      <w:r>
        <w:t>4. Access options and screening basis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720"/>
            <w:vAlign w:val="center"/>
            <w:shd w:fill="E8751A"/>
          </w:tcPr>
          <w:p>
            <w:pPr>
              <w:jc w:val="left"/>
            </w:pPr>
            <w:r/>
            <w:r>
              <w:rPr>
                <w:rFonts w:ascii="Calibri" w:hAnsi="Calibri"/>
                <w:b/>
                <w:color w:val="FFFFFF"/>
                <w:sz w:val="15"/>
              </w:rPr>
              <w:t>Option</w:t>
            </w:r>
          </w:p>
        </w:tc>
        <w:tc>
          <w:tcPr>
            <w:tcW w:type="dxa" w:w="2592"/>
            <w:vAlign w:val="center"/>
            <w:shd w:fill="E8751A"/>
          </w:tcPr>
          <w:p>
            <w:pPr>
              <w:jc w:val="left"/>
            </w:pPr>
            <w:r/>
            <w:r>
              <w:rPr>
                <w:rFonts w:ascii="Calibri" w:hAnsi="Calibri"/>
                <w:b/>
                <w:color w:val="FFFFFF"/>
                <w:sz w:val="15"/>
              </w:rPr>
              <w:t>Method</w:t>
            </w:r>
          </w:p>
        </w:tc>
        <w:tc>
          <w:tcPr>
            <w:tcW w:type="dxa" w:w="2880"/>
            <w:vAlign w:val="center"/>
            <w:shd w:fill="E8751A"/>
          </w:tcPr>
          <w:p>
            <w:pPr>
              <w:jc w:val="left"/>
            </w:pPr>
            <w:r/>
            <w:r>
              <w:rPr>
                <w:rFonts w:ascii="Calibri" w:hAnsi="Calibri"/>
                <w:b/>
                <w:color w:val="FFFFFF"/>
                <w:sz w:val="15"/>
              </w:rPr>
              <w:t>Advantage</w:t>
            </w:r>
          </w:p>
        </w:tc>
        <w:tc>
          <w:tcPr>
            <w:tcW w:type="dxa" w:w="3168"/>
            <w:vAlign w:val="center"/>
            <w:shd w:fill="E8751A"/>
          </w:tcPr>
          <w:p>
            <w:pPr>
              <w:jc w:val="left"/>
            </w:pPr>
            <w:r/>
            <w:r>
              <w:rPr>
                <w:rFonts w:ascii="Calibri" w:hAnsi="Calibri"/>
                <w:b/>
                <w:color w:val="FFFFFF"/>
                <w:sz w:val="15"/>
              </w:rPr>
              <w:t>Limitation</w:t>
            </w:r>
          </w:p>
        </w:tc>
        <w:tc>
          <w:tcPr>
            <w:tcW w:type="dxa" w:w="2304"/>
            <w:vAlign w:val="center"/>
            <w:shd w:fill="E8751A"/>
          </w:tcPr>
          <w:p>
            <w:pPr>
              <w:jc w:val="left"/>
            </w:pPr>
            <w:r/>
            <w:r>
              <w:rPr>
                <w:rFonts w:ascii="Calibri" w:hAnsi="Calibri"/>
                <w:b/>
                <w:color w:val="FFFFFF"/>
                <w:sz w:val="15"/>
              </w:rPr>
              <w:t>Screening position</w:t>
            </w:r>
          </w:p>
        </w:tc>
      </w:tr>
      <w:tr>
        <w:tc>
          <w:tcPr>
            <w:tcW w:type="dxa" w:w="720"/>
            <w:vAlign w:val="center"/>
            <w:shd w:fill="F2F2F2"/>
          </w:tcPr>
          <w:p>
            <w:pPr>
              <w:jc w:val="left"/>
            </w:pPr>
            <w:r/>
            <w:r>
              <w:rPr>
                <w:rFonts w:ascii="Calibri" w:hAnsi="Calibri"/>
                <w:b w:val="0"/>
                <w:sz w:val="15"/>
              </w:rPr>
              <w:t>O1</w:t>
            </w:r>
          </w:p>
        </w:tc>
        <w:tc>
          <w:tcPr>
            <w:tcW w:type="dxa" w:w="2592"/>
            <w:vAlign w:val="center"/>
            <w:shd w:fill="F2F2F2"/>
          </w:tcPr>
          <w:p>
            <w:pPr>
              <w:jc w:val="left"/>
            </w:pPr>
            <w:r/>
            <w:r>
              <w:rPr>
                <w:rFonts w:ascii="Calibri" w:hAnsi="Calibri"/>
                <w:b w:val="0"/>
                <w:sz w:val="15"/>
              </w:rPr>
              <w:t>Continue current full-bent scaffold</w:t>
            </w:r>
          </w:p>
        </w:tc>
        <w:tc>
          <w:tcPr>
            <w:tcW w:type="dxa" w:w="2880"/>
            <w:vAlign w:val="center"/>
            <w:shd w:fill="F2F2F2"/>
          </w:tcPr>
          <w:p>
            <w:pPr>
              <w:jc w:val="left"/>
            </w:pPr>
            <w:r/>
            <w:r>
              <w:rPr>
                <w:rFonts w:ascii="Calibri" w:hAnsi="Calibri"/>
                <w:b w:val="0"/>
                <w:sz w:val="15"/>
              </w:rPr>
              <w:t>Known and contract-established.</w:t>
            </w:r>
          </w:p>
        </w:tc>
        <w:tc>
          <w:tcPr>
            <w:tcW w:type="dxa" w:w="3168"/>
            <w:vAlign w:val="center"/>
            <w:shd w:fill="F2F2F2"/>
          </w:tcPr>
          <w:p>
            <w:pPr>
              <w:jc w:val="left"/>
            </w:pPr>
            <w:r/>
            <w:r>
              <w:rPr>
                <w:rFonts w:ascii="Calibri" w:hAnsi="Calibri"/>
                <w:b w:val="0"/>
                <w:sz w:val="15"/>
              </w:rPr>
              <w:t>Repeated build/strip, roadway pressure, standing hire and serial queue remain.</w:t>
            </w:r>
          </w:p>
        </w:tc>
        <w:tc>
          <w:tcPr>
            <w:tcW w:type="dxa" w:w="2304"/>
            <w:vAlign w:val="center"/>
            <w:shd w:fill="F2F2F2"/>
          </w:tcPr>
          <w:p>
            <w:pPr>
              <w:jc w:val="left"/>
            </w:pPr>
            <w:r/>
            <w:r>
              <w:rPr>
                <w:rFonts w:ascii="Calibri" w:hAnsi="Calibri"/>
                <w:b w:val="0"/>
                <w:sz w:val="15"/>
              </w:rPr>
              <w:t>Retain only as baseline or local special-bent method.</w:t>
            </w:r>
          </w:p>
        </w:tc>
      </w:tr>
      <w:tr>
        <w:tc>
          <w:tcPr>
            <w:tcW w:type="dxa" w:w="720"/>
            <w:vAlign w:val="center"/>
          </w:tcPr>
          <w:p>
            <w:pPr>
              <w:jc w:val="left"/>
            </w:pPr>
            <w:r/>
            <w:r>
              <w:rPr>
                <w:rFonts w:ascii="Calibri" w:hAnsi="Calibri"/>
                <w:b w:val="0"/>
                <w:sz w:val="15"/>
              </w:rPr>
              <w:t>O2</w:t>
            </w:r>
          </w:p>
        </w:tc>
        <w:tc>
          <w:tcPr>
            <w:tcW w:type="dxa" w:w="2592"/>
            <w:vAlign w:val="center"/>
          </w:tcPr>
          <w:p>
            <w:pPr>
              <w:jc w:val="left"/>
            </w:pPr>
            <w:r/>
            <w:r>
              <w:rPr>
                <w:rFonts w:ascii="Calibri" w:hAnsi="Calibri"/>
                <w:b w:val="0"/>
                <w:sz w:val="15"/>
              </w:rPr>
              <w:t>Reusable floating/suspended platforms with local containment</w:t>
            </w:r>
          </w:p>
        </w:tc>
        <w:tc>
          <w:tcPr>
            <w:tcW w:type="dxa" w:w="2880"/>
            <w:vAlign w:val="center"/>
          </w:tcPr>
          <w:p>
            <w:pPr>
              <w:jc w:val="left"/>
            </w:pPr>
            <w:r/>
            <w:r>
              <w:rPr>
                <w:rFonts w:ascii="Calibri" w:hAnsi="Calibri"/>
                <w:b w:val="0"/>
                <w:sz w:val="15"/>
              </w:rPr>
              <w:t>Moves access instead of rebuilding it; supports work at multiple levels and marine logistics.</w:t>
            </w:r>
          </w:p>
        </w:tc>
        <w:tc>
          <w:tcPr>
            <w:tcW w:type="dxa" w:w="3168"/>
            <w:vAlign w:val="center"/>
          </w:tcPr>
          <w:p>
            <w:pPr>
              <w:jc w:val="left"/>
            </w:pPr>
            <w:r/>
            <w:r>
              <w:rPr>
                <w:rFonts w:ascii="Calibri" w:hAnsi="Calibri"/>
                <w:b w:val="0"/>
                <w:sz w:val="15"/>
              </w:rPr>
              <w:t>Temporary works, supplier capacity, headstock enclosure, below-LAT method and fleet requirement are open.</w:t>
            </w:r>
          </w:p>
        </w:tc>
        <w:tc>
          <w:tcPr>
            <w:tcW w:type="dxa" w:w="2304"/>
            <w:vAlign w:val="center"/>
          </w:tcPr>
          <w:p>
            <w:pPr>
              <w:jc w:val="left"/>
            </w:pPr>
            <w:r/>
            <w:r>
              <w:rPr>
                <w:rFonts w:ascii="Calibri" w:hAnsi="Calibri"/>
                <w:b w:val="0"/>
                <w:sz w:val="15"/>
              </w:rPr>
              <w:t>Preferred candidate for typical two-pile bents, subject to proving.</w:t>
            </w:r>
          </w:p>
        </w:tc>
      </w:tr>
      <w:tr>
        <w:tc>
          <w:tcPr>
            <w:tcW w:type="dxa" w:w="720"/>
            <w:vAlign w:val="center"/>
            <w:shd w:fill="F2F2F2"/>
          </w:tcPr>
          <w:p>
            <w:pPr>
              <w:jc w:val="left"/>
            </w:pPr>
            <w:r/>
            <w:r>
              <w:rPr>
                <w:rFonts w:ascii="Calibri" w:hAnsi="Calibri"/>
                <w:b w:val="0"/>
                <w:sz w:val="15"/>
              </w:rPr>
              <w:t>O3</w:t>
            </w:r>
          </w:p>
        </w:tc>
        <w:tc>
          <w:tcPr>
            <w:tcW w:type="dxa" w:w="2592"/>
            <w:vAlign w:val="center"/>
            <w:shd w:fill="F2F2F2"/>
          </w:tcPr>
          <w:p>
            <w:pPr>
              <w:jc w:val="left"/>
            </w:pPr>
            <w:r/>
            <w:r>
              <w:rPr>
                <w:rFonts w:ascii="Calibri" w:hAnsi="Calibri"/>
                <w:b w:val="0"/>
                <w:sz w:val="15"/>
              </w:rPr>
              <w:t>Jack-up as primary workface</w:t>
            </w:r>
          </w:p>
        </w:tc>
        <w:tc>
          <w:tcPr>
            <w:tcW w:type="dxa" w:w="2880"/>
            <w:vAlign w:val="center"/>
            <w:shd w:fill="F2F2F2"/>
          </w:tcPr>
          <w:p>
            <w:pPr>
              <w:jc w:val="left"/>
            </w:pPr>
            <w:r/>
            <w:r>
              <w:rPr>
                <w:rFonts w:ascii="Calibri" w:hAnsi="Calibri"/>
                <w:b w:val="0"/>
                <w:sz w:val="15"/>
              </w:rPr>
              <w:t>Stable plant, crane and utilities.</w:t>
            </w:r>
          </w:p>
        </w:tc>
        <w:tc>
          <w:tcPr>
            <w:tcW w:type="dxa" w:w="3168"/>
            <w:vAlign w:val="center"/>
            <w:shd w:fill="F2F2F2"/>
          </w:tcPr>
          <w:p>
            <w:pPr>
              <w:jc w:val="left"/>
            </w:pPr>
            <w:r/>
            <w:r>
              <w:rPr>
                <w:rFonts w:ascii="Calibri" w:hAnsi="Calibri"/>
                <w:b w:val="0"/>
                <w:sz w:val="15"/>
              </w:rPr>
              <w:t>JUB relocation, water depth, reach and cost can put production on marine critical path.</w:t>
            </w:r>
          </w:p>
        </w:tc>
        <w:tc>
          <w:tcPr>
            <w:tcW w:type="dxa" w:w="2304"/>
            <w:vAlign w:val="center"/>
            <w:shd w:fill="F2F2F2"/>
          </w:tcPr>
          <w:p>
            <w:pPr>
              <w:jc w:val="left"/>
            </w:pPr>
            <w:r/>
            <w:r>
              <w:rPr>
                <w:rFonts w:ascii="Calibri" w:hAnsi="Calibri"/>
                <w:b w:val="0"/>
                <w:sz w:val="15"/>
              </w:rPr>
              <w:t>Do not adopt as universal workface without candidate-unit study.</w:t>
            </w:r>
          </w:p>
        </w:tc>
      </w:tr>
      <w:tr>
        <w:tc>
          <w:tcPr>
            <w:tcW w:type="dxa" w:w="720"/>
            <w:vAlign w:val="center"/>
          </w:tcPr>
          <w:p>
            <w:pPr>
              <w:jc w:val="left"/>
            </w:pPr>
            <w:r/>
            <w:r>
              <w:rPr>
                <w:rFonts w:ascii="Calibri" w:hAnsi="Calibri"/>
                <w:b w:val="0"/>
                <w:sz w:val="15"/>
              </w:rPr>
              <w:t>O4</w:t>
            </w:r>
          </w:p>
        </w:tc>
        <w:tc>
          <w:tcPr>
            <w:tcW w:type="dxa" w:w="2592"/>
            <w:vAlign w:val="center"/>
          </w:tcPr>
          <w:p>
            <w:pPr>
              <w:jc w:val="left"/>
            </w:pPr>
            <w:r/>
            <w:r>
              <w:rPr>
                <w:rFonts w:ascii="Calibri" w:hAnsi="Calibri"/>
                <w:b w:val="0"/>
                <w:sz w:val="15"/>
              </w:rPr>
              <w:t>Hybrid floating platforms plus scaffold/rope/MEWP for special families</w:t>
            </w:r>
          </w:p>
        </w:tc>
        <w:tc>
          <w:tcPr>
            <w:tcW w:type="dxa" w:w="2880"/>
            <w:vAlign w:val="center"/>
          </w:tcPr>
          <w:p>
            <w:pPr>
              <w:jc w:val="left"/>
            </w:pPr>
            <w:r/>
            <w:r>
              <w:rPr>
                <w:rFonts w:ascii="Calibri" w:hAnsi="Calibri"/>
                <w:b w:val="0"/>
                <w:sz w:val="15"/>
              </w:rPr>
              <w:t>Avoids forcing one geometry onto anchored, passing-bay, EJ and interface work.</w:t>
            </w:r>
          </w:p>
        </w:tc>
        <w:tc>
          <w:tcPr>
            <w:tcW w:type="dxa" w:w="3168"/>
            <w:vAlign w:val="center"/>
          </w:tcPr>
          <w:p>
            <w:pPr>
              <w:jc w:val="left"/>
            </w:pPr>
            <w:r/>
            <w:r>
              <w:rPr>
                <w:rFonts w:ascii="Calibri" w:hAnsi="Calibri"/>
                <w:b w:val="0"/>
                <w:sz w:val="15"/>
              </w:rPr>
              <w:t>More method interfaces and mobilisation complexity.</w:t>
            </w:r>
          </w:p>
        </w:tc>
        <w:tc>
          <w:tcPr>
            <w:tcW w:type="dxa" w:w="2304"/>
            <w:vAlign w:val="center"/>
          </w:tcPr>
          <w:p>
            <w:pPr>
              <w:jc w:val="left"/>
            </w:pPr>
            <w:r/>
            <w:r>
              <w:rPr>
                <w:rFonts w:ascii="Calibri" w:hAnsi="Calibri"/>
                <w:b w:val="0"/>
                <w:sz w:val="15"/>
              </w:rPr>
              <w:t>Likely required for full scope; map by bent family.</w:t>
            </w:r>
          </w:p>
        </w:tc>
      </w:tr>
      <w:tr>
        <w:tc>
          <w:tcPr>
            <w:tcW w:type="dxa" w:w="720"/>
            <w:vAlign w:val="center"/>
            <w:shd w:fill="F2F2F2"/>
          </w:tcPr>
          <w:p>
            <w:pPr>
              <w:jc w:val="left"/>
            </w:pPr>
            <w:r/>
            <w:r>
              <w:rPr>
                <w:rFonts w:ascii="Calibri" w:hAnsi="Calibri"/>
                <w:b w:val="0"/>
                <w:sz w:val="15"/>
              </w:rPr>
              <w:t>O5</w:t>
            </w:r>
          </w:p>
        </w:tc>
        <w:tc>
          <w:tcPr>
            <w:tcW w:type="dxa" w:w="2592"/>
            <w:vAlign w:val="center"/>
            <w:shd w:fill="F2F2F2"/>
          </w:tcPr>
          <w:p>
            <w:pPr>
              <w:jc w:val="left"/>
            </w:pPr>
            <w:r/>
            <w:r>
              <w:rPr>
                <w:rFonts w:ascii="Calibri" w:hAnsi="Calibri"/>
                <w:b w:val="0"/>
                <w:sz w:val="15"/>
              </w:rPr>
              <w:t>Enhanced incumbent method with more scaffold/crews</w:t>
            </w:r>
          </w:p>
        </w:tc>
        <w:tc>
          <w:tcPr>
            <w:tcW w:type="dxa" w:w="2880"/>
            <w:vAlign w:val="center"/>
            <w:shd w:fill="F2F2F2"/>
          </w:tcPr>
          <w:p>
            <w:pPr>
              <w:jc w:val="left"/>
            </w:pPr>
            <w:r/>
            <w:r>
              <w:rPr>
                <w:rFonts w:ascii="Calibri" w:hAnsi="Calibri"/>
                <w:b w:val="0"/>
                <w:sz w:val="15"/>
              </w:rPr>
              <w:t>Lower concept change.</w:t>
            </w:r>
          </w:p>
        </w:tc>
        <w:tc>
          <w:tcPr>
            <w:tcW w:type="dxa" w:w="3168"/>
            <w:vAlign w:val="center"/>
            <w:shd w:fill="F2F2F2"/>
          </w:tcPr>
          <w:p>
            <w:pPr>
              <w:jc w:val="left"/>
            </w:pPr>
            <w:r/>
            <w:r>
              <w:rPr>
                <w:rFonts w:ascii="Calibri" w:hAnsi="Calibri"/>
                <w:b w:val="0"/>
                <w:sz w:val="15"/>
              </w:rPr>
              <w:t>Does not by itself remove serial cycle and trade/access mismatch.</w:t>
            </w:r>
          </w:p>
        </w:tc>
        <w:tc>
          <w:tcPr>
            <w:tcW w:type="dxa" w:w="2304"/>
            <w:vAlign w:val="center"/>
            <w:shd w:fill="F2F2F2"/>
          </w:tcPr>
          <w:p>
            <w:pPr>
              <w:jc w:val="left"/>
            </w:pPr>
            <w:r/>
            <w:r>
              <w:rPr>
                <w:rFonts w:ascii="Calibri" w:hAnsi="Calibri"/>
                <w:b w:val="0"/>
                <w:sz w:val="15"/>
              </w:rPr>
              <w:t>Evaluate only against a resource-loaded recovery programme.</w:t>
            </w:r>
          </w:p>
        </w:tc>
      </w:tr>
    </w:tbl>
    <w:p/>
    <w:p>
      <w:pPr>
        <w:spacing w:after="80" w:line="259" w:lineRule="auto"/>
      </w:pPr>
      <w:r>
        <w:rPr>
          <w:i w:val="0"/>
        </w:rPr>
        <w:t>The Stage 1 report should include a weighted screening table after supplier input. Recommended criteria are programme confidence, QA-closed productivity, safety and rescue, constructability, bent-family coverage, environmental containment, ship/cyclone response, roadway impact, mobilisation lead time and whole-campaign cost.</w:t>
      </w:r>
    </w:p>
    <w:p>
      <w:pPr>
        <w:pStyle w:val="Heading1"/>
        <w:spacing w:before="200" w:after="80"/>
      </w:pPr>
      <w:r>
        <w:t>5. Preferred candidate concept</w:t>
      </w:r>
    </w:p>
    <w:p>
      <w:pPr>
        <w:jc w:val="center"/>
      </w:pPr>
      <w:r>
        <w:drawing>
          <wp:inline xmlns:a="http://schemas.openxmlformats.org/drawingml/2006/main" xmlns:pic="http://schemas.openxmlformats.org/drawingml/2006/picture">
            <wp:extent cx="6400800" cy="3599807"/>
            <wp:docPr id="4" name="Picture 4"/>
            <wp:cNvGraphicFramePr>
              <a:graphicFrameLocks noChangeAspect="1"/>
            </wp:cNvGraphicFramePr>
            <a:graphic>
              <a:graphicData uri="http://schemas.openxmlformats.org/drawingml/2006/picture">
                <pic:pic>
                  <pic:nvPicPr>
                    <pic:cNvPr id="0" name="slide-02.png"/>
                    <pic:cNvPicPr/>
                  </pic:nvPicPr>
                  <pic:blipFill>
                    <a:blip r:embed="rId14"/>
                    <a:stretch>
                      <a:fillRect/>
                    </a:stretch>
                  </pic:blipFill>
                  <pic:spPr>
                    <a:xfrm>
                      <a:off x="0" y="0"/>
                      <a:ext cx="6400800" cy="3599807"/>
                    </a:xfrm>
                    <a:prstGeom prst="rect"/>
                  </pic:spPr>
                </pic:pic>
              </a:graphicData>
            </a:graphic>
          </wp:inline>
        </w:drawing>
      </w:r>
    </w:p>
    <w:p>
      <w:pPr>
        <w:jc w:val="center"/>
      </w:pPr>
      <w:r>
        <w:rPr>
          <w:i/>
          <w:color w:val="646464"/>
          <w:sz w:val="16"/>
        </w:rPr>
        <w:t>Figure 3. Current accepted concept basis. Indicative only, not for construction.</w:t>
      </w:r>
    </w:p>
    <w:p>
      <w:pPr>
        <w:pStyle w:val="Heading2"/>
        <w:spacing w:before="200" w:after="80"/>
      </w:pPr>
      <w:r>
        <w:t>5.1 One complete access set</w:t>
      </w:r>
    </w:p>
    <w:p>
      <w:pPr>
        <w:pStyle w:val="ListBullet"/>
        <w:spacing w:after="40"/>
      </w:pPr>
      <w:r>
        <w:t>Two full-length modular floating platforms, one along each long face of the headstock.</w:t>
      </w:r>
    </w:p>
    <w:p>
      <w:pPr>
        <w:pStyle w:val="ListBullet"/>
        <w:spacing w:after="40"/>
      </w:pPr>
      <w:r>
        <w:t>Winches and a laterally travelling suspension or sliding beam-clamp system so the platforms can remain aligned as the 1:4 piles move outboard with depth.</w:t>
      </w:r>
    </w:p>
    <w:p>
      <w:pPr>
        <w:pStyle w:val="ListBullet"/>
        <w:spacing w:after="40"/>
      </w:pPr>
      <w:r>
        <w:t>Two traversing or drop-down decks bridging between the main platforms at the active pile position to provide 360-degree access.</w:t>
      </w:r>
    </w:p>
    <w:p>
      <w:pPr>
        <w:pStyle w:val="ListBullet"/>
        <w:spacing w:after="40"/>
      </w:pPr>
      <w:r>
        <w:t>Two opposing half-shell containment sections that close around the active pile, with extraction, recovery and environmental monitoring.</w:t>
      </w:r>
    </w:p>
    <w:p>
      <w:pPr>
        <w:pStyle w:val="ListBullet"/>
        <w:spacing w:after="40"/>
      </w:pPr>
      <w:r>
        <w:t>A headstock enclosure configuration, still to be developed, covering beam faces, soffit, ends, pile connections, gallery feet and keeper-angle interfaces.</w:t>
      </w:r>
    </w:p>
    <w:p>
      <w:pPr>
        <w:pStyle w:val="ListBullet"/>
        <w:spacing w:after="40"/>
      </w:pPr>
      <w:r>
        <w:t>One movable access tower from the jetty deck to platform level, with independent emergency/recovery provision at every platform elevation.</w:t>
      </w:r>
    </w:p>
    <w:p>
      <w:pPr>
        <w:pStyle w:val="ListBullet"/>
        <w:spacing w:after="40"/>
      </w:pPr>
      <w:r>
        <w:t>An adjacent JUB carrying generation, compressed and breathing air, extraction, coating stores, waste, welfare and crane support.</w:t>
      </w:r>
    </w:p>
    <w:p>
      <w:pPr>
        <w:pStyle w:val="ListBullet"/>
        <w:spacing w:after="40"/>
      </w:pPr>
      <w:r>
        <w:t>A workboat for platform positioning, advance rigging, materials and marine support, plus a dedicated rescue craft when personnel work over water.</w:t>
      </w:r>
    </w:p>
    <w:p>
      <w:pPr>
        <w:pStyle w:val="Heading2"/>
        <w:spacing w:before="200" w:after="80"/>
      </w:pPr>
      <w:r>
        <w:t>5.2 Bent-family applicability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center"/>
            <w:shd w:fill="E8751A"/>
          </w:tcPr>
          <w:p>
            <w:pPr>
              <w:jc w:val="left"/>
            </w:pPr>
            <w:r/>
            <w:r>
              <w:rPr>
                <w:rFonts w:ascii="Calibri" w:hAnsi="Calibri"/>
                <w:b/>
                <w:color w:val="FFFFFF"/>
                <w:sz w:val="16"/>
              </w:rPr>
              <w:t>Bent family</w:t>
            </w:r>
          </w:p>
        </w:tc>
        <w:tc>
          <w:tcPr>
            <w:tcW w:type="dxa" w:w="1440"/>
            <w:vAlign w:val="center"/>
            <w:shd w:fill="E8751A"/>
          </w:tcPr>
          <w:p>
            <w:pPr>
              <w:jc w:val="left"/>
            </w:pPr>
            <w:r/>
            <w:r>
              <w:rPr>
                <w:rFonts w:ascii="Calibri" w:hAnsi="Calibri"/>
                <w:b/>
                <w:color w:val="FFFFFF"/>
                <w:sz w:val="16"/>
              </w:rPr>
              <w:t>Original firm quantity</w:t>
            </w:r>
          </w:p>
        </w:tc>
        <w:tc>
          <w:tcPr>
            <w:tcW w:type="dxa" w:w="3744"/>
            <w:vAlign w:val="center"/>
            <w:shd w:fill="E8751A"/>
          </w:tcPr>
          <w:p>
            <w:pPr>
              <w:jc w:val="left"/>
            </w:pPr>
            <w:r/>
            <w:r>
              <w:rPr>
                <w:rFonts w:ascii="Calibri" w:hAnsi="Calibri"/>
                <w:b/>
                <w:color w:val="FFFFFF"/>
                <w:sz w:val="16"/>
              </w:rPr>
              <w:t>Candidate application</w:t>
            </w:r>
          </w:p>
        </w:tc>
        <w:tc>
          <w:tcPr>
            <w:tcW w:type="dxa" w:w="3744"/>
            <w:vAlign w:val="center"/>
            <w:shd w:fill="E8751A"/>
          </w:tcPr>
          <w:p>
            <w:pPr>
              <w:jc w:val="left"/>
            </w:pPr>
            <w:r/>
            <w:r>
              <w:rPr>
                <w:rFonts w:ascii="Calibri" w:hAnsi="Calibri"/>
                <w:b/>
                <w:color w:val="FFFFFF"/>
                <w:sz w:val="16"/>
              </w:rPr>
              <w:t>Required development</w:t>
            </w:r>
          </w:p>
        </w:tc>
      </w:tr>
      <w:tr>
        <w:tc>
          <w:tcPr>
            <w:tcW w:type="dxa" w:w="2448"/>
            <w:vAlign w:val="center"/>
            <w:shd w:fill="F2F2F2"/>
          </w:tcPr>
          <w:p>
            <w:pPr>
              <w:jc w:val="left"/>
            </w:pPr>
            <w:r/>
            <w:r>
              <w:rPr>
                <w:rFonts w:ascii="Calibri" w:hAnsi="Calibri"/>
                <w:b w:val="0"/>
                <w:sz w:val="16"/>
              </w:rPr>
              <w:t>Typical two-pile bents</w:t>
            </w:r>
          </w:p>
        </w:tc>
        <w:tc>
          <w:tcPr>
            <w:tcW w:type="dxa" w:w="1440"/>
            <w:vAlign w:val="center"/>
            <w:shd w:fill="F2F2F2"/>
          </w:tcPr>
          <w:p>
            <w:pPr>
              <w:jc w:val="left"/>
            </w:pPr>
            <w:r/>
            <w:r>
              <w:rPr>
                <w:rFonts w:ascii="Calibri" w:hAnsi="Calibri"/>
                <w:b w:val="0"/>
                <w:sz w:val="16"/>
              </w:rPr>
              <w:t>212</w:t>
            </w:r>
          </w:p>
        </w:tc>
        <w:tc>
          <w:tcPr>
            <w:tcW w:type="dxa" w:w="3744"/>
            <w:vAlign w:val="center"/>
            <w:shd w:fill="F2F2F2"/>
          </w:tcPr>
          <w:p>
            <w:pPr>
              <w:jc w:val="left"/>
            </w:pPr>
            <w:r/>
            <w:r>
              <w:rPr>
                <w:rFonts w:ascii="Calibri" w:hAnsi="Calibri"/>
                <w:b w:val="0"/>
                <w:sz w:val="16"/>
              </w:rPr>
              <w:t>Primary target for reusable platform system.</w:t>
            </w:r>
          </w:p>
        </w:tc>
        <w:tc>
          <w:tcPr>
            <w:tcW w:type="dxa" w:w="3744"/>
            <w:vAlign w:val="center"/>
            <w:shd w:fill="F2F2F2"/>
          </w:tcPr>
          <w:p>
            <w:pPr>
              <w:jc w:val="left"/>
            </w:pPr>
            <w:r/>
            <w:r>
              <w:rPr>
                <w:rFonts w:ascii="Calibri" w:hAnsi="Calibri"/>
                <w:b w:val="0"/>
                <w:sz w:val="16"/>
              </w:rPr>
              <w:t>Dimensioned plan/elevation, load path and trial.</w:t>
            </w:r>
          </w:p>
        </w:tc>
      </w:tr>
      <w:tr>
        <w:tc>
          <w:tcPr>
            <w:tcW w:type="dxa" w:w="2448"/>
            <w:vAlign w:val="center"/>
          </w:tcPr>
          <w:p>
            <w:pPr>
              <w:jc w:val="left"/>
            </w:pPr>
            <w:r/>
            <w:r>
              <w:rPr>
                <w:rFonts w:ascii="Calibri" w:hAnsi="Calibri"/>
                <w:b w:val="0"/>
                <w:sz w:val="16"/>
              </w:rPr>
              <w:t>Anchor bents</w:t>
            </w:r>
          </w:p>
        </w:tc>
        <w:tc>
          <w:tcPr>
            <w:tcW w:type="dxa" w:w="1440"/>
            <w:vAlign w:val="center"/>
          </w:tcPr>
          <w:p>
            <w:pPr>
              <w:jc w:val="left"/>
            </w:pPr>
            <w:r/>
            <w:r>
              <w:rPr>
                <w:rFonts w:ascii="Calibri" w:hAnsi="Calibri"/>
                <w:b w:val="0"/>
                <w:sz w:val="16"/>
              </w:rPr>
              <w:t>13</w:t>
            </w:r>
          </w:p>
        </w:tc>
        <w:tc>
          <w:tcPr>
            <w:tcW w:type="dxa" w:w="3744"/>
            <w:vAlign w:val="center"/>
          </w:tcPr>
          <w:p>
            <w:pPr>
              <w:jc w:val="left"/>
            </w:pPr>
            <w:r/>
            <w:r>
              <w:rPr>
                <w:rFonts w:ascii="Calibri" w:hAnsi="Calibri"/>
                <w:b w:val="0"/>
                <w:sz w:val="16"/>
              </w:rPr>
              <w:t>May require modified decks, containment or hybrid scaffold.</w:t>
            </w:r>
          </w:p>
        </w:tc>
        <w:tc>
          <w:tcPr>
            <w:tcW w:type="dxa" w:w="3744"/>
            <w:vAlign w:val="center"/>
          </w:tcPr>
          <w:p>
            <w:pPr>
              <w:jc w:val="left"/>
            </w:pPr>
            <w:r/>
            <w:r>
              <w:rPr>
                <w:rFonts w:ascii="Calibri" w:hAnsi="Calibri"/>
                <w:b w:val="0"/>
                <w:sz w:val="16"/>
              </w:rPr>
              <w:t>Bent-family concept and intertidal quantity.</w:t>
            </w:r>
          </w:p>
        </w:tc>
      </w:tr>
      <w:tr>
        <w:tc>
          <w:tcPr>
            <w:tcW w:type="dxa" w:w="2448"/>
            <w:vAlign w:val="center"/>
            <w:shd w:fill="F2F2F2"/>
          </w:tcPr>
          <w:p>
            <w:pPr>
              <w:jc w:val="left"/>
            </w:pPr>
            <w:r/>
            <w:r>
              <w:rPr>
                <w:rFonts w:ascii="Calibri" w:hAnsi="Calibri"/>
                <w:b w:val="0"/>
                <w:sz w:val="16"/>
              </w:rPr>
              <w:t>Passing-bay variants</w:t>
            </w:r>
          </w:p>
        </w:tc>
        <w:tc>
          <w:tcPr>
            <w:tcW w:type="dxa" w:w="1440"/>
            <w:vAlign w:val="center"/>
            <w:shd w:fill="F2F2F2"/>
          </w:tcPr>
          <w:p>
            <w:pPr>
              <w:jc w:val="left"/>
            </w:pPr>
            <w:r/>
            <w:r>
              <w:rPr>
                <w:rFonts w:ascii="Calibri" w:hAnsi="Calibri"/>
                <w:b w:val="0"/>
                <w:sz w:val="16"/>
              </w:rPr>
              <w:t>10</w:t>
            </w:r>
          </w:p>
        </w:tc>
        <w:tc>
          <w:tcPr>
            <w:tcW w:type="dxa" w:w="3744"/>
            <w:vAlign w:val="center"/>
            <w:shd w:fill="F2F2F2"/>
          </w:tcPr>
          <w:p>
            <w:pPr>
              <w:jc w:val="left"/>
            </w:pPr>
            <w:r/>
            <w:r>
              <w:rPr>
                <w:rFonts w:ascii="Calibri" w:hAnsi="Calibri"/>
                <w:b w:val="0"/>
                <w:sz w:val="16"/>
              </w:rPr>
              <w:t>Geometry and third pile can obstruct platform/traversing deck.</w:t>
            </w:r>
          </w:p>
        </w:tc>
        <w:tc>
          <w:tcPr>
            <w:tcW w:type="dxa" w:w="3744"/>
            <w:vAlign w:val="center"/>
            <w:shd w:fill="F2F2F2"/>
          </w:tcPr>
          <w:p>
            <w:pPr>
              <w:jc w:val="left"/>
            </w:pPr>
            <w:r/>
            <w:r>
              <w:rPr>
                <w:rFonts w:ascii="Calibri" w:hAnsi="Calibri"/>
                <w:b w:val="0"/>
                <w:sz w:val="16"/>
              </w:rPr>
              <w:t>Dedicated layout and marine clearance.</w:t>
            </w:r>
          </w:p>
        </w:tc>
      </w:tr>
      <w:tr>
        <w:tc>
          <w:tcPr>
            <w:tcW w:type="dxa" w:w="2448"/>
            <w:vAlign w:val="center"/>
          </w:tcPr>
          <w:p>
            <w:pPr>
              <w:jc w:val="left"/>
            </w:pPr>
            <w:r/>
            <w:r>
              <w:rPr>
                <w:rFonts w:ascii="Calibri" w:hAnsi="Calibri"/>
                <w:b w:val="0"/>
                <w:sz w:val="16"/>
              </w:rPr>
              <w:t>Special bents</w:t>
            </w:r>
          </w:p>
        </w:tc>
        <w:tc>
          <w:tcPr>
            <w:tcW w:type="dxa" w:w="1440"/>
            <w:vAlign w:val="center"/>
          </w:tcPr>
          <w:p>
            <w:pPr>
              <w:jc w:val="left"/>
            </w:pPr>
            <w:r/>
            <w:r>
              <w:rPr>
                <w:rFonts w:ascii="Calibri" w:hAnsi="Calibri"/>
                <w:b w:val="0"/>
                <w:sz w:val="16"/>
              </w:rPr>
              <w:t>2</w:t>
            </w:r>
          </w:p>
        </w:tc>
        <w:tc>
          <w:tcPr>
            <w:tcW w:type="dxa" w:w="3744"/>
            <w:vAlign w:val="center"/>
          </w:tcPr>
          <w:p>
            <w:pPr>
              <w:jc w:val="left"/>
            </w:pPr>
            <w:r/>
            <w:r>
              <w:rPr>
                <w:rFonts w:ascii="Calibri" w:hAnsi="Calibri"/>
                <w:b w:val="0"/>
                <w:sz w:val="16"/>
              </w:rPr>
              <w:t>Do not assume typical method.</w:t>
            </w:r>
          </w:p>
        </w:tc>
        <w:tc>
          <w:tcPr>
            <w:tcW w:type="dxa" w:w="3744"/>
            <w:vAlign w:val="center"/>
          </w:tcPr>
          <w:p>
            <w:pPr>
              <w:jc w:val="left"/>
            </w:pPr>
            <w:r/>
            <w:r>
              <w:rPr>
                <w:rFonts w:ascii="Calibri" w:hAnsi="Calibri"/>
                <w:b w:val="0"/>
                <w:sz w:val="16"/>
              </w:rPr>
              <w:t>Bent-specific method.</w:t>
            </w:r>
          </w:p>
        </w:tc>
      </w:tr>
      <w:tr>
        <w:tc>
          <w:tcPr>
            <w:tcW w:type="dxa" w:w="2448"/>
            <w:vAlign w:val="center"/>
            <w:shd w:fill="F2F2F2"/>
          </w:tcPr>
          <w:p>
            <w:pPr>
              <w:jc w:val="left"/>
            </w:pPr>
            <w:r/>
            <w:r>
              <w:rPr>
                <w:rFonts w:ascii="Calibri" w:hAnsi="Calibri"/>
                <w:b w:val="0"/>
                <w:sz w:val="16"/>
              </w:rPr>
              <w:t>Optional expansion joints</w:t>
            </w:r>
          </w:p>
        </w:tc>
        <w:tc>
          <w:tcPr>
            <w:tcW w:type="dxa" w:w="1440"/>
            <w:vAlign w:val="center"/>
            <w:shd w:fill="F2F2F2"/>
          </w:tcPr>
          <w:p>
            <w:pPr>
              <w:jc w:val="left"/>
            </w:pPr>
            <w:r/>
            <w:r>
              <w:rPr>
                <w:rFonts w:ascii="Calibri" w:hAnsi="Calibri"/>
                <w:b w:val="0"/>
                <w:sz w:val="16"/>
              </w:rPr>
              <w:t>20 optional</w:t>
            </w:r>
          </w:p>
        </w:tc>
        <w:tc>
          <w:tcPr>
            <w:tcW w:type="dxa" w:w="3744"/>
            <w:vAlign w:val="center"/>
            <w:shd w:fill="F2F2F2"/>
          </w:tcPr>
          <w:p>
            <w:pPr>
              <w:jc w:val="left"/>
            </w:pPr>
            <w:r/>
            <w:r>
              <w:rPr>
                <w:rFonts w:ascii="Calibri" w:hAnsi="Calibri"/>
                <w:b w:val="0"/>
                <w:sz w:val="16"/>
              </w:rPr>
              <w:t>Deck jacking and bearing interfaces are separate critical scope.</w:t>
            </w:r>
          </w:p>
        </w:tc>
        <w:tc>
          <w:tcPr>
            <w:tcW w:type="dxa" w:w="3744"/>
            <w:vAlign w:val="center"/>
            <w:shd w:fill="F2F2F2"/>
          </w:tcPr>
          <w:p>
            <w:pPr>
              <w:jc w:val="left"/>
            </w:pPr>
            <w:r/>
            <w:r>
              <w:rPr>
                <w:rFonts w:ascii="Calibri" w:hAnsi="Calibri"/>
                <w:b w:val="0"/>
                <w:sz w:val="16"/>
              </w:rPr>
              <w:t>STL option decision and engineered access method.</w:t>
            </w:r>
          </w:p>
        </w:tc>
      </w:tr>
      <w:tr>
        <w:tc>
          <w:tcPr>
            <w:tcW w:type="dxa" w:w="2448"/>
            <w:vAlign w:val="center"/>
          </w:tcPr>
          <w:p>
            <w:pPr>
              <w:jc w:val="left"/>
            </w:pPr>
            <w:r/>
            <w:r>
              <w:rPr>
                <w:rFonts w:ascii="Calibri" w:hAnsi="Calibri"/>
                <w:b w:val="0"/>
                <w:sz w:val="16"/>
              </w:rPr>
              <w:t>Excluded bents</w:t>
            </w:r>
          </w:p>
        </w:tc>
        <w:tc>
          <w:tcPr>
            <w:tcW w:type="dxa" w:w="1440"/>
            <w:vAlign w:val="center"/>
          </w:tcPr>
          <w:p>
            <w:pPr>
              <w:jc w:val="left"/>
            </w:pPr>
            <w:r/>
            <w:r>
              <w:rPr>
                <w:rFonts w:ascii="Calibri" w:hAnsi="Calibri"/>
                <w:b w:val="0"/>
                <w:sz w:val="16"/>
              </w:rPr>
              <w:t>27</w:t>
            </w:r>
          </w:p>
        </w:tc>
        <w:tc>
          <w:tcPr>
            <w:tcW w:type="dxa" w:w="3744"/>
            <w:vAlign w:val="center"/>
          </w:tcPr>
          <w:p>
            <w:pPr>
              <w:jc w:val="left"/>
            </w:pPr>
            <w:r/>
            <w:r>
              <w:rPr>
                <w:rFonts w:ascii="Calibri" w:hAnsi="Calibri"/>
                <w:b w:val="0"/>
                <w:sz w:val="16"/>
              </w:rPr>
              <w:t>Outside current contract basis unless formally changed.</w:t>
            </w:r>
          </w:p>
        </w:tc>
        <w:tc>
          <w:tcPr>
            <w:tcW w:type="dxa" w:w="3744"/>
            <w:vAlign w:val="center"/>
          </w:tcPr>
          <w:p>
            <w:pPr>
              <w:jc w:val="left"/>
            </w:pPr>
            <w:r/>
            <w:r>
              <w:rPr>
                <w:rFonts w:ascii="Calibri" w:hAnsi="Calibri"/>
                <w:b w:val="0"/>
                <w:sz w:val="16"/>
              </w:rPr>
              <w:t>No silent inclusion.</w:t>
            </w:r>
          </w:p>
        </w:tc>
      </w:tr>
    </w:tbl>
    <w:p/>
    <w:p>
      <w:pPr>
        <w:spacing w:after="80" w:line="259" w:lineRule="auto"/>
      </w:pPr>
      <w:r>
        <w:rPr>
          <w:i w:val="0"/>
        </w:rPr>
        <w:t>The current remaining quantity by family is not established. The report must not state that 212 typical bents remain. The figure 212 is the original typical-bent population within the 237 firm bents.</w:t>
      </w:r>
    </w:p>
    <w:p>
      <w:pPr>
        <w:pStyle w:val="Heading1"/>
        <w:spacing w:before="200" w:after="80"/>
      </w:pPr>
      <w:r>
        <w:t>6. Mobilisation, assembly and initial proving</w:t>
      </w:r>
    </w:p>
    <w:p>
      <w:pPr>
        <w:pStyle w:val="Heading2"/>
        <w:spacing w:before="200" w:after="80"/>
      </w:pPr>
      <w:r>
        <w:t>6.1 Pre-mobilisation engineering</w:t>
      </w:r>
    </w:p>
    <w:p>
      <w:pPr>
        <w:pStyle w:val="ListNumber"/>
        <w:spacing w:after="40"/>
      </w:pPr>
      <w:r>
        <w:t>Confirm the STL bent register, priority boundary, bathymetry, seabed and metocean basis.</w:t>
      </w:r>
    </w:p>
    <w:p>
      <w:pPr>
        <w:pStyle w:val="ListNumber"/>
        <w:spacing w:after="40"/>
      </w:pPr>
      <w:r>
        <w:t>Obtain the GGC/Hansen platform technical schedule: module dimensions, bare and rigged mass, buoyancy/freeboard, WLL/deck load, lift points, winch configuration, control system, sliding travel, locking, transport and commercial terms.</w:t>
      </w:r>
    </w:p>
    <w:p>
      <w:pPr>
        <w:pStyle w:val="ListNumber"/>
        <w:spacing w:after="40"/>
      </w:pPr>
      <w:r>
        <w:t>Develop the temporary-works load path for every platform state, including floating, hook-on, transition, suspended working, lowest working elevation, power loss, one-hoist fault, snag/stall, wind restraint, unoccupied survival and recovery.</w:t>
      </w:r>
    </w:p>
    <w:p>
      <w:pPr>
        <w:pStyle w:val="ListNumber"/>
        <w:spacing w:after="40"/>
      </w:pPr>
      <w:r>
        <w:t>Design traversing decks and platform-to-platform interfaces, including relative movement, locking, gap/edge protection and rescue.</w:t>
      </w:r>
    </w:p>
    <w:p>
      <w:pPr>
        <w:pStyle w:val="ListNumber"/>
        <w:spacing w:after="40"/>
      </w:pPr>
      <w:r>
        <w:t>Develop pile and headstock containment with airflow, pressure, filtration, waste and wash-water recovery, noise and wind acceptance criteria.</w:t>
      </w:r>
    </w:p>
    <w:p>
      <w:pPr>
        <w:pStyle w:val="ListNumber"/>
        <w:spacing w:after="40"/>
      </w:pPr>
      <w:r>
        <w:t>Select candidate JUB/workboats and confirm bathymetry, leg penetration, crane reach, deck layout, services, access tower moves, refuge and rates.</w:t>
      </w:r>
    </w:p>
    <w:p>
      <w:pPr>
        <w:pStyle w:val="ListNumber"/>
        <w:spacing w:after="40"/>
      </w:pPr>
      <w:r>
        <w:t>Prepare marine operations, SIMOPS, environmental, rescue, shipping, cyclone and wet-season plans.</w:t>
      </w:r>
    </w:p>
    <w:p>
      <w:pPr>
        <w:pStyle w:val="Heading2"/>
        <w:spacing w:before="200" w:after="80"/>
      </w:pPr>
      <w:r>
        <w:t>6.2 Assembly and proving sequence</w:t>
      </w:r>
    </w:p>
    <w:p>
      <w:pPr>
        <w:pStyle w:val="ListNumber"/>
        <w:spacing w:after="40"/>
      </w:pPr>
      <w:r>
        <w:t>Transport modular components to the nominated assembly base.</w:t>
      </w:r>
    </w:p>
    <w:p>
      <w:pPr>
        <w:pStyle w:val="ListNumber"/>
        <w:spacing w:after="40"/>
      </w:pPr>
      <w:r>
        <w:t>Assemble main platforms, handrails, buoyancy sections, winches, travelling supports, traversing decks and containment components.</w:t>
      </w:r>
    </w:p>
    <w:p>
      <w:pPr>
        <w:pStyle w:val="ListNumber"/>
        <w:spacing w:after="40"/>
      </w:pPr>
      <w:r>
        <w:t>Prepare the mass, centre-of-gravity and lifting-point schedule for every configuration.</w:t>
      </w:r>
    </w:p>
    <w:p>
      <w:pPr>
        <w:pStyle w:val="ListNumber"/>
        <w:spacing w:after="40"/>
      </w:pPr>
      <w:r>
        <w:t>Complete fabrication inspection, NDT, electrical function checks and load tests.</w:t>
      </w:r>
    </w:p>
    <w:p>
      <w:pPr>
        <w:pStyle w:val="ListNumber"/>
        <w:spacing w:after="40"/>
      </w:pPr>
      <w:r>
        <w:t>Assemble and trial the access tower, service umbilicals, emergency disconnect and manual/emergency lowering arrangement.</w:t>
      </w:r>
    </w:p>
    <w:p>
      <w:pPr>
        <w:pStyle w:val="ListNumber"/>
        <w:spacing w:after="40"/>
      </w:pPr>
      <w:r>
        <w:t>Complete a dry run of platform move, containment closure, rescue and cyclone-recovery sequence.</w:t>
      </w:r>
    </w:p>
    <w:p>
      <w:pPr>
        <w:pStyle w:val="ListNumber"/>
        <w:spacing w:after="40"/>
      </w:pPr>
      <w:r>
        <w:t>Mobilise the JUB, workboats, rescue craft, shore base, utilities, materials and waste systems.</w:t>
      </w:r>
    </w:p>
    <w:p>
      <w:pPr>
        <w:pStyle w:val="ListNumber"/>
        <w:spacing w:after="40"/>
      </w:pPr>
      <w:r>
        <w:t>Undertake a two-set proving campaign on representative bent families and record actual active time, elapsed holds, crew demand, weather limits, defects, rework and QA closeout.</w:t>
      </w:r>
    </w:p>
    <w:p>
      <w:pPr>
        <w:pStyle w:val="Heading1"/>
        <w:spacing w:before="200" w:after="80"/>
      </w:pPr>
      <w:r>
        <w:t>7. Bent deployment and relocation methodology</w:t>
      </w:r>
    </w:p>
    <w:tbl>
      <w:tblPr>
        <w:tblStyle w:val="TableGrid"/>
        <w:tblW w:type="auto" w:w="0"/>
        <w:jc w:val="center"/>
        <w:tblLook w:firstColumn="1" w:firstRow="1" w:lastColumn="0" w:lastRow="0" w:noHBand="0" w:noVBand="1" w:val="04A0"/>
      </w:tblPr>
      <w:tblGrid>
        <w:gridCol w:w="5184"/>
        <w:gridCol w:w="5184"/>
      </w:tblGrid>
      <w:tr>
        <w:tc>
          <w:tcPr>
            <w:tcW w:type="dxa" w:w="2016"/>
            <w:vAlign w:val="center"/>
            <w:shd w:fill="E8751A"/>
          </w:tcPr>
          <w:p>
            <w:pPr>
              <w:jc w:val="left"/>
            </w:pPr>
            <w:r/>
            <w:r>
              <w:rPr>
                <w:rFonts w:ascii="Calibri" w:hAnsi="Calibri"/>
                <w:b/>
                <w:color w:val="FFFFFF"/>
                <w:sz w:val="17"/>
              </w:rPr>
              <w:t>Stage</w:t>
            </w:r>
          </w:p>
        </w:tc>
        <w:tc>
          <w:tcPr>
            <w:tcW w:type="dxa" w:w="9216"/>
            <w:vAlign w:val="center"/>
            <w:shd w:fill="E8751A"/>
          </w:tcPr>
          <w:p>
            <w:pPr>
              <w:jc w:val="left"/>
            </w:pPr>
            <w:r/>
            <w:r>
              <w:rPr>
                <w:rFonts w:ascii="Calibri" w:hAnsi="Calibri"/>
                <w:b/>
                <w:color w:val="FFFFFF"/>
                <w:sz w:val="17"/>
              </w:rPr>
              <w:t>Detailed requirement</w:t>
            </w:r>
          </w:p>
        </w:tc>
      </w:tr>
      <w:tr>
        <w:tc>
          <w:tcPr>
            <w:tcW w:type="dxa" w:w="2016"/>
            <w:vAlign w:val="center"/>
            <w:shd w:fill="F2F2F2"/>
          </w:tcPr>
          <w:p>
            <w:pPr>
              <w:jc w:val="left"/>
            </w:pPr>
            <w:r/>
            <w:r>
              <w:rPr>
                <w:rFonts w:ascii="Calibri" w:hAnsi="Calibri"/>
                <w:b w:val="0"/>
                <w:sz w:val="17"/>
              </w:rPr>
              <w:t>Advance rigging</w:t>
            </w:r>
          </w:p>
        </w:tc>
        <w:tc>
          <w:tcPr>
            <w:tcW w:type="dxa" w:w="9216"/>
            <w:vAlign w:val="center"/>
            <w:shd w:fill="F2F2F2"/>
          </w:tcPr>
          <w:p>
            <w:pPr>
              <w:jc w:val="left"/>
            </w:pPr>
            <w:r/>
            <w:r>
              <w:rPr>
                <w:rFonts w:ascii="Calibri" w:hAnsi="Calibri"/>
                <w:b w:val="0"/>
                <w:sz w:val="17"/>
              </w:rPr>
              <w:t>Install and inspect the hang-off/sliding-clamp package at the next bent while the current set remains productive.</w:t>
            </w:r>
          </w:p>
        </w:tc>
      </w:tr>
      <w:tr>
        <w:tc>
          <w:tcPr>
            <w:tcW w:type="dxa" w:w="2016"/>
            <w:vAlign w:val="center"/>
          </w:tcPr>
          <w:p>
            <w:pPr>
              <w:jc w:val="left"/>
            </w:pPr>
            <w:r/>
            <w:r>
              <w:rPr>
                <w:rFonts w:ascii="Calibri" w:hAnsi="Calibri"/>
                <w:b w:val="0"/>
                <w:sz w:val="17"/>
              </w:rPr>
              <w:t>Tower placement</w:t>
            </w:r>
          </w:p>
        </w:tc>
        <w:tc>
          <w:tcPr>
            <w:tcW w:type="dxa" w:w="9216"/>
            <w:vAlign w:val="center"/>
          </w:tcPr>
          <w:p>
            <w:pPr>
              <w:jc w:val="left"/>
            </w:pPr>
            <w:r/>
            <w:r>
              <w:rPr>
                <w:rFonts w:ascii="Calibri" w:hAnsi="Calibri"/>
                <w:b w:val="0"/>
                <w:sz w:val="17"/>
              </w:rPr>
              <w:t>Use the JUB crane to position and secure the prefabricated access tower without exceeding the roadway load or obstruction limits.</w:t>
            </w:r>
          </w:p>
        </w:tc>
      </w:tr>
      <w:tr>
        <w:tc>
          <w:tcPr>
            <w:tcW w:type="dxa" w:w="2016"/>
            <w:vAlign w:val="center"/>
            <w:shd w:fill="F2F2F2"/>
          </w:tcPr>
          <w:p>
            <w:pPr>
              <w:jc w:val="left"/>
            </w:pPr>
            <w:r/>
            <w:r>
              <w:rPr>
                <w:rFonts w:ascii="Calibri" w:hAnsi="Calibri"/>
                <w:b w:val="0"/>
                <w:sz w:val="17"/>
              </w:rPr>
              <w:t>Float-in</w:t>
            </w:r>
          </w:p>
        </w:tc>
        <w:tc>
          <w:tcPr>
            <w:tcW w:type="dxa" w:w="9216"/>
            <w:vAlign w:val="center"/>
            <w:shd w:fill="F2F2F2"/>
          </w:tcPr>
          <w:p>
            <w:pPr>
              <w:jc w:val="left"/>
            </w:pPr>
            <w:r/>
            <w:r>
              <w:rPr>
                <w:rFonts w:ascii="Calibri" w:hAnsi="Calibri"/>
                <w:b w:val="0"/>
                <w:sz w:val="17"/>
              </w:rPr>
              <w:t>Tow/position the platform pair within the approved marine limit and exclusion zone.</w:t>
            </w:r>
          </w:p>
        </w:tc>
      </w:tr>
      <w:tr>
        <w:tc>
          <w:tcPr>
            <w:tcW w:type="dxa" w:w="2016"/>
            <w:vAlign w:val="center"/>
          </w:tcPr>
          <w:p>
            <w:pPr>
              <w:jc w:val="left"/>
            </w:pPr>
            <w:r/>
            <w:r>
              <w:rPr>
                <w:rFonts w:ascii="Calibri" w:hAnsi="Calibri"/>
                <w:b w:val="0"/>
                <w:sz w:val="17"/>
              </w:rPr>
              <w:t>Hook-on and lift</w:t>
            </w:r>
          </w:p>
        </w:tc>
        <w:tc>
          <w:tcPr>
            <w:tcW w:type="dxa" w:w="9216"/>
            <w:vAlign w:val="center"/>
          </w:tcPr>
          <w:p>
            <w:pPr>
              <w:jc w:val="left"/>
            </w:pPr>
            <w:r/>
            <w:r>
              <w:rPr>
                <w:rFonts w:ascii="Calibri" w:hAnsi="Calibri"/>
                <w:b w:val="0"/>
                <w:sz w:val="17"/>
              </w:rPr>
              <w:t>Connect the platform lifting points, synchronise winches, lift clear, verify level/load distribution and establish lateral restraint.</w:t>
            </w:r>
          </w:p>
        </w:tc>
      </w:tr>
      <w:tr>
        <w:tc>
          <w:tcPr>
            <w:tcW w:type="dxa" w:w="2016"/>
            <w:vAlign w:val="center"/>
            <w:shd w:fill="F2F2F2"/>
          </w:tcPr>
          <w:p>
            <w:pPr>
              <w:jc w:val="left"/>
            </w:pPr>
            <w:r/>
            <w:r>
              <w:rPr>
                <w:rFonts w:ascii="Calibri" w:hAnsi="Calibri"/>
                <w:b w:val="0"/>
                <w:sz w:val="17"/>
              </w:rPr>
              <w:t>Traversing decks</w:t>
            </w:r>
          </w:p>
        </w:tc>
        <w:tc>
          <w:tcPr>
            <w:tcW w:type="dxa" w:w="9216"/>
            <w:vAlign w:val="center"/>
            <w:shd w:fill="F2F2F2"/>
          </w:tcPr>
          <w:p>
            <w:pPr>
              <w:jc w:val="left"/>
            </w:pPr>
            <w:r/>
            <w:r>
              <w:rPr>
                <w:rFonts w:ascii="Calibri" w:hAnsi="Calibri"/>
                <w:b w:val="0"/>
                <w:sz w:val="17"/>
              </w:rPr>
              <w:t>Install, lock and inspect the traversing decks at the first pile position.</w:t>
            </w:r>
          </w:p>
        </w:tc>
      </w:tr>
      <w:tr>
        <w:tc>
          <w:tcPr>
            <w:tcW w:type="dxa" w:w="2016"/>
            <w:vAlign w:val="center"/>
          </w:tcPr>
          <w:p>
            <w:pPr>
              <w:jc w:val="left"/>
            </w:pPr>
            <w:r/>
            <w:r>
              <w:rPr>
                <w:rFonts w:ascii="Calibri" w:hAnsi="Calibri"/>
                <w:b w:val="0"/>
                <w:sz w:val="17"/>
              </w:rPr>
              <w:t>Services and access</w:t>
            </w:r>
          </w:p>
        </w:tc>
        <w:tc>
          <w:tcPr>
            <w:tcW w:type="dxa" w:w="9216"/>
            <w:vAlign w:val="center"/>
          </w:tcPr>
          <w:p>
            <w:pPr>
              <w:jc w:val="left"/>
            </w:pPr>
            <w:r/>
            <w:r>
              <w:rPr>
                <w:rFonts w:ascii="Calibri" w:hAnsi="Calibri"/>
                <w:b w:val="0"/>
                <w:sz w:val="17"/>
              </w:rPr>
              <w:t>Connect power, air, extraction, communications, rescue and emergency systems; complete pre-use checks.</w:t>
            </w:r>
          </w:p>
        </w:tc>
      </w:tr>
      <w:tr>
        <w:tc>
          <w:tcPr>
            <w:tcW w:type="dxa" w:w="2016"/>
            <w:vAlign w:val="center"/>
            <w:shd w:fill="F2F2F2"/>
          </w:tcPr>
          <w:p>
            <w:pPr>
              <w:jc w:val="left"/>
            </w:pPr>
            <w:r/>
            <w:r>
              <w:rPr>
                <w:rFonts w:ascii="Calibri" w:hAnsi="Calibri"/>
                <w:b w:val="0"/>
                <w:sz w:val="17"/>
              </w:rPr>
              <w:t>Production</w:t>
            </w:r>
          </w:p>
        </w:tc>
        <w:tc>
          <w:tcPr>
            <w:tcW w:type="dxa" w:w="9216"/>
            <w:vAlign w:val="center"/>
            <w:shd w:fill="F2F2F2"/>
          </w:tcPr>
          <w:p>
            <w:pPr>
              <w:jc w:val="left"/>
            </w:pPr>
            <w:r/>
            <w:r>
              <w:rPr>
                <w:rFonts w:ascii="Calibri" w:hAnsi="Calibri"/>
                <w:b w:val="0"/>
                <w:sz w:val="17"/>
              </w:rPr>
              <w:t>Keep the complete platform set at the bent through diagnosis, repair, coating, jackets, headstock work and QA release.</w:t>
            </w:r>
          </w:p>
        </w:tc>
      </w:tr>
      <w:tr>
        <w:tc>
          <w:tcPr>
            <w:tcW w:type="dxa" w:w="2016"/>
            <w:vAlign w:val="center"/>
          </w:tcPr>
          <w:p>
            <w:pPr>
              <w:jc w:val="left"/>
            </w:pPr>
            <w:r/>
            <w:r>
              <w:rPr>
                <w:rFonts w:ascii="Calibri" w:hAnsi="Calibri"/>
                <w:b w:val="0"/>
                <w:sz w:val="17"/>
              </w:rPr>
              <w:t>Move</w:t>
            </w:r>
          </w:p>
        </w:tc>
        <w:tc>
          <w:tcPr>
            <w:tcW w:type="dxa" w:w="9216"/>
            <w:vAlign w:val="center"/>
          </w:tcPr>
          <w:p>
            <w:pPr>
              <w:jc w:val="left"/>
            </w:pPr>
            <w:r/>
            <w:r>
              <w:rPr>
                <w:rFonts w:ascii="Calibri" w:hAnsi="Calibri"/>
                <w:b w:val="0"/>
                <w:sz w:val="17"/>
              </w:rPr>
              <w:t>Disconnect services, remove/relocate the tower, lower to flotation, tow to the pre-rigged bent, lift and recommission.</w:t>
            </w:r>
          </w:p>
        </w:tc>
      </w:tr>
    </w:tbl>
    <w:p/>
    <w:p>
      <w:pPr>
        <w:spacing w:after="80" w:line="259" w:lineRule="auto"/>
      </w:pPr>
      <w:r>
        <w:rPr>
          <w:i w:val="0"/>
        </w:rPr>
        <w:t>The current working relocation allowance is 11 hours per bent, comprising approximately four hours of advance rigging, one hour lower, two hours tow, two hours position/hook/lift, one hour tower move and one hour traversing decks/services. It is an unverified planning allowance and must be replaced by measured proving data. It should not be described as a few hours.</w:t>
      </w:r>
    </w:p>
    <w:p>
      <w:pPr>
        <w:pStyle w:val="Heading1"/>
        <w:spacing w:before="200" w:after="80"/>
      </w:pPr>
      <w:r>
        <w:t>8. Detailed work sequence at a typical bent</w:t>
      </w:r>
    </w:p>
    <w:p>
      <w:pPr>
        <w:pStyle w:val="Heading2"/>
        <w:spacing w:before="200" w:after="80"/>
      </w:pPr>
      <w:r>
        <w:t>8.1 Diagnostic and approval phase</w:t>
      </w:r>
    </w:p>
    <w:p>
      <w:pPr>
        <w:pStyle w:val="ListNumber"/>
        <w:spacing w:after="40"/>
      </w:pPr>
      <w:r>
        <w:t>Remove existing wrapping where required. Wash and clean the steel sufficiently for initial inspection.</w:t>
      </w:r>
    </w:p>
    <w:p>
      <w:pPr>
        <w:pStyle w:val="ListNumber"/>
        <w:spacing w:after="40"/>
      </w:pPr>
      <w:r>
        <w:t>Complete visual inspection and UT. Record condition by bent, pile and zone.</w:t>
      </w:r>
    </w:p>
    <w:p>
      <w:pPr>
        <w:pStyle w:val="ListNumber"/>
        <w:spacing w:after="40"/>
      </w:pPr>
      <w:r>
        <w:t>Close the half-shell around the first upper pile band, establish negative pressure, blast to Sa 2.5 and recover spent media and coating debris.</w:t>
      </w:r>
    </w:p>
    <w:p>
      <w:pPr>
        <w:pStyle w:val="ListNumber"/>
        <w:spacing w:after="40"/>
      </w:pPr>
      <w:r>
        <w:t>Open the shell, inspect the exposed steel and mark defects. Repeat on the second pile.</w:t>
      </w:r>
    </w:p>
    <w:p>
      <w:pPr>
        <w:pStyle w:val="ListNumber"/>
        <w:spacing w:after="40"/>
      </w:pPr>
      <w:r>
        <w:t>Use the headstock containment configuration to expose and mark headstock defects and interfaces.</w:t>
      </w:r>
    </w:p>
    <w:p>
      <w:pPr>
        <w:pStyle w:val="ListNumber"/>
        <w:spacing w:after="40"/>
      </w:pPr>
      <w:r>
        <w:t>Compile one bent-level repair package covering both piles and headstock. Submit for review and carry the approval hold while the set remains at the bent.</w:t>
      </w:r>
    </w:p>
    <w:p>
      <w:pPr>
        <w:pStyle w:val="ListNumber"/>
        <w:spacing w:after="40"/>
      </w:pPr>
      <w:r>
        <w:t>Prefabricate repair steel from the approved package before the repair crew mobilises to the work zone.</w:t>
      </w:r>
    </w:p>
    <w:p>
      <w:pPr>
        <w:spacing w:after="80" w:line="259" w:lineRule="auto"/>
      </w:pPr>
      <w:r>
        <w:rPr>
          <w:i w:val="0"/>
        </w:rPr>
        <w:t>The one bent-level approval is the current modelling basis. It is only valid if the reviewing engineer and STL accept that both piles and the headstock are exposed and marked before the submission. If approval remains pile-by-pile, the cycle and fleet requirement must include the additional hold.</w:t>
      </w:r>
    </w:p>
    <w:p>
      <w:pPr>
        <w:pStyle w:val="Heading2"/>
        <w:spacing w:before="200" w:after="80"/>
      </w:pPr>
      <w:r>
        <w:t>8.2 Pile 1 repair, coating and jacket</w:t>
      </w:r>
    </w:p>
    <w:p>
      <w:pPr>
        <w:pStyle w:val="ListNumber"/>
        <w:spacing w:after="40"/>
      </w:pPr>
      <w:r>
        <w:t>Prepare edges, fit repair plates and complete welding to the approved WPS.</w:t>
      </w:r>
    </w:p>
    <w:p>
      <w:pPr>
        <w:pStyle w:val="ListNumber"/>
        <w:spacing w:after="40"/>
      </w:pPr>
      <w:r>
        <w:t>Complete NDT, rectify rejected welds and obtain repair release.</w:t>
      </w:r>
    </w:p>
    <w:p>
      <w:pPr>
        <w:pStyle w:val="ListNumber"/>
        <w:spacing w:after="40"/>
      </w:pPr>
      <w:r>
        <w:t>Complete local post-weld surface preparation, profile and cleanliness checks.</w:t>
      </w:r>
    </w:p>
    <w:p>
      <w:pPr>
        <w:pStyle w:val="ListNumber"/>
        <w:spacing w:after="40"/>
      </w:pPr>
      <w:r>
        <w:t>Apply first coat within four hours of final preparation. Apply stripe coats to edges, welds and details.</w:t>
      </w:r>
    </w:p>
    <w:p>
      <w:pPr>
        <w:pStyle w:val="ListNumber"/>
        <w:spacing w:after="40"/>
      </w:pPr>
      <w:r>
        <w:t>Wash and thoroughly dry the first coat where required by G01. Verify recoat condition and apply the second coat within the 14 h to 14 d window.</w:t>
      </w:r>
    </w:p>
    <w:p>
      <w:pPr>
        <w:pStyle w:val="ListNumber"/>
        <w:spacing w:after="40"/>
      </w:pPr>
      <w:r>
        <w:t>Complete DFT, visual and adhesion/holiday checks as applicable.</w:t>
      </w:r>
    </w:p>
    <w:p>
      <w:pPr>
        <w:pStyle w:val="ListNumber"/>
        <w:spacing w:after="40"/>
      </w:pPr>
      <w:r>
        <w:t>Lower/reposition the platform and traversing deck for jacket work. Install and accept the above-LAT system.</w:t>
      </w:r>
    </w:p>
    <w:p>
      <w:pPr>
        <w:pStyle w:val="ListNumber"/>
        <w:spacing w:after="40"/>
      </w:pPr>
      <w:r>
        <w:t>Complete the below-LAT portion using the manufacturer/marine method once that method has been established.</w:t>
      </w:r>
    </w:p>
    <w:p>
      <w:pPr>
        <w:pStyle w:val="ListNumber"/>
        <w:spacing w:after="40"/>
      </w:pPr>
      <w:r>
        <w:t>Protect the completed pile from hot work, abrasive and overspray while pile 2 and headstock work proceeds. Reinspect before bent release.</w:t>
      </w:r>
    </w:p>
    <w:p>
      <w:pPr>
        <w:pStyle w:val="Heading2"/>
        <w:spacing w:before="200" w:after="80"/>
      </w:pPr>
      <w:r>
        <w:t>8.3 Pile 2 and headstock</w:t>
      </w:r>
    </w:p>
    <w:p>
      <w:pPr>
        <w:spacing w:after="80" w:line="259" w:lineRule="auto"/>
      </w:pPr>
      <w:r>
        <w:rPr>
          <w:i w:val="0"/>
        </w:rPr>
        <w:t>Repeat the approved repair, NDT, final preparation, coating and jacket sequence on pile 2. The main platforms remain at the bent. The containment halves and traversing decks move to the second pile. Complete the headstock and all relevant gallery-foot, keeper-angle and bearing-interface work under the dedicated headstock containment method. The order between pile 2 and headstock work must be reflected in the coating protection and SIMOPS plan.</w:t>
      </w:r>
    </w:p>
    <w:p>
      <w:pPr>
        <w:pStyle w:val="Heading2"/>
        <w:spacing w:before="200" w:after="80"/>
      </w:pPr>
      <w:r>
        <w:t>8.4 QA closeout</w:t>
      </w:r>
    </w:p>
    <w:p>
      <w:pPr>
        <w:pStyle w:val="ListBullet"/>
        <w:spacing w:after="40"/>
      </w:pPr>
      <w:r>
        <w:t>Approved repair records and material traceability complete.</w:t>
      </w:r>
    </w:p>
    <w:p>
      <w:pPr>
        <w:pStyle w:val="ListBullet"/>
        <w:spacing w:after="40"/>
      </w:pPr>
      <w:r>
        <w:t>Weld NDT accepted and rework closed.</w:t>
      </w:r>
    </w:p>
    <w:p>
      <w:pPr>
        <w:pStyle w:val="ListBullet"/>
        <w:spacing w:after="40"/>
      </w:pPr>
      <w:r>
        <w:t>Surface preparation and environmental records complete.</w:t>
      </w:r>
    </w:p>
    <w:p>
      <w:pPr>
        <w:pStyle w:val="ListBullet"/>
        <w:spacing w:after="40"/>
      </w:pPr>
      <w:r>
        <w:t>Coating DFT and quality records accepted.</w:t>
      </w:r>
    </w:p>
    <w:p>
      <w:pPr>
        <w:pStyle w:val="ListBullet"/>
        <w:spacing w:after="40"/>
      </w:pPr>
      <w:r>
        <w:t>Jacket lengths, overlaps, fixings, terminations and below-LAT acceptance recorded.</w:t>
      </w:r>
    </w:p>
    <w:p>
      <w:pPr>
        <w:pStyle w:val="ListBullet"/>
        <w:spacing w:after="40"/>
      </w:pPr>
      <w:r>
        <w:t>Gallery feet, keeper angles and other assigned interfaces complete.</w:t>
      </w:r>
    </w:p>
    <w:p>
      <w:pPr>
        <w:pStyle w:val="ListBullet"/>
        <w:spacing w:after="40"/>
      </w:pPr>
      <w:r>
        <w:t>Containment cleaned and waste reconciled.</w:t>
      </w:r>
    </w:p>
    <w:p>
      <w:pPr>
        <w:pStyle w:val="ListBullet"/>
        <w:spacing w:after="40"/>
      </w:pPr>
      <w:r>
        <w:t>Photographic and digital bent records accepted.</w:t>
      </w:r>
    </w:p>
    <w:p>
      <w:pPr>
        <w:pStyle w:val="ListBullet"/>
        <w:spacing w:after="40"/>
      </w:pPr>
      <w:r>
        <w:t>Bent released as QA-closed before it is counted as production.</w:t>
      </w:r>
    </w:p>
    <w:p>
      <w:pPr>
        <w:pStyle w:val="Heading1"/>
        <w:spacing w:before="200" w:after="80"/>
      </w:pPr>
      <w:r>
        <w:t>9. Marine logistics and support spread</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E8751A"/>
          </w:tcPr>
          <w:p>
            <w:pPr>
              <w:jc w:val="left"/>
            </w:pPr>
            <w:r/>
            <w:r>
              <w:rPr>
                <w:rFonts w:ascii="Calibri" w:hAnsi="Calibri"/>
                <w:b/>
                <w:color w:val="FFFFFF"/>
                <w:sz w:val="16"/>
              </w:rPr>
              <w:t>Element</w:t>
            </w:r>
          </w:p>
        </w:tc>
        <w:tc>
          <w:tcPr>
            <w:tcW w:type="dxa" w:w="4464"/>
            <w:vAlign w:val="center"/>
            <w:shd w:fill="E8751A"/>
          </w:tcPr>
          <w:p>
            <w:pPr>
              <w:jc w:val="left"/>
            </w:pPr>
            <w:r/>
            <w:r>
              <w:rPr>
                <w:rFonts w:ascii="Calibri" w:hAnsi="Calibri"/>
                <w:b/>
                <w:color w:val="FFFFFF"/>
                <w:sz w:val="16"/>
              </w:rPr>
              <w:t>Function</w:t>
            </w:r>
          </w:p>
        </w:tc>
        <w:tc>
          <w:tcPr>
            <w:tcW w:type="dxa" w:w="4752"/>
            <w:vAlign w:val="center"/>
            <w:shd w:fill="E8751A"/>
          </w:tcPr>
          <w:p>
            <w:pPr>
              <w:jc w:val="left"/>
            </w:pPr>
            <w:r/>
            <w:r>
              <w:rPr>
                <w:rFonts w:ascii="Calibri" w:hAnsi="Calibri"/>
                <w:b/>
                <w:color w:val="FFFFFF"/>
                <w:sz w:val="16"/>
              </w:rPr>
              <w:t>Key verification</w:t>
            </w:r>
          </w:p>
        </w:tc>
      </w:tr>
      <w:tr>
        <w:tc>
          <w:tcPr>
            <w:tcW w:type="dxa" w:w="2016"/>
            <w:vAlign w:val="center"/>
            <w:shd w:fill="F2F2F2"/>
          </w:tcPr>
          <w:p>
            <w:pPr>
              <w:jc w:val="left"/>
            </w:pPr>
            <w:r/>
            <w:r>
              <w:rPr>
                <w:rFonts w:ascii="Calibri" w:hAnsi="Calibri"/>
                <w:b w:val="0"/>
                <w:sz w:val="16"/>
              </w:rPr>
              <w:t>Jack-up barge</w:t>
            </w:r>
          </w:p>
        </w:tc>
        <w:tc>
          <w:tcPr>
            <w:tcW w:type="dxa" w:w="4464"/>
            <w:vAlign w:val="center"/>
            <w:shd w:fill="F2F2F2"/>
          </w:tcPr>
          <w:p>
            <w:pPr>
              <w:jc w:val="left"/>
            </w:pPr>
            <w:r/>
            <w:r>
              <w:rPr>
                <w:rFonts w:ascii="Calibri" w:hAnsi="Calibri"/>
                <w:b w:val="0"/>
                <w:sz w:val="16"/>
              </w:rPr>
              <w:t>Campaign utilities, crane, stores, waste, coating area, welfare and walk-to-work interface.</w:t>
            </w:r>
          </w:p>
        </w:tc>
        <w:tc>
          <w:tcPr>
            <w:tcW w:type="dxa" w:w="4752"/>
            <w:vAlign w:val="center"/>
            <w:shd w:fill="F2F2F2"/>
          </w:tcPr>
          <w:p>
            <w:pPr>
              <w:jc w:val="left"/>
            </w:pPr>
            <w:r/>
            <w:r>
              <w:rPr>
                <w:rFonts w:ascii="Calibri" w:hAnsi="Calibri"/>
                <w:b w:val="0"/>
                <w:sz w:val="16"/>
              </w:rPr>
              <w:t>Water depth, legs/seabed, deck load, crane reach, coverage per set-up, relocation and refuge.</w:t>
            </w:r>
          </w:p>
        </w:tc>
      </w:tr>
      <w:tr>
        <w:tc>
          <w:tcPr>
            <w:tcW w:type="dxa" w:w="2016"/>
            <w:vAlign w:val="center"/>
          </w:tcPr>
          <w:p>
            <w:pPr>
              <w:jc w:val="left"/>
            </w:pPr>
            <w:r/>
            <w:r>
              <w:rPr>
                <w:rFonts w:ascii="Calibri" w:hAnsi="Calibri"/>
                <w:b w:val="0"/>
                <w:sz w:val="16"/>
              </w:rPr>
              <w:t>Primary workboat</w:t>
            </w:r>
          </w:p>
        </w:tc>
        <w:tc>
          <w:tcPr>
            <w:tcW w:type="dxa" w:w="4464"/>
            <w:vAlign w:val="center"/>
          </w:tcPr>
          <w:p>
            <w:pPr>
              <w:jc w:val="left"/>
            </w:pPr>
            <w:r/>
            <w:r>
              <w:rPr>
                <w:rFonts w:ascii="Calibri" w:hAnsi="Calibri"/>
                <w:b w:val="0"/>
                <w:sz w:val="16"/>
              </w:rPr>
              <w:t>Platform positioning, tow, advance rigging, materials and local marine support.</w:t>
            </w:r>
          </w:p>
        </w:tc>
        <w:tc>
          <w:tcPr>
            <w:tcW w:type="dxa" w:w="4752"/>
            <w:vAlign w:val="center"/>
          </w:tcPr>
          <w:p>
            <w:pPr>
              <w:jc w:val="left"/>
            </w:pPr>
            <w:r/>
            <w:r>
              <w:rPr>
                <w:rFonts w:ascii="Calibri" w:hAnsi="Calibri"/>
                <w:b w:val="0"/>
                <w:sz w:val="16"/>
              </w:rPr>
              <w:t>Survey status, bollard pull, deck load, crew, weather limit and rescue interface.</w:t>
            </w:r>
          </w:p>
        </w:tc>
      </w:tr>
      <w:tr>
        <w:tc>
          <w:tcPr>
            <w:tcW w:type="dxa" w:w="2016"/>
            <w:vAlign w:val="center"/>
            <w:shd w:fill="F2F2F2"/>
          </w:tcPr>
          <w:p>
            <w:pPr>
              <w:jc w:val="left"/>
            </w:pPr>
            <w:r/>
            <w:r>
              <w:rPr>
                <w:rFonts w:ascii="Calibri" w:hAnsi="Calibri"/>
                <w:b w:val="0"/>
                <w:sz w:val="16"/>
              </w:rPr>
              <w:t>Rescue craft</w:t>
            </w:r>
          </w:p>
        </w:tc>
        <w:tc>
          <w:tcPr>
            <w:tcW w:type="dxa" w:w="4464"/>
            <w:vAlign w:val="center"/>
            <w:shd w:fill="F2F2F2"/>
          </w:tcPr>
          <w:p>
            <w:pPr>
              <w:jc w:val="left"/>
            </w:pPr>
            <w:r/>
            <w:r>
              <w:rPr>
                <w:rFonts w:ascii="Calibri" w:hAnsi="Calibri"/>
                <w:b w:val="0"/>
                <w:sz w:val="16"/>
              </w:rPr>
              <w:t>Dedicated recovery while personnel work over water.</w:t>
            </w:r>
          </w:p>
        </w:tc>
        <w:tc>
          <w:tcPr>
            <w:tcW w:type="dxa" w:w="4752"/>
            <w:vAlign w:val="center"/>
            <w:shd w:fill="F2F2F2"/>
          </w:tcPr>
          <w:p>
            <w:pPr>
              <w:jc w:val="left"/>
            </w:pPr>
            <w:r/>
            <w:r>
              <w:rPr>
                <w:rFonts w:ascii="Calibri" w:hAnsi="Calibri"/>
                <w:b w:val="0"/>
                <w:sz w:val="16"/>
              </w:rPr>
              <w:t>Stretcher recovery, crew competence and response time.</w:t>
            </w:r>
          </w:p>
        </w:tc>
      </w:tr>
      <w:tr>
        <w:tc>
          <w:tcPr>
            <w:tcW w:type="dxa" w:w="2016"/>
            <w:vAlign w:val="center"/>
          </w:tcPr>
          <w:p>
            <w:pPr>
              <w:jc w:val="left"/>
            </w:pPr>
            <w:r/>
            <w:r>
              <w:rPr>
                <w:rFonts w:ascii="Calibri" w:hAnsi="Calibri"/>
                <w:b w:val="0"/>
                <w:sz w:val="16"/>
              </w:rPr>
              <w:t>Access towers</w:t>
            </w:r>
          </w:p>
        </w:tc>
        <w:tc>
          <w:tcPr>
            <w:tcW w:type="dxa" w:w="4464"/>
            <w:vAlign w:val="center"/>
          </w:tcPr>
          <w:p>
            <w:pPr>
              <w:jc w:val="left"/>
            </w:pPr>
            <w:r/>
            <w:r>
              <w:rPr>
                <w:rFonts w:ascii="Calibri" w:hAnsi="Calibri"/>
                <w:b w:val="0"/>
                <w:sz w:val="16"/>
              </w:rPr>
              <w:t>Normal personnel access between jetty and working platform elevation.</w:t>
            </w:r>
          </w:p>
        </w:tc>
        <w:tc>
          <w:tcPr>
            <w:tcW w:type="dxa" w:w="4752"/>
            <w:vAlign w:val="center"/>
          </w:tcPr>
          <w:p>
            <w:pPr>
              <w:jc w:val="left"/>
            </w:pPr>
            <w:r/>
            <w:r>
              <w:rPr>
                <w:rFonts w:ascii="Calibri" w:hAnsi="Calibri"/>
                <w:b w:val="0"/>
                <w:sz w:val="16"/>
              </w:rPr>
              <w:t>Roadway load/clearance, support/clump weights, crane handling, elevation range and rescue.</w:t>
            </w:r>
          </w:p>
        </w:tc>
      </w:tr>
      <w:tr>
        <w:tc>
          <w:tcPr>
            <w:tcW w:type="dxa" w:w="2016"/>
            <w:vAlign w:val="center"/>
            <w:shd w:fill="F2F2F2"/>
          </w:tcPr>
          <w:p>
            <w:pPr>
              <w:jc w:val="left"/>
            </w:pPr>
            <w:r/>
            <w:r>
              <w:rPr>
                <w:rFonts w:ascii="Calibri" w:hAnsi="Calibri"/>
                <w:b w:val="0"/>
                <w:sz w:val="16"/>
              </w:rPr>
              <w:t>Service umbilicals</w:t>
            </w:r>
          </w:p>
        </w:tc>
        <w:tc>
          <w:tcPr>
            <w:tcW w:type="dxa" w:w="4464"/>
            <w:vAlign w:val="center"/>
            <w:shd w:fill="F2F2F2"/>
          </w:tcPr>
          <w:p>
            <w:pPr>
              <w:jc w:val="left"/>
            </w:pPr>
            <w:r/>
            <w:r>
              <w:rPr>
                <w:rFonts w:ascii="Calibri" w:hAnsi="Calibri"/>
                <w:b w:val="0"/>
                <w:sz w:val="16"/>
              </w:rPr>
              <w:t>Power, compressed/breathing air, extraction, communications and wash water.</w:t>
            </w:r>
          </w:p>
        </w:tc>
        <w:tc>
          <w:tcPr>
            <w:tcW w:type="dxa" w:w="4752"/>
            <w:vAlign w:val="center"/>
            <w:shd w:fill="F2F2F2"/>
          </w:tcPr>
          <w:p>
            <w:pPr>
              <w:jc w:val="left"/>
            </w:pPr>
            <w:r/>
            <w:r>
              <w:rPr>
                <w:rFonts w:ascii="Calibri" w:hAnsi="Calibri"/>
                <w:b w:val="0"/>
                <w:sz w:val="16"/>
              </w:rPr>
              <w:t>Vertical/lateral travel, supports, snag prevention, emergency disconnect and fault state.</w:t>
            </w:r>
          </w:p>
        </w:tc>
      </w:tr>
      <w:tr>
        <w:tc>
          <w:tcPr>
            <w:tcW w:type="dxa" w:w="2016"/>
            <w:vAlign w:val="center"/>
          </w:tcPr>
          <w:p>
            <w:pPr>
              <w:jc w:val="left"/>
            </w:pPr>
            <w:r/>
            <w:r>
              <w:rPr>
                <w:rFonts w:ascii="Calibri" w:hAnsi="Calibri"/>
                <w:b w:val="0"/>
                <w:sz w:val="16"/>
              </w:rPr>
              <w:t>Shore base</w:t>
            </w:r>
          </w:p>
        </w:tc>
        <w:tc>
          <w:tcPr>
            <w:tcW w:type="dxa" w:w="4464"/>
            <w:vAlign w:val="center"/>
          </w:tcPr>
          <w:p>
            <w:pPr>
              <w:jc w:val="left"/>
            </w:pPr>
            <w:r/>
            <w:r>
              <w:rPr>
                <w:rFonts w:ascii="Calibri" w:hAnsi="Calibri"/>
                <w:b w:val="0"/>
                <w:sz w:val="16"/>
              </w:rPr>
              <w:t>Assembly, spares, waste staging, fuel, maintenance and emergency support.</w:t>
            </w:r>
          </w:p>
        </w:tc>
        <w:tc>
          <w:tcPr>
            <w:tcW w:type="dxa" w:w="4752"/>
            <w:vAlign w:val="center"/>
          </w:tcPr>
          <w:p>
            <w:pPr>
              <w:jc w:val="left"/>
            </w:pPr>
            <w:r/>
            <w:r>
              <w:rPr>
                <w:rFonts w:ascii="Calibri" w:hAnsi="Calibri"/>
                <w:b w:val="0"/>
                <w:sz w:val="16"/>
              </w:rPr>
              <w:t>Location, road access, environmental controls and cyclone refuge.</w:t>
            </w:r>
          </w:p>
        </w:tc>
      </w:tr>
    </w:tbl>
    <w:p/>
    <w:p>
      <w:pPr>
        <w:spacing w:after="80" w:line="259" w:lineRule="auto"/>
      </w:pPr>
      <w:r>
        <w:rPr>
          <w:i w:val="0"/>
        </w:rPr>
        <w:t>The JUB should remain off the production critical path only if the selected unit can support the number of simultaneous sets, access tower moves, utilities, stores and cyclone recovery without stopping the bent work. That is a design objective, not a proven fact.</w:t>
      </w:r>
    </w:p>
    <w:p>
      <w:pPr>
        <w:pStyle w:val="Heading1"/>
        <w:spacing w:before="200" w:after="80"/>
      </w:pPr>
      <w:r>
        <w:t>10. HSE, SIMOPS, environmental and assurance requirements</w:t>
      </w:r>
    </w:p>
    <w:p>
      <w:pPr>
        <w:pStyle w:val="ListBullet"/>
        <w:spacing w:after="40"/>
      </w:pPr>
      <w:r>
        <w:t>RPEQ design and independent check of temporary works and host-structure interfaces.</w:t>
      </w:r>
    </w:p>
    <w:p>
      <w:pPr>
        <w:pStyle w:val="ListBullet"/>
        <w:spacing w:after="40"/>
      </w:pPr>
      <w:r>
        <w:t>Activity-specific marine limits for tow, hook-on, lift, occupied work, lowest position, lowering, survival and recovery.</w:t>
      </w:r>
    </w:p>
    <w:p>
      <w:pPr>
        <w:pStyle w:val="ListBullet"/>
        <w:spacing w:after="40"/>
      </w:pPr>
      <w:r>
        <w:t>Synchronised winch controls, load monitoring, fault detection, emergency/manual lowering and a controlled response to unequal load, stall, snag and power loss.</w:t>
      </w:r>
    </w:p>
    <w:p>
      <w:pPr>
        <w:pStyle w:val="ListBullet"/>
        <w:spacing w:after="40"/>
      </w:pPr>
      <w:r>
        <w:t>Two independent egress/recovery means demonstrated at every operating elevation, including a stretcher route and drill.</w:t>
      </w:r>
    </w:p>
    <w:p>
      <w:pPr>
        <w:pStyle w:val="ListBullet"/>
        <w:spacing w:after="40"/>
      </w:pPr>
      <w:r>
        <w:t>SIMOPS matrix covering hot work, blasting, coating, NDT, jacket work, boat movement and suspended loads, including minimum bent separation and wind/plume rules.</w:t>
      </w:r>
    </w:p>
    <w:p>
      <w:pPr>
        <w:pStyle w:val="ListBullet"/>
        <w:spacing w:after="40"/>
      </w:pPr>
      <w:r>
        <w:t>Dropped-object controls, tool tethering, exclusion zones, lighting and communications.</w:t>
      </w:r>
    </w:p>
    <w:p>
      <w:pPr>
        <w:pStyle w:val="ListBullet"/>
        <w:spacing w:after="40"/>
      </w:pPr>
      <w:r>
        <w:t>Negative-pressure containment with boundary monitoring, filtration, breathing-air controls, abrasive recovery, wash-water containment, noise controls and sealed waste.</w:t>
      </w:r>
    </w:p>
    <w:p>
      <w:pPr>
        <w:pStyle w:val="ListBullet"/>
        <w:spacing w:after="40"/>
      </w:pPr>
      <w:r>
        <w:t>Dugong, seagrass, GBRMPA/port and other environmental/approval pathway confirmed before procurement.</w:t>
      </w:r>
    </w:p>
    <w:p>
      <w:pPr>
        <w:pStyle w:val="ListBullet"/>
        <w:spacing w:after="40"/>
      </w:pPr>
      <w:r>
        <w:t>Marine insurance and vessel status reviewed by operation class, including P&amp;I, hull, pollution, workers compensation, professional indemnity and environmental liability.</w:t>
      </w:r>
    </w:p>
    <w:p>
      <w:pPr>
        <w:pStyle w:val="ListBullet"/>
        <w:spacing w:after="40"/>
      </w:pPr>
      <w:r>
        <w:t>Two-day ship make-safe procedure and timed restart.</w:t>
      </w:r>
    </w:p>
    <w:p>
      <w:pPr>
        <w:pStyle w:val="ListBullet"/>
        <w:spacing w:after="40"/>
      </w:pPr>
      <w:r>
        <w:t>Full wet-season demobilisation and cyclone recovery to a confirmed refuge within the available warning time.</w:t>
      </w:r>
    </w:p>
    <w:p>
      <w:pPr>
        <w:pStyle w:val="Heading1"/>
        <w:spacing w:before="200" w:after="80"/>
      </w:pPr>
      <w:r>
        <w:t>11. Productivity and fleet model</w:t>
      </w:r>
    </w:p>
    <w:p>
      <w:pPr>
        <w:pStyle w:val="Heading2"/>
        <w:spacing w:before="200" w:after="80"/>
      </w:pPr>
      <w:r>
        <w:t>11.1 Measurement basis</w:t>
      </w:r>
    </w:p>
    <w:p>
      <w:pPr>
        <w:spacing w:after="80" w:line="259" w:lineRule="auto"/>
      </w:pPr>
      <w:r>
        <w:rPr>
          <w:i w:val="0"/>
        </w:rPr>
        <w:t>The only acceptable proposed output measure is fully completed and QA-closed bents per week. Current payment-stage equivalents must remain separate. Access, inspection, weld, coating or jacket quantities are supporting production indicators, not completed bents.</w:t>
      </w:r>
    </w:p>
    <w:p>
      <w:pPr>
        <w:pStyle w:val="Heading2"/>
        <w:spacing w:before="200" w:after="80"/>
      </w:pPr>
      <w:r>
        <w:t>11.2 Stress-case requirement</w:t>
      </w:r>
    </w:p>
    <w:p>
      <w:pPr>
        <w:spacing w:after="80" w:line="259" w:lineRule="auto"/>
      </w:pPr>
      <w:r>
        <w:rPr>
          <w:i w:val="0"/>
        </w:rPr>
        <w:t>The conservative whole-scope stress test is 227 bents over 60 nominal production weeks, equal to 3.783 QA-closed bents per week. A dated calendar must then apply the known outage, ship calls, proving/ramp-up, wet-season transitions and other explicit blocks. Residual availability is used only for stochastic weather and breakdown so losses are not double counted.</w:t>
      </w:r>
    </w:p>
    <w:p>
      <w:pPr>
        <w:pStyle w:val="Heading2"/>
        <w:spacing w:before="200" w:after="80"/>
      </w:pPr>
      <w:r>
        <w:t>11.3 Current incomplete cycle</w:t>
      </w:r>
    </w:p>
    <w:tbl>
      <w:tblPr>
        <w:tblStyle w:val="TableGrid"/>
        <w:tblW w:type="auto" w:w="0"/>
        <w:jc w:val="center"/>
        <w:tblLook w:firstColumn="1" w:firstRow="1" w:lastColumn="0" w:lastRow="0" w:noHBand="0" w:noVBand="1" w:val="04A0"/>
      </w:tblPr>
      <w:tblGrid>
        <w:gridCol w:w="3456"/>
        <w:gridCol w:w="3456"/>
        <w:gridCol w:w="3456"/>
      </w:tblGrid>
      <w:tr>
        <w:tc>
          <w:tcPr>
            <w:tcW w:type="dxa" w:w="5040"/>
            <w:vAlign w:val="center"/>
            <w:shd w:fill="E8751A"/>
          </w:tcPr>
          <w:p>
            <w:pPr>
              <w:jc w:val="left"/>
            </w:pPr>
            <w:r/>
            <w:r>
              <w:rPr>
                <w:rFonts w:ascii="Calibri" w:hAnsi="Calibri"/>
                <w:b/>
                <w:color w:val="FFFFFF"/>
                <w:sz w:val="17"/>
              </w:rPr>
              <w:t>Activity</w:t>
            </w:r>
          </w:p>
        </w:tc>
        <w:tc>
          <w:tcPr>
            <w:tcW w:type="dxa" w:w="1728"/>
            <w:vAlign w:val="center"/>
            <w:shd w:fill="E8751A"/>
          </w:tcPr>
          <w:p>
            <w:pPr>
              <w:jc w:val="left"/>
            </w:pPr>
            <w:r/>
            <w:r>
              <w:rPr>
                <w:rFonts w:ascii="Calibri" w:hAnsi="Calibri"/>
                <w:b/>
                <w:color w:val="FFFFFF"/>
                <w:sz w:val="17"/>
              </w:rPr>
              <w:t>Shifts / days</w:t>
            </w:r>
          </w:p>
        </w:tc>
        <w:tc>
          <w:tcPr>
            <w:tcW w:type="dxa" w:w="4464"/>
            <w:vAlign w:val="center"/>
            <w:shd w:fill="E8751A"/>
          </w:tcPr>
          <w:p>
            <w:pPr>
              <w:jc w:val="left"/>
            </w:pPr>
            <w:r/>
            <w:r>
              <w:rPr>
                <w:rFonts w:ascii="Calibri" w:hAnsi="Calibri"/>
                <w:b/>
                <w:color w:val="FFFFFF"/>
                <w:sz w:val="17"/>
              </w:rPr>
              <w:t>Status</w:t>
            </w:r>
          </w:p>
        </w:tc>
      </w:tr>
      <w:tr>
        <w:tc>
          <w:tcPr>
            <w:tcW w:type="dxa" w:w="5040"/>
            <w:vAlign w:val="center"/>
            <w:shd w:fill="F2F2F2"/>
          </w:tcPr>
          <w:p>
            <w:pPr>
              <w:jc w:val="left"/>
            </w:pPr>
            <w:r/>
            <w:r>
              <w:rPr>
                <w:rFonts w:ascii="Calibri" w:hAnsi="Calibri"/>
                <w:b w:val="0"/>
                <w:sz w:val="17"/>
              </w:rPr>
              <w:t>Wash, inspect and UT</w:t>
            </w:r>
          </w:p>
        </w:tc>
        <w:tc>
          <w:tcPr>
            <w:tcW w:type="dxa" w:w="1728"/>
            <w:vAlign w:val="center"/>
            <w:shd w:fill="F2F2F2"/>
          </w:tcPr>
          <w:p>
            <w:pPr>
              <w:jc w:val="left"/>
            </w:pPr>
            <w:r/>
            <w:r>
              <w:rPr>
                <w:rFonts w:ascii="Calibri" w:hAnsi="Calibri"/>
                <w:b w:val="0"/>
                <w:sz w:val="17"/>
              </w:rPr>
              <w:t>1.0</w:t>
            </w:r>
          </w:p>
        </w:tc>
        <w:tc>
          <w:tcPr>
            <w:tcW w:type="dxa" w:w="4464"/>
            <w:vAlign w:val="center"/>
            <w:shd w:fill="F2F2F2"/>
          </w:tcPr>
          <w:p>
            <w:pPr>
              <w:jc w:val="left"/>
            </w:pPr>
            <w:r/>
            <w:r>
              <w:rPr>
                <w:rFonts w:ascii="Calibri" w:hAnsi="Calibri"/>
                <w:b w:val="0"/>
                <w:sz w:val="17"/>
              </w:rPr>
              <w:t>Included</w:t>
            </w:r>
          </w:p>
        </w:tc>
      </w:tr>
      <w:tr>
        <w:tc>
          <w:tcPr>
            <w:tcW w:type="dxa" w:w="5040"/>
            <w:vAlign w:val="center"/>
          </w:tcPr>
          <w:p>
            <w:pPr>
              <w:jc w:val="left"/>
            </w:pPr>
            <w:r/>
            <w:r>
              <w:rPr>
                <w:rFonts w:ascii="Calibri" w:hAnsi="Calibri"/>
                <w:b w:val="0"/>
                <w:sz w:val="17"/>
              </w:rPr>
              <w:t>Diagnostic blast, two pile bands</w:t>
            </w:r>
          </w:p>
        </w:tc>
        <w:tc>
          <w:tcPr>
            <w:tcW w:type="dxa" w:w="1728"/>
            <w:vAlign w:val="center"/>
          </w:tcPr>
          <w:p>
            <w:pPr>
              <w:jc w:val="left"/>
            </w:pPr>
            <w:r/>
            <w:r>
              <w:rPr>
                <w:rFonts w:ascii="Calibri" w:hAnsi="Calibri"/>
                <w:b w:val="0"/>
                <w:sz w:val="17"/>
              </w:rPr>
              <w:t>1.0</w:t>
            </w:r>
          </w:p>
        </w:tc>
        <w:tc>
          <w:tcPr>
            <w:tcW w:type="dxa" w:w="4464"/>
            <w:vAlign w:val="center"/>
          </w:tcPr>
          <w:p>
            <w:pPr>
              <w:jc w:val="left"/>
            </w:pPr>
            <w:r/>
            <w:r>
              <w:rPr>
                <w:rFonts w:ascii="Calibri" w:hAnsi="Calibri"/>
                <w:b w:val="0"/>
                <w:sz w:val="17"/>
              </w:rPr>
              <w:t>Included, conservative work-lot allowance</w:t>
            </w:r>
          </w:p>
        </w:tc>
      </w:tr>
      <w:tr>
        <w:tc>
          <w:tcPr>
            <w:tcW w:type="dxa" w:w="5040"/>
            <w:vAlign w:val="center"/>
            <w:shd w:fill="F2F2F2"/>
          </w:tcPr>
          <w:p>
            <w:pPr>
              <w:jc w:val="left"/>
            </w:pPr>
            <w:r/>
            <w:r>
              <w:rPr>
                <w:rFonts w:ascii="Calibri" w:hAnsi="Calibri"/>
                <w:b w:val="0"/>
                <w:sz w:val="17"/>
              </w:rPr>
              <w:t>Mark-up and repair package</w:t>
            </w:r>
          </w:p>
        </w:tc>
        <w:tc>
          <w:tcPr>
            <w:tcW w:type="dxa" w:w="1728"/>
            <w:vAlign w:val="center"/>
            <w:shd w:fill="F2F2F2"/>
          </w:tcPr>
          <w:p>
            <w:pPr>
              <w:jc w:val="left"/>
            </w:pPr>
            <w:r/>
            <w:r>
              <w:rPr>
                <w:rFonts w:ascii="Calibri" w:hAnsi="Calibri"/>
                <w:b w:val="0"/>
                <w:sz w:val="17"/>
              </w:rPr>
              <w:t>0.5</w:t>
            </w:r>
          </w:p>
        </w:tc>
        <w:tc>
          <w:tcPr>
            <w:tcW w:type="dxa" w:w="4464"/>
            <w:vAlign w:val="center"/>
            <w:shd w:fill="F2F2F2"/>
          </w:tcPr>
          <w:p>
            <w:pPr>
              <w:jc w:val="left"/>
            </w:pPr>
            <w:r/>
            <w:r>
              <w:rPr>
                <w:rFonts w:ascii="Calibri" w:hAnsi="Calibri"/>
                <w:b w:val="0"/>
                <w:sz w:val="17"/>
              </w:rPr>
              <w:t>Included</w:t>
            </w:r>
          </w:p>
        </w:tc>
      </w:tr>
      <w:tr>
        <w:tc>
          <w:tcPr>
            <w:tcW w:type="dxa" w:w="5040"/>
            <w:vAlign w:val="center"/>
          </w:tcPr>
          <w:p>
            <w:pPr>
              <w:jc w:val="left"/>
            </w:pPr>
            <w:r/>
            <w:r>
              <w:rPr>
                <w:rFonts w:ascii="Calibri" w:hAnsi="Calibri"/>
                <w:b w:val="0"/>
                <w:sz w:val="17"/>
              </w:rPr>
              <w:t>Bent-level approval hold</w:t>
            </w:r>
          </w:p>
        </w:tc>
        <w:tc>
          <w:tcPr>
            <w:tcW w:type="dxa" w:w="1728"/>
            <w:vAlign w:val="center"/>
          </w:tcPr>
          <w:p>
            <w:pPr>
              <w:jc w:val="left"/>
            </w:pPr>
            <w:r/>
            <w:r>
              <w:rPr>
                <w:rFonts w:ascii="Calibri" w:hAnsi="Calibri"/>
                <w:b w:val="0"/>
                <w:sz w:val="17"/>
              </w:rPr>
              <w:t>3.0</w:t>
            </w:r>
          </w:p>
        </w:tc>
        <w:tc>
          <w:tcPr>
            <w:tcW w:type="dxa" w:w="4464"/>
            <w:vAlign w:val="center"/>
          </w:tcPr>
          <w:p>
            <w:pPr>
              <w:jc w:val="left"/>
            </w:pPr>
            <w:r/>
            <w:r>
              <w:rPr>
                <w:rFonts w:ascii="Calibri" w:hAnsi="Calibri"/>
                <w:b w:val="0"/>
                <w:sz w:val="17"/>
              </w:rPr>
              <w:t>Assumption requiring confirmation</w:t>
            </w:r>
          </w:p>
        </w:tc>
      </w:tr>
      <w:tr>
        <w:tc>
          <w:tcPr>
            <w:tcW w:type="dxa" w:w="5040"/>
            <w:vAlign w:val="center"/>
            <w:shd w:fill="F2F2F2"/>
          </w:tcPr>
          <w:p>
            <w:pPr>
              <w:jc w:val="left"/>
            </w:pPr>
            <w:r/>
            <w:r>
              <w:rPr>
                <w:rFonts w:ascii="Calibri" w:hAnsi="Calibri"/>
                <w:b w:val="0"/>
                <w:sz w:val="17"/>
              </w:rPr>
              <w:t>Welding and NDT</w:t>
            </w:r>
          </w:p>
        </w:tc>
        <w:tc>
          <w:tcPr>
            <w:tcW w:type="dxa" w:w="1728"/>
            <w:vAlign w:val="center"/>
            <w:shd w:fill="F2F2F2"/>
          </w:tcPr>
          <w:p>
            <w:pPr>
              <w:jc w:val="left"/>
            </w:pPr>
            <w:r/>
            <w:r>
              <w:rPr>
                <w:rFonts w:ascii="Calibri" w:hAnsi="Calibri"/>
                <w:b w:val="0"/>
                <w:sz w:val="17"/>
              </w:rPr>
              <w:t>4.42</w:t>
            </w:r>
          </w:p>
        </w:tc>
        <w:tc>
          <w:tcPr>
            <w:tcW w:type="dxa" w:w="4464"/>
            <w:vAlign w:val="center"/>
            <w:shd w:fill="F2F2F2"/>
          </w:tcPr>
          <w:p>
            <w:pPr>
              <w:jc w:val="left"/>
            </w:pPr>
            <w:r/>
            <w:r>
              <w:rPr>
                <w:rFonts w:ascii="Calibri" w:hAnsi="Calibri"/>
                <w:b w:val="0"/>
                <w:sz w:val="17"/>
              </w:rPr>
              <w:t>53 lm / two crews / six accepted lm per crew-shift</w:t>
            </w:r>
          </w:p>
        </w:tc>
      </w:tr>
      <w:tr>
        <w:tc>
          <w:tcPr>
            <w:tcW w:type="dxa" w:w="5040"/>
            <w:vAlign w:val="center"/>
          </w:tcPr>
          <w:p>
            <w:pPr>
              <w:jc w:val="left"/>
            </w:pPr>
            <w:r/>
            <w:r>
              <w:rPr>
                <w:rFonts w:ascii="Calibri" w:hAnsi="Calibri"/>
                <w:b w:val="0"/>
                <w:sz w:val="17"/>
              </w:rPr>
              <w:t>Post-weld preparation</w:t>
            </w:r>
          </w:p>
        </w:tc>
        <w:tc>
          <w:tcPr>
            <w:tcW w:type="dxa" w:w="1728"/>
            <w:vAlign w:val="center"/>
          </w:tcPr>
          <w:p>
            <w:pPr>
              <w:jc w:val="left"/>
            </w:pPr>
            <w:r/>
            <w:r>
              <w:rPr>
                <w:rFonts w:ascii="Calibri" w:hAnsi="Calibri"/>
                <w:b w:val="0"/>
                <w:sz w:val="17"/>
              </w:rPr>
              <w:t>0.5</w:t>
            </w:r>
          </w:p>
        </w:tc>
        <w:tc>
          <w:tcPr>
            <w:tcW w:type="dxa" w:w="4464"/>
            <w:vAlign w:val="center"/>
          </w:tcPr>
          <w:p>
            <w:pPr>
              <w:jc w:val="left"/>
            </w:pPr>
            <w:r/>
            <w:r>
              <w:rPr>
                <w:rFonts w:ascii="Calibri" w:hAnsi="Calibri"/>
                <w:b w:val="0"/>
                <w:sz w:val="17"/>
              </w:rPr>
              <w:t>Included assumption</w:t>
            </w:r>
          </w:p>
        </w:tc>
      </w:tr>
      <w:tr>
        <w:tc>
          <w:tcPr>
            <w:tcW w:type="dxa" w:w="5040"/>
            <w:vAlign w:val="center"/>
            <w:shd w:fill="F2F2F2"/>
          </w:tcPr>
          <w:p>
            <w:pPr>
              <w:jc w:val="left"/>
            </w:pPr>
            <w:r/>
            <w:r>
              <w:rPr>
                <w:rFonts w:ascii="Calibri" w:hAnsi="Calibri"/>
                <w:b w:val="0"/>
                <w:sz w:val="17"/>
              </w:rPr>
              <w:t>Coating active work</w:t>
            </w:r>
          </w:p>
        </w:tc>
        <w:tc>
          <w:tcPr>
            <w:tcW w:type="dxa" w:w="1728"/>
            <w:vAlign w:val="center"/>
            <w:shd w:fill="F2F2F2"/>
          </w:tcPr>
          <w:p>
            <w:pPr>
              <w:jc w:val="left"/>
            </w:pPr>
            <w:r/>
            <w:r>
              <w:rPr>
                <w:rFonts w:ascii="Calibri" w:hAnsi="Calibri"/>
                <w:b w:val="0"/>
                <w:sz w:val="17"/>
              </w:rPr>
              <w:t>1.5</w:t>
            </w:r>
          </w:p>
        </w:tc>
        <w:tc>
          <w:tcPr>
            <w:tcW w:type="dxa" w:w="4464"/>
            <w:vAlign w:val="center"/>
            <w:shd w:fill="F2F2F2"/>
          </w:tcPr>
          <w:p>
            <w:pPr>
              <w:jc w:val="left"/>
            </w:pPr>
            <w:r/>
            <w:r>
              <w:rPr>
                <w:rFonts w:ascii="Calibri" w:hAnsi="Calibri"/>
                <w:b w:val="0"/>
                <w:sz w:val="17"/>
              </w:rPr>
              <w:t>Elapsed recoat hold not included</w:t>
            </w:r>
          </w:p>
        </w:tc>
      </w:tr>
      <w:tr>
        <w:tc>
          <w:tcPr>
            <w:tcW w:type="dxa" w:w="5040"/>
            <w:vAlign w:val="center"/>
          </w:tcPr>
          <w:p>
            <w:pPr>
              <w:jc w:val="left"/>
            </w:pPr>
            <w:r/>
            <w:r>
              <w:rPr>
                <w:rFonts w:ascii="Calibri" w:hAnsi="Calibri"/>
                <w:b w:val="0"/>
                <w:sz w:val="17"/>
              </w:rPr>
              <w:t>Jackets above LAT</w:t>
            </w:r>
          </w:p>
        </w:tc>
        <w:tc>
          <w:tcPr>
            <w:tcW w:type="dxa" w:w="1728"/>
            <w:vAlign w:val="center"/>
          </w:tcPr>
          <w:p>
            <w:pPr>
              <w:jc w:val="left"/>
            </w:pPr>
            <w:r/>
            <w:r>
              <w:rPr>
                <w:rFonts w:ascii="Calibri" w:hAnsi="Calibri"/>
                <w:b w:val="0"/>
                <w:sz w:val="17"/>
              </w:rPr>
              <w:t>1.0</w:t>
            </w:r>
          </w:p>
        </w:tc>
        <w:tc>
          <w:tcPr>
            <w:tcW w:type="dxa" w:w="4464"/>
            <w:vAlign w:val="center"/>
          </w:tcPr>
          <w:p>
            <w:pPr>
              <w:jc w:val="left"/>
            </w:pPr>
            <w:r/>
            <w:r>
              <w:rPr>
                <w:rFonts w:ascii="Calibri" w:hAnsi="Calibri"/>
                <w:b w:val="0"/>
                <w:sz w:val="17"/>
              </w:rPr>
              <w:t>Timed trial required</w:t>
            </w:r>
          </w:p>
        </w:tc>
      </w:tr>
      <w:tr>
        <w:tc>
          <w:tcPr>
            <w:tcW w:type="dxa" w:w="5040"/>
            <w:vAlign w:val="center"/>
            <w:shd w:fill="F2F2F2"/>
          </w:tcPr>
          <w:p>
            <w:pPr>
              <w:jc w:val="left"/>
            </w:pPr>
            <w:r/>
            <w:r>
              <w:rPr>
                <w:rFonts w:ascii="Calibri" w:hAnsi="Calibri"/>
                <w:b w:val="0"/>
                <w:sz w:val="17"/>
              </w:rPr>
              <w:t>Relocation</w:t>
            </w:r>
          </w:p>
        </w:tc>
        <w:tc>
          <w:tcPr>
            <w:tcW w:type="dxa" w:w="1728"/>
            <w:vAlign w:val="center"/>
            <w:shd w:fill="F2F2F2"/>
          </w:tcPr>
          <w:p>
            <w:pPr>
              <w:jc w:val="left"/>
            </w:pPr>
            <w:r/>
            <w:r>
              <w:rPr>
                <w:rFonts w:ascii="Calibri" w:hAnsi="Calibri"/>
                <w:b w:val="0"/>
                <w:sz w:val="17"/>
              </w:rPr>
              <w:t>1.1</w:t>
            </w:r>
          </w:p>
        </w:tc>
        <w:tc>
          <w:tcPr>
            <w:tcW w:type="dxa" w:w="4464"/>
            <w:vAlign w:val="center"/>
            <w:shd w:fill="F2F2F2"/>
          </w:tcPr>
          <w:p>
            <w:pPr>
              <w:jc w:val="left"/>
            </w:pPr>
            <w:r/>
            <w:r>
              <w:rPr>
                <w:rFonts w:ascii="Calibri" w:hAnsi="Calibri"/>
                <w:b w:val="0"/>
                <w:sz w:val="17"/>
              </w:rPr>
              <w:t>11 h / 10 h shift</w:t>
            </w:r>
          </w:p>
        </w:tc>
      </w:tr>
      <w:tr>
        <w:tc>
          <w:tcPr>
            <w:tcW w:type="dxa" w:w="5040"/>
            <w:vAlign w:val="center"/>
          </w:tcPr>
          <w:p>
            <w:pPr>
              <w:jc w:val="left"/>
            </w:pPr>
            <w:r/>
            <w:r>
              <w:rPr>
                <w:rFonts w:ascii="Calibri" w:hAnsi="Calibri"/>
                <w:b w:val="0"/>
                <w:sz w:val="17"/>
              </w:rPr>
              <w:t>Headstock containment/work</w:t>
            </w:r>
          </w:p>
        </w:tc>
        <w:tc>
          <w:tcPr>
            <w:tcW w:type="dxa" w:w="1728"/>
            <w:vAlign w:val="center"/>
          </w:tcPr>
          <w:p>
            <w:pPr>
              <w:jc w:val="left"/>
            </w:pPr>
            <w:r/>
            <w:r>
              <w:rPr>
                <w:rFonts w:ascii="Calibri" w:hAnsi="Calibri"/>
                <w:b w:val="0"/>
                <w:sz w:val="17"/>
              </w:rPr>
              <w:t>TBC</w:t>
            </w:r>
          </w:p>
        </w:tc>
        <w:tc>
          <w:tcPr>
            <w:tcW w:type="dxa" w:w="4464"/>
            <w:vAlign w:val="center"/>
          </w:tcPr>
          <w:p>
            <w:pPr>
              <w:jc w:val="left"/>
            </w:pPr>
            <w:r/>
            <w:r>
              <w:rPr>
                <w:rFonts w:ascii="Calibri" w:hAnsi="Calibri"/>
                <w:b w:val="0"/>
                <w:sz w:val="17"/>
              </w:rPr>
              <w:t>Not modelled</w:t>
            </w:r>
          </w:p>
        </w:tc>
      </w:tr>
      <w:tr>
        <w:tc>
          <w:tcPr>
            <w:tcW w:type="dxa" w:w="5040"/>
            <w:vAlign w:val="center"/>
            <w:shd w:fill="F2F2F2"/>
          </w:tcPr>
          <w:p>
            <w:pPr>
              <w:jc w:val="left"/>
            </w:pPr>
            <w:r/>
            <w:r>
              <w:rPr>
                <w:rFonts w:ascii="Calibri" w:hAnsi="Calibri"/>
                <w:b w:val="0"/>
                <w:sz w:val="17"/>
              </w:rPr>
              <w:t>Below-LAT jacket work</w:t>
            </w:r>
          </w:p>
        </w:tc>
        <w:tc>
          <w:tcPr>
            <w:tcW w:type="dxa" w:w="1728"/>
            <w:vAlign w:val="center"/>
            <w:shd w:fill="F2F2F2"/>
          </w:tcPr>
          <w:p>
            <w:pPr>
              <w:jc w:val="left"/>
            </w:pPr>
            <w:r/>
            <w:r>
              <w:rPr>
                <w:rFonts w:ascii="Calibri" w:hAnsi="Calibri"/>
                <w:b w:val="0"/>
                <w:sz w:val="17"/>
              </w:rPr>
              <w:t>TBC</w:t>
            </w:r>
          </w:p>
        </w:tc>
        <w:tc>
          <w:tcPr>
            <w:tcW w:type="dxa" w:w="4464"/>
            <w:vAlign w:val="center"/>
            <w:shd w:fill="F2F2F2"/>
          </w:tcPr>
          <w:p>
            <w:pPr>
              <w:jc w:val="left"/>
            </w:pPr>
            <w:r/>
            <w:r>
              <w:rPr>
                <w:rFonts w:ascii="Calibri" w:hAnsi="Calibri"/>
                <w:b w:val="0"/>
                <w:sz w:val="17"/>
              </w:rPr>
              <w:t>Not modelled</w:t>
            </w:r>
          </w:p>
        </w:tc>
      </w:tr>
      <w:tr>
        <w:tc>
          <w:tcPr>
            <w:tcW w:type="dxa" w:w="5040"/>
            <w:vAlign w:val="center"/>
          </w:tcPr>
          <w:p>
            <w:pPr>
              <w:jc w:val="left"/>
            </w:pPr>
            <w:r/>
            <w:r>
              <w:rPr>
                <w:rFonts w:ascii="Calibri" w:hAnsi="Calibri"/>
                <w:b w:val="0"/>
                <w:sz w:val="17"/>
              </w:rPr>
              <w:t>Clean-out/QA/rework</w:t>
            </w:r>
          </w:p>
        </w:tc>
        <w:tc>
          <w:tcPr>
            <w:tcW w:type="dxa" w:w="1728"/>
            <w:vAlign w:val="center"/>
          </w:tcPr>
          <w:p>
            <w:pPr>
              <w:jc w:val="left"/>
            </w:pPr>
            <w:r/>
            <w:r>
              <w:rPr>
                <w:rFonts w:ascii="Calibri" w:hAnsi="Calibri"/>
                <w:b w:val="0"/>
                <w:sz w:val="17"/>
              </w:rPr>
              <w:t>TBC</w:t>
            </w:r>
          </w:p>
        </w:tc>
        <w:tc>
          <w:tcPr>
            <w:tcW w:type="dxa" w:w="4464"/>
            <w:vAlign w:val="center"/>
          </w:tcPr>
          <w:p>
            <w:pPr>
              <w:jc w:val="left"/>
            </w:pPr>
            <w:r/>
            <w:r>
              <w:rPr>
                <w:rFonts w:ascii="Calibri" w:hAnsi="Calibri"/>
                <w:b w:val="0"/>
                <w:sz w:val="17"/>
              </w:rPr>
              <w:t>Not modelled</w:t>
            </w:r>
          </w:p>
        </w:tc>
      </w:tr>
      <w:tr>
        <w:tc>
          <w:tcPr>
            <w:tcW w:type="dxa" w:w="5040"/>
            <w:vAlign w:val="center"/>
            <w:shd w:fill="F2F2F2"/>
          </w:tcPr>
          <w:p>
            <w:pPr>
              <w:jc w:val="left"/>
            </w:pPr>
            <w:r/>
            <w:r>
              <w:rPr>
                <w:rFonts w:ascii="Calibri" w:hAnsi="Calibri"/>
                <w:b w:val="0"/>
                <w:sz w:val="17"/>
              </w:rPr>
              <w:t>Coating elapsed hold occupancy</w:t>
            </w:r>
          </w:p>
        </w:tc>
        <w:tc>
          <w:tcPr>
            <w:tcW w:type="dxa" w:w="1728"/>
            <w:vAlign w:val="center"/>
            <w:shd w:fill="F2F2F2"/>
          </w:tcPr>
          <w:p>
            <w:pPr>
              <w:jc w:val="left"/>
            </w:pPr>
            <w:r/>
            <w:r>
              <w:rPr>
                <w:rFonts w:ascii="Calibri" w:hAnsi="Calibri"/>
                <w:b w:val="0"/>
                <w:sz w:val="17"/>
              </w:rPr>
              <w:t>TBC</w:t>
            </w:r>
          </w:p>
        </w:tc>
        <w:tc>
          <w:tcPr>
            <w:tcW w:type="dxa" w:w="4464"/>
            <w:vAlign w:val="center"/>
            <w:shd w:fill="F2F2F2"/>
          </w:tcPr>
          <w:p>
            <w:pPr>
              <w:jc w:val="left"/>
            </w:pPr>
            <w:r/>
            <w:r>
              <w:rPr>
                <w:rFonts w:ascii="Calibri" w:hAnsi="Calibri"/>
                <w:b w:val="0"/>
                <w:sz w:val="17"/>
              </w:rPr>
              <w:t>Not modelled</w:t>
            </w:r>
          </w:p>
        </w:tc>
      </w:tr>
    </w:tbl>
    <w:p/>
    <w:p>
      <w:pPr>
        <w:spacing w:after="80" w:line="259" w:lineRule="auto"/>
      </w:pPr>
      <w:r>
        <w:rPr>
          <w:i w:val="0"/>
        </w:rPr>
        <w:t>The represented subtotal is 14.02 shifts at one shift per day. It is not a demonstrated elapsed cycle and must not be used as a committed production rate. Four material components remain outside it.</w:t>
      </w:r>
    </w:p>
    <w:p>
      <w:pPr>
        <w:jc w:val="center"/>
      </w:pPr>
      <w:r>
        <w:drawing>
          <wp:inline xmlns:a="http://schemas.openxmlformats.org/drawingml/2006/main" xmlns:pic="http://schemas.openxmlformats.org/drawingml/2006/picture">
            <wp:extent cx="5852160" cy="3251200"/>
            <wp:docPr id="5" name="Picture 5"/>
            <wp:cNvGraphicFramePr>
              <a:graphicFrameLocks noChangeAspect="1"/>
            </wp:cNvGraphicFramePr>
            <a:graphic>
              <a:graphicData uri="http://schemas.openxmlformats.org/drawingml/2006/picture">
                <pic:pic>
                  <pic:nvPicPr>
                    <pic:cNvPr id="0" name="sets_output.png"/>
                    <pic:cNvPicPr/>
                  </pic:nvPicPr>
                  <pic:blipFill>
                    <a:blip r:embed="rId15"/>
                    <a:stretch>
                      <a:fillRect/>
                    </a:stretch>
                  </pic:blipFill>
                  <pic:spPr>
                    <a:xfrm>
                      <a:off x="0" y="0"/>
                      <a:ext cx="5852160" cy="3251200"/>
                    </a:xfrm>
                    <a:prstGeom prst="rect"/>
                  </pic:spPr>
                </pic:pic>
              </a:graphicData>
            </a:graphic>
          </wp:inline>
        </w:drawing>
      </w:r>
    </w:p>
    <w:p>
      <w:pPr>
        <w:jc w:val="center"/>
      </w:pPr>
      <w:r>
        <w:rPr>
          <w:i/>
          <w:color w:val="646464"/>
          <w:sz w:val="16"/>
        </w:rPr>
        <w:t>Figure 5. Base incomplete model output by complete access sets. Diagnostic only.</w:t>
      </w:r>
    </w:p>
    <w:p>
      <w:pPr>
        <w:pStyle w:val="Heading2"/>
        <w:spacing w:before="200" w:after="80"/>
      </w:pPr>
      <w:r>
        <w:t>11.4 Improvement sensitivities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3312"/>
            <w:vAlign w:val="center"/>
            <w:shd w:fill="E8751A"/>
          </w:tcPr>
          <w:p>
            <w:pPr>
              <w:jc w:val="left"/>
            </w:pPr>
            <w:r/>
            <w:r>
              <w:rPr>
                <w:rFonts w:ascii="Calibri" w:hAnsi="Calibri"/>
                <w:b/>
                <w:color w:val="FFFFFF"/>
                <w:sz w:val="16"/>
              </w:rPr>
              <w:t>Scenario</w:t>
            </w:r>
          </w:p>
        </w:tc>
        <w:tc>
          <w:tcPr>
            <w:tcW w:type="dxa" w:w="1440"/>
            <w:vAlign w:val="center"/>
            <w:shd w:fill="E8751A"/>
          </w:tcPr>
          <w:p>
            <w:pPr>
              <w:jc w:val="left"/>
            </w:pPr>
            <w:r/>
            <w:r>
              <w:rPr>
                <w:rFonts w:ascii="Calibri" w:hAnsi="Calibri"/>
                <w:b/>
                <w:color w:val="FFFFFF"/>
                <w:sz w:val="16"/>
              </w:rPr>
              <w:t>Weld crews/set</w:t>
            </w:r>
          </w:p>
        </w:tc>
        <w:tc>
          <w:tcPr>
            <w:tcW w:type="dxa" w:w="1872"/>
            <w:vAlign w:val="center"/>
            <w:shd w:fill="E8751A"/>
          </w:tcPr>
          <w:p>
            <w:pPr>
              <w:jc w:val="left"/>
            </w:pPr>
            <w:r/>
            <w:r>
              <w:rPr>
                <w:rFonts w:ascii="Calibri" w:hAnsi="Calibri"/>
                <w:b/>
                <w:color w:val="FFFFFF"/>
                <w:sz w:val="16"/>
              </w:rPr>
              <w:t>Accepted lm/crew-shift</w:t>
            </w:r>
          </w:p>
        </w:tc>
        <w:tc>
          <w:tcPr>
            <w:tcW w:type="dxa" w:w="1440"/>
            <w:vAlign w:val="center"/>
            <w:shd w:fill="E8751A"/>
          </w:tcPr>
          <w:p>
            <w:pPr>
              <w:jc w:val="left"/>
            </w:pPr>
            <w:r/>
            <w:r>
              <w:rPr>
                <w:rFonts w:ascii="Calibri" w:hAnsi="Calibri"/>
                <w:b/>
                <w:color w:val="FFFFFF"/>
                <w:sz w:val="16"/>
              </w:rPr>
              <w:t>Routine hold, d</w:t>
            </w:r>
          </w:p>
        </w:tc>
        <w:tc>
          <w:tcPr>
            <w:tcW w:type="dxa" w:w="1152"/>
            <w:vAlign w:val="center"/>
            <w:shd w:fill="E8751A"/>
          </w:tcPr>
          <w:p>
            <w:pPr>
              <w:jc w:val="left"/>
            </w:pPr>
            <w:r/>
            <w:r>
              <w:rPr>
                <w:rFonts w:ascii="Calibri" w:hAnsi="Calibri"/>
                <w:b/>
                <w:color w:val="FFFFFF"/>
                <w:sz w:val="16"/>
              </w:rPr>
              <w:t>Cycle, d</w:t>
            </w:r>
          </w:p>
        </w:tc>
        <w:tc>
          <w:tcPr>
            <w:tcW w:type="dxa" w:w="2160"/>
            <w:vAlign w:val="center"/>
            <w:shd w:fill="E8751A"/>
          </w:tcPr>
          <w:p>
            <w:pPr>
              <w:jc w:val="left"/>
            </w:pPr>
            <w:r/>
            <w:r>
              <w:rPr>
                <w:rFonts w:ascii="Calibri" w:hAnsi="Calibri"/>
                <w:b/>
                <w:color w:val="FFFFFF"/>
                <w:sz w:val="16"/>
              </w:rPr>
              <w:t>Sets required at 3.783/week</w:t>
            </w:r>
          </w:p>
        </w:tc>
      </w:tr>
      <w:tr>
        <w:tc>
          <w:tcPr>
            <w:tcW w:type="dxa" w:w="3312"/>
            <w:vAlign w:val="center"/>
            <w:shd w:fill="F2F2F2"/>
          </w:tcPr>
          <w:p>
            <w:pPr>
              <w:jc w:val="left"/>
            </w:pPr>
            <w:r/>
            <w:r>
              <w:rPr>
                <w:rFonts w:ascii="Calibri" w:hAnsi="Calibri"/>
                <w:b w:val="0"/>
                <w:sz w:val="16"/>
              </w:rPr>
              <w:t>S1 base incomplete</w:t>
            </w:r>
          </w:p>
        </w:tc>
        <w:tc>
          <w:tcPr>
            <w:tcW w:type="dxa" w:w="1440"/>
            <w:vAlign w:val="center"/>
            <w:shd w:fill="F2F2F2"/>
          </w:tcPr>
          <w:p>
            <w:pPr>
              <w:jc w:val="left"/>
            </w:pPr>
            <w:r/>
            <w:r>
              <w:rPr>
                <w:rFonts w:ascii="Calibri" w:hAnsi="Calibri"/>
                <w:b w:val="0"/>
                <w:sz w:val="16"/>
              </w:rPr>
              <w:t>2</w:t>
            </w:r>
          </w:p>
        </w:tc>
        <w:tc>
          <w:tcPr>
            <w:tcW w:type="dxa" w:w="1872"/>
            <w:vAlign w:val="center"/>
            <w:shd w:fill="F2F2F2"/>
          </w:tcPr>
          <w:p>
            <w:pPr>
              <w:jc w:val="left"/>
            </w:pPr>
            <w:r/>
            <w:r>
              <w:rPr>
                <w:rFonts w:ascii="Calibri" w:hAnsi="Calibri"/>
                <w:b w:val="0"/>
                <w:sz w:val="16"/>
              </w:rPr>
              <w:t>6</w:t>
            </w:r>
          </w:p>
        </w:tc>
        <w:tc>
          <w:tcPr>
            <w:tcW w:type="dxa" w:w="1440"/>
            <w:vAlign w:val="center"/>
            <w:shd w:fill="F2F2F2"/>
          </w:tcPr>
          <w:p>
            <w:pPr>
              <w:jc w:val="left"/>
            </w:pPr>
            <w:r/>
            <w:r>
              <w:rPr>
                <w:rFonts w:ascii="Calibri" w:hAnsi="Calibri"/>
                <w:b w:val="0"/>
                <w:sz w:val="16"/>
              </w:rPr>
              <w:t>3</w:t>
            </w:r>
          </w:p>
        </w:tc>
        <w:tc>
          <w:tcPr>
            <w:tcW w:type="dxa" w:w="1152"/>
            <w:vAlign w:val="center"/>
            <w:shd w:fill="F2F2F2"/>
          </w:tcPr>
          <w:p>
            <w:pPr>
              <w:jc w:val="left"/>
            </w:pPr>
            <w:r/>
            <w:r>
              <w:rPr>
                <w:rFonts w:ascii="Calibri" w:hAnsi="Calibri"/>
                <w:b w:val="0"/>
                <w:sz w:val="16"/>
              </w:rPr>
              <w:t>14.02</w:t>
            </w:r>
          </w:p>
        </w:tc>
        <w:tc>
          <w:tcPr>
            <w:tcW w:type="dxa" w:w="2160"/>
            <w:vAlign w:val="center"/>
            <w:shd w:fill="F2F2F2"/>
          </w:tcPr>
          <w:p>
            <w:pPr>
              <w:jc w:val="left"/>
            </w:pPr>
            <w:r/>
            <w:r>
              <w:rPr>
                <w:rFonts w:ascii="Calibri" w:hAnsi="Calibri"/>
                <w:b w:val="0"/>
                <w:sz w:val="16"/>
              </w:rPr>
              <w:t>11</w:t>
            </w:r>
          </w:p>
        </w:tc>
      </w:tr>
      <w:tr>
        <w:tc>
          <w:tcPr>
            <w:tcW w:type="dxa" w:w="3312"/>
            <w:vAlign w:val="center"/>
          </w:tcPr>
          <w:p>
            <w:pPr>
              <w:jc w:val="left"/>
            </w:pPr>
            <w:r/>
            <w:r>
              <w:rPr>
                <w:rFonts w:ascii="Calibri" w:hAnsi="Calibri"/>
                <w:b w:val="0"/>
                <w:sz w:val="16"/>
              </w:rPr>
              <w:t>S2 improved welding</w:t>
            </w:r>
          </w:p>
        </w:tc>
        <w:tc>
          <w:tcPr>
            <w:tcW w:type="dxa" w:w="1440"/>
            <w:vAlign w:val="center"/>
          </w:tcPr>
          <w:p>
            <w:pPr>
              <w:jc w:val="left"/>
            </w:pPr>
            <w:r/>
            <w:r>
              <w:rPr>
                <w:rFonts w:ascii="Calibri" w:hAnsi="Calibri"/>
                <w:b w:val="0"/>
                <w:sz w:val="16"/>
              </w:rPr>
              <w:t>4</w:t>
            </w:r>
          </w:p>
        </w:tc>
        <w:tc>
          <w:tcPr>
            <w:tcW w:type="dxa" w:w="1872"/>
            <w:vAlign w:val="center"/>
          </w:tcPr>
          <w:p>
            <w:pPr>
              <w:jc w:val="left"/>
            </w:pPr>
            <w:r/>
            <w:r>
              <w:rPr>
                <w:rFonts w:ascii="Calibri" w:hAnsi="Calibri"/>
                <w:b w:val="0"/>
                <w:sz w:val="16"/>
              </w:rPr>
              <w:t>8</w:t>
            </w:r>
          </w:p>
        </w:tc>
        <w:tc>
          <w:tcPr>
            <w:tcW w:type="dxa" w:w="1440"/>
            <w:vAlign w:val="center"/>
          </w:tcPr>
          <w:p>
            <w:pPr>
              <w:jc w:val="left"/>
            </w:pPr>
            <w:r/>
            <w:r>
              <w:rPr>
                <w:rFonts w:ascii="Calibri" w:hAnsi="Calibri"/>
                <w:b w:val="0"/>
                <w:sz w:val="16"/>
              </w:rPr>
              <w:t>3</w:t>
            </w:r>
          </w:p>
        </w:tc>
        <w:tc>
          <w:tcPr>
            <w:tcW w:type="dxa" w:w="1152"/>
            <w:vAlign w:val="center"/>
          </w:tcPr>
          <w:p>
            <w:pPr>
              <w:jc w:val="left"/>
            </w:pPr>
            <w:r/>
            <w:r>
              <w:rPr>
                <w:rFonts w:ascii="Calibri" w:hAnsi="Calibri"/>
                <w:b w:val="0"/>
                <w:sz w:val="16"/>
              </w:rPr>
              <w:t>11.26</w:t>
            </w:r>
          </w:p>
        </w:tc>
        <w:tc>
          <w:tcPr>
            <w:tcW w:type="dxa" w:w="2160"/>
            <w:vAlign w:val="center"/>
          </w:tcPr>
          <w:p>
            <w:pPr>
              <w:jc w:val="left"/>
            </w:pPr>
            <w:r/>
            <w:r>
              <w:rPr>
                <w:rFonts w:ascii="Calibri" w:hAnsi="Calibri"/>
                <w:b w:val="0"/>
                <w:sz w:val="16"/>
              </w:rPr>
              <w:t>9</w:t>
            </w:r>
          </w:p>
        </w:tc>
      </w:tr>
      <w:tr>
        <w:tc>
          <w:tcPr>
            <w:tcW w:type="dxa" w:w="3312"/>
            <w:vAlign w:val="center"/>
            <w:shd w:fill="F2F2F2"/>
          </w:tcPr>
          <w:p>
            <w:pPr>
              <w:jc w:val="left"/>
            </w:pPr>
            <w:r/>
            <w:r>
              <w:rPr>
                <w:rFonts w:ascii="Calibri" w:hAnsi="Calibri"/>
                <w:b w:val="0"/>
                <w:sz w:val="16"/>
              </w:rPr>
              <w:t>S3 repair library / no routine hold</w:t>
            </w:r>
          </w:p>
        </w:tc>
        <w:tc>
          <w:tcPr>
            <w:tcW w:type="dxa" w:w="1440"/>
            <w:vAlign w:val="center"/>
            <w:shd w:fill="F2F2F2"/>
          </w:tcPr>
          <w:p>
            <w:pPr>
              <w:jc w:val="left"/>
            </w:pPr>
            <w:r/>
            <w:r>
              <w:rPr>
                <w:rFonts w:ascii="Calibri" w:hAnsi="Calibri"/>
                <w:b w:val="0"/>
                <w:sz w:val="16"/>
              </w:rPr>
              <w:t>4</w:t>
            </w:r>
          </w:p>
        </w:tc>
        <w:tc>
          <w:tcPr>
            <w:tcW w:type="dxa" w:w="1872"/>
            <w:vAlign w:val="center"/>
            <w:shd w:fill="F2F2F2"/>
          </w:tcPr>
          <w:p>
            <w:pPr>
              <w:jc w:val="left"/>
            </w:pPr>
            <w:r/>
            <w:r>
              <w:rPr>
                <w:rFonts w:ascii="Calibri" w:hAnsi="Calibri"/>
                <w:b w:val="0"/>
                <w:sz w:val="16"/>
              </w:rPr>
              <w:t>8</w:t>
            </w:r>
          </w:p>
        </w:tc>
        <w:tc>
          <w:tcPr>
            <w:tcW w:type="dxa" w:w="1440"/>
            <w:vAlign w:val="center"/>
            <w:shd w:fill="F2F2F2"/>
          </w:tcPr>
          <w:p>
            <w:pPr>
              <w:jc w:val="left"/>
            </w:pPr>
            <w:r/>
            <w:r>
              <w:rPr>
                <w:rFonts w:ascii="Calibri" w:hAnsi="Calibri"/>
                <w:b w:val="0"/>
                <w:sz w:val="16"/>
              </w:rPr>
              <w:t>0</w:t>
            </w:r>
          </w:p>
        </w:tc>
        <w:tc>
          <w:tcPr>
            <w:tcW w:type="dxa" w:w="1152"/>
            <w:vAlign w:val="center"/>
            <w:shd w:fill="F2F2F2"/>
          </w:tcPr>
          <w:p>
            <w:pPr>
              <w:jc w:val="left"/>
            </w:pPr>
            <w:r/>
            <w:r>
              <w:rPr>
                <w:rFonts w:ascii="Calibri" w:hAnsi="Calibri"/>
                <w:b w:val="0"/>
                <w:sz w:val="16"/>
              </w:rPr>
              <w:t>8.26</w:t>
            </w:r>
          </w:p>
        </w:tc>
        <w:tc>
          <w:tcPr>
            <w:tcW w:type="dxa" w:w="2160"/>
            <w:vAlign w:val="center"/>
            <w:shd w:fill="F2F2F2"/>
          </w:tcPr>
          <w:p>
            <w:pPr>
              <w:jc w:val="left"/>
            </w:pPr>
            <w:r/>
            <w:r>
              <w:rPr>
                <w:rFonts w:ascii="Calibri" w:hAnsi="Calibri"/>
                <w:b w:val="0"/>
                <w:sz w:val="16"/>
              </w:rPr>
              <w:t>7</w:t>
            </w:r>
          </w:p>
        </w:tc>
      </w:tr>
      <w:tr>
        <w:tc>
          <w:tcPr>
            <w:tcW w:type="dxa" w:w="3312"/>
            <w:vAlign w:val="center"/>
          </w:tcPr>
          <w:p>
            <w:pPr>
              <w:jc w:val="left"/>
            </w:pPr>
            <w:r/>
            <w:r>
              <w:rPr>
                <w:rFonts w:ascii="Calibri" w:hAnsi="Calibri"/>
                <w:b w:val="0"/>
                <w:sz w:val="16"/>
              </w:rPr>
              <w:t>S4 stronger weld / no routine hold</w:t>
            </w:r>
          </w:p>
        </w:tc>
        <w:tc>
          <w:tcPr>
            <w:tcW w:type="dxa" w:w="1440"/>
            <w:vAlign w:val="center"/>
          </w:tcPr>
          <w:p>
            <w:pPr>
              <w:jc w:val="left"/>
            </w:pPr>
            <w:r/>
            <w:r>
              <w:rPr>
                <w:rFonts w:ascii="Calibri" w:hAnsi="Calibri"/>
                <w:b w:val="0"/>
                <w:sz w:val="16"/>
              </w:rPr>
              <w:t>6</w:t>
            </w:r>
          </w:p>
        </w:tc>
        <w:tc>
          <w:tcPr>
            <w:tcW w:type="dxa" w:w="1872"/>
            <w:vAlign w:val="center"/>
          </w:tcPr>
          <w:p>
            <w:pPr>
              <w:jc w:val="left"/>
            </w:pPr>
            <w:r/>
            <w:r>
              <w:rPr>
                <w:rFonts w:ascii="Calibri" w:hAnsi="Calibri"/>
                <w:b w:val="0"/>
                <w:sz w:val="16"/>
              </w:rPr>
              <w:t>10</w:t>
            </w:r>
          </w:p>
        </w:tc>
        <w:tc>
          <w:tcPr>
            <w:tcW w:type="dxa" w:w="1440"/>
            <w:vAlign w:val="center"/>
          </w:tcPr>
          <w:p>
            <w:pPr>
              <w:jc w:val="left"/>
            </w:pPr>
            <w:r/>
            <w:r>
              <w:rPr>
                <w:rFonts w:ascii="Calibri" w:hAnsi="Calibri"/>
                <w:b w:val="0"/>
                <w:sz w:val="16"/>
              </w:rPr>
              <w:t>0</w:t>
            </w:r>
          </w:p>
        </w:tc>
        <w:tc>
          <w:tcPr>
            <w:tcW w:type="dxa" w:w="1152"/>
            <w:vAlign w:val="center"/>
          </w:tcPr>
          <w:p>
            <w:pPr>
              <w:jc w:val="left"/>
            </w:pPr>
            <w:r/>
            <w:r>
              <w:rPr>
                <w:rFonts w:ascii="Calibri" w:hAnsi="Calibri"/>
                <w:b w:val="0"/>
                <w:sz w:val="16"/>
              </w:rPr>
              <w:t>7.48</w:t>
            </w:r>
          </w:p>
        </w:tc>
        <w:tc>
          <w:tcPr>
            <w:tcW w:type="dxa" w:w="2160"/>
            <w:vAlign w:val="center"/>
          </w:tcPr>
          <w:p>
            <w:pPr>
              <w:jc w:val="left"/>
            </w:pPr>
            <w:r/>
            <w:r>
              <w:rPr>
                <w:rFonts w:ascii="Calibri" w:hAnsi="Calibri"/>
                <w:b w:val="0"/>
                <w:sz w:val="16"/>
              </w:rPr>
              <w:t>6</w:t>
            </w:r>
          </w:p>
        </w:tc>
      </w:tr>
    </w:tbl>
    <w:p/>
    <w:p>
      <w:pPr>
        <w:jc w:val="center"/>
      </w:pPr>
      <w:r>
        <w:drawing>
          <wp:inline xmlns:a="http://schemas.openxmlformats.org/drawingml/2006/main" xmlns:pic="http://schemas.openxmlformats.org/drawingml/2006/picture">
            <wp:extent cx="5669280" cy="3201476"/>
            <wp:docPr id="6" name="Picture 6"/>
            <wp:cNvGraphicFramePr>
              <a:graphicFrameLocks noChangeAspect="1"/>
            </wp:cNvGraphicFramePr>
            <a:graphic>
              <a:graphicData uri="http://schemas.openxmlformats.org/drawingml/2006/picture">
                <pic:pic>
                  <pic:nvPicPr>
                    <pic:cNvPr id="0" name="scenario_sets.png"/>
                    <pic:cNvPicPr/>
                  </pic:nvPicPr>
                  <pic:blipFill>
                    <a:blip r:embed="rId16"/>
                    <a:stretch>
                      <a:fillRect/>
                    </a:stretch>
                  </pic:blipFill>
                  <pic:spPr>
                    <a:xfrm>
                      <a:off x="0" y="0"/>
                      <a:ext cx="5669280" cy="3201476"/>
                    </a:xfrm>
                    <a:prstGeom prst="rect"/>
                  </pic:spPr>
                </pic:pic>
              </a:graphicData>
            </a:graphic>
          </wp:inline>
        </w:drawing>
      </w:r>
    </w:p>
    <w:p>
      <w:pPr>
        <w:jc w:val="center"/>
      </w:pPr>
      <w:r>
        <w:rPr>
          <w:i/>
          <w:color w:val="646464"/>
          <w:sz w:val="16"/>
        </w:rPr>
        <w:t>Figure 6. Mathematical fleet sensitivity. Not a recommended fleet.</w:t>
      </w:r>
    </w:p>
    <w:p>
      <w:pPr>
        <w:spacing w:after="80" w:line="259" w:lineRule="auto"/>
      </w:pPr>
      <w:r>
        <w:rPr>
          <w:i w:val="0"/>
        </w:rPr>
        <w:t>The scenario result is not that six sets will complete the project. It is that six sets is the best displayed sensitivity before the omitted work is added. The proving campaign must establish safe weld zones, accepted output, approval logic, coating elapsed time, headstock cycle, below-LAT work and marine availability before a production fleet is recommended.</w:t>
      </w:r>
    </w:p>
    <w:p>
      <w:pPr>
        <w:pStyle w:val="Heading1"/>
        <w:spacing w:before="200" w:after="80"/>
      </w:pPr>
      <w:r>
        <w:t>12. Programme and calendar basis</w:t>
      </w:r>
    </w:p>
    <w:p>
      <w:pPr>
        <w:spacing w:after="80" w:line="259" w:lineRule="auto"/>
      </w:pPr>
      <w:r>
        <w:rPr>
          <w:i w:val="0"/>
        </w:rPr>
        <w:t>The Stage 1 report should carry two linked schedules: an engineering/procurement/proving schedule and a dated 2027-2028 production line-of-balance. The following minimum sequence is required.</w:t>
      </w:r>
    </w:p>
    <w:tbl>
      <w:tblPr>
        <w:tblStyle w:val="TableGrid"/>
        <w:tblW w:type="auto" w:w="0"/>
        <w:jc w:val="center"/>
        <w:tblLook w:firstColumn="1" w:firstRow="1" w:lastColumn="0" w:lastRow="0" w:noHBand="0" w:noVBand="1" w:val="04A0"/>
      </w:tblPr>
      <w:tblGrid>
        <w:gridCol w:w="3456"/>
        <w:gridCol w:w="3456"/>
        <w:gridCol w:w="3456"/>
      </w:tblGrid>
      <w:tr>
        <w:tc>
          <w:tcPr>
            <w:tcW w:type="dxa" w:w="720"/>
            <w:vAlign w:val="center"/>
            <w:shd w:fill="E8751A"/>
          </w:tcPr>
          <w:p>
            <w:pPr>
              <w:jc w:val="left"/>
            </w:pPr>
            <w:r/>
            <w:r>
              <w:rPr>
                <w:rFonts w:ascii="Calibri" w:hAnsi="Calibri"/>
                <w:b/>
                <w:color w:val="FFFFFF"/>
                <w:sz w:val="16"/>
              </w:rPr>
              <w:t>Step</w:t>
            </w:r>
          </w:p>
        </w:tc>
        <w:tc>
          <w:tcPr>
            <w:tcW w:type="dxa" w:w="3024"/>
            <w:vAlign w:val="center"/>
            <w:shd w:fill="E8751A"/>
          </w:tcPr>
          <w:p>
            <w:pPr>
              <w:jc w:val="left"/>
            </w:pPr>
            <w:r/>
            <w:r>
              <w:rPr>
                <w:rFonts w:ascii="Calibri" w:hAnsi="Calibri"/>
                <w:b/>
                <w:color w:val="FFFFFF"/>
                <w:sz w:val="16"/>
              </w:rPr>
              <w:t>Phase</w:t>
            </w:r>
          </w:p>
        </w:tc>
        <w:tc>
          <w:tcPr>
            <w:tcW w:type="dxa" w:w="7776"/>
            <w:vAlign w:val="center"/>
            <w:shd w:fill="E8751A"/>
          </w:tcPr>
          <w:p>
            <w:pPr>
              <w:jc w:val="left"/>
            </w:pPr>
            <w:r/>
            <w:r>
              <w:rPr>
                <w:rFonts w:ascii="Calibri" w:hAnsi="Calibri"/>
                <w:b/>
                <w:color w:val="FFFFFF"/>
                <w:sz w:val="16"/>
              </w:rPr>
              <w:t>Required output</w:t>
            </w:r>
          </w:p>
        </w:tc>
      </w:tr>
      <w:tr>
        <w:tc>
          <w:tcPr>
            <w:tcW w:type="dxa" w:w="720"/>
            <w:vAlign w:val="center"/>
            <w:shd w:fill="F2F2F2"/>
          </w:tcPr>
          <w:p>
            <w:pPr>
              <w:jc w:val="left"/>
            </w:pPr>
            <w:r/>
            <w:r>
              <w:rPr>
                <w:rFonts w:ascii="Calibri" w:hAnsi="Calibri"/>
                <w:b w:val="0"/>
                <w:sz w:val="16"/>
              </w:rPr>
              <w:t>1</w:t>
            </w:r>
          </w:p>
        </w:tc>
        <w:tc>
          <w:tcPr>
            <w:tcW w:type="dxa" w:w="3024"/>
            <w:vAlign w:val="center"/>
            <w:shd w:fill="F2F2F2"/>
          </w:tcPr>
          <w:p>
            <w:pPr>
              <w:jc w:val="left"/>
            </w:pPr>
            <w:r/>
            <w:r>
              <w:rPr>
                <w:rFonts w:ascii="Calibri" w:hAnsi="Calibri"/>
                <w:b w:val="0"/>
                <w:sz w:val="16"/>
              </w:rPr>
              <w:t>Owner inputs</w:t>
            </w:r>
          </w:p>
        </w:tc>
        <w:tc>
          <w:tcPr>
            <w:tcW w:type="dxa" w:w="7776"/>
            <w:vAlign w:val="center"/>
            <w:shd w:fill="F2F2F2"/>
          </w:tcPr>
          <w:p>
            <w:pPr>
              <w:jc w:val="left"/>
            </w:pPr>
            <w:r/>
            <w:r>
              <w:rPr>
                <w:rFonts w:ascii="Calibri" w:hAnsi="Calibri"/>
                <w:b w:val="0"/>
                <w:sz w:val="16"/>
              </w:rPr>
              <w:t>Bent register, priority boundary, bathymetry, metocean, outages and ship basis.</w:t>
            </w:r>
          </w:p>
        </w:tc>
      </w:tr>
      <w:tr>
        <w:tc>
          <w:tcPr>
            <w:tcW w:type="dxa" w:w="720"/>
            <w:vAlign w:val="center"/>
          </w:tcPr>
          <w:p>
            <w:pPr>
              <w:jc w:val="left"/>
            </w:pPr>
            <w:r/>
            <w:r>
              <w:rPr>
                <w:rFonts w:ascii="Calibri" w:hAnsi="Calibri"/>
                <w:b w:val="0"/>
                <w:sz w:val="16"/>
              </w:rPr>
              <w:t>2</w:t>
            </w:r>
          </w:p>
        </w:tc>
        <w:tc>
          <w:tcPr>
            <w:tcW w:type="dxa" w:w="3024"/>
            <w:vAlign w:val="center"/>
          </w:tcPr>
          <w:p>
            <w:pPr>
              <w:jc w:val="left"/>
            </w:pPr>
            <w:r/>
            <w:r>
              <w:rPr>
                <w:rFonts w:ascii="Calibri" w:hAnsi="Calibri"/>
                <w:b w:val="0"/>
                <w:sz w:val="16"/>
              </w:rPr>
              <w:t>Market sounding</w:t>
            </w:r>
          </w:p>
        </w:tc>
        <w:tc>
          <w:tcPr>
            <w:tcW w:type="dxa" w:w="7776"/>
            <w:vAlign w:val="center"/>
          </w:tcPr>
          <w:p>
            <w:pPr>
              <w:jc w:val="left"/>
            </w:pPr>
            <w:r/>
            <w:r>
              <w:rPr>
                <w:rFonts w:ascii="Calibri" w:hAnsi="Calibri"/>
                <w:b w:val="0"/>
                <w:sz w:val="16"/>
              </w:rPr>
              <w:t>GGC platforms/containment, JUB/workboats, labour, accommodation and waste quotes.</w:t>
            </w:r>
          </w:p>
        </w:tc>
      </w:tr>
      <w:tr>
        <w:tc>
          <w:tcPr>
            <w:tcW w:type="dxa" w:w="720"/>
            <w:vAlign w:val="center"/>
            <w:shd w:fill="F2F2F2"/>
          </w:tcPr>
          <w:p>
            <w:pPr>
              <w:jc w:val="left"/>
            </w:pPr>
            <w:r/>
            <w:r>
              <w:rPr>
                <w:rFonts w:ascii="Calibri" w:hAnsi="Calibri"/>
                <w:b w:val="0"/>
                <w:sz w:val="16"/>
              </w:rPr>
              <w:t>3</w:t>
            </w:r>
          </w:p>
        </w:tc>
        <w:tc>
          <w:tcPr>
            <w:tcW w:type="dxa" w:w="3024"/>
            <w:vAlign w:val="center"/>
            <w:shd w:fill="F2F2F2"/>
          </w:tcPr>
          <w:p>
            <w:pPr>
              <w:jc w:val="left"/>
            </w:pPr>
            <w:r/>
            <w:r>
              <w:rPr>
                <w:rFonts w:ascii="Calibri" w:hAnsi="Calibri"/>
                <w:b w:val="0"/>
                <w:sz w:val="16"/>
              </w:rPr>
              <w:t>Concept workshop</w:t>
            </w:r>
          </w:p>
        </w:tc>
        <w:tc>
          <w:tcPr>
            <w:tcW w:type="dxa" w:w="7776"/>
            <w:vAlign w:val="center"/>
            <w:shd w:fill="F2F2F2"/>
          </w:tcPr>
          <w:p>
            <w:pPr>
              <w:jc w:val="left"/>
            </w:pPr>
            <w:r/>
            <w:r>
              <w:rPr>
                <w:rFonts w:ascii="Calibri" w:hAnsi="Calibri"/>
                <w:b w:val="0"/>
                <w:sz w:val="16"/>
              </w:rPr>
              <w:t>Select candidate method and allocate methods by bent family.</w:t>
            </w:r>
          </w:p>
        </w:tc>
      </w:tr>
      <w:tr>
        <w:tc>
          <w:tcPr>
            <w:tcW w:type="dxa" w:w="720"/>
            <w:vAlign w:val="center"/>
          </w:tcPr>
          <w:p>
            <w:pPr>
              <w:jc w:val="left"/>
            </w:pPr>
            <w:r/>
            <w:r>
              <w:rPr>
                <w:rFonts w:ascii="Calibri" w:hAnsi="Calibri"/>
                <w:b w:val="0"/>
                <w:sz w:val="16"/>
              </w:rPr>
              <w:t>4</w:t>
            </w:r>
          </w:p>
        </w:tc>
        <w:tc>
          <w:tcPr>
            <w:tcW w:type="dxa" w:w="3024"/>
            <w:vAlign w:val="center"/>
          </w:tcPr>
          <w:p>
            <w:pPr>
              <w:jc w:val="left"/>
            </w:pPr>
            <w:r/>
            <w:r>
              <w:rPr>
                <w:rFonts w:ascii="Calibri" w:hAnsi="Calibri"/>
                <w:b w:val="0"/>
                <w:sz w:val="16"/>
              </w:rPr>
              <w:t>Temporary works and method design</w:t>
            </w:r>
          </w:p>
        </w:tc>
        <w:tc>
          <w:tcPr>
            <w:tcW w:type="dxa" w:w="7776"/>
            <w:vAlign w:val="center"/>
          </w:tcPr>
          <w:p>
            <w:pPr>
              <w:jc w:val="left"/>
            </w:pPr>
            <w:r/>
            <w:r>
              <w:rPr>
                <w:rFonts w:ascii="Calibri" w:hAnsi="Calibri"/>
                <w:b w:val="0"/>
                <w:sz w:val="16"/>
              </w:rPr>
              <w:t>Platform, suspension, traversing decks, containment, JUB, rescue and approvals.</w:t>
            </w:r>
          </w:p>
        </w:tc>
      </w:tr>
      <w:tr>
        <w:tc>
          <w:tcPr>
            <w:tcW w:type="dxa" w:w="720"/>
            <w:vAlign w:val="center"/>
            <w:shd w:fill="F2F2F2"/>
          </w:tcPr>
          <w:p>
            <w:pPr>
              <w:jc w:val="left"/>
            </w:pPr>
            <w:r/>
            <w:r>
              <w:rPr>
                <w:rFonts w:ascii="Calibri" w:hAnsi="Calibri"/>
                <w:b w:val="0"/>
                <w:sz w:val="16"/>
              </w:rPr>
              <w:t>5</w:t>
            </w:r>
          </w:p>
        </w:tc>
        <w:tc>
          <w:tcPr>
            <w:tcW w:type="dxa" w:w="3024"/>
            <w:vAlign w:val="center"/>
            <w:shd w:fill="F2F2F2"/>
          </w:tcPr>
          <w:p>
            <w:pPr>
              <w:jc w:val="left"/>
            </w:pPr>
            <w:r/>
            <w:r>
              <w:rPr>
                <w:rFonts w:ascii="Calibri" w:hAnsi="Calibri"/>
                <w:b w:val="0"/>
                <w:sz w:val="16"/>
              </w:rPr>
              <w:t>Cost and calendar model</w:t>
            </w:r>
          </w:p>
        </w:tc>
        <w:tc>
          <w:tcPr>
            <w:tcW w:type="dxa" w:w="7776"/>
            <w:vAlign w:val="center"/>
            <w:shd w:fill="F2F2F2"/>
          </w:tcPr>
          <w:p>
            <w:pPr>
              <w:jc w:val="left"/>
            </w:pPr>
            <w:r/>
            <w:r>
              <w:rPr>
                <w:rFonts w:ascii="Calibri" w:hAnsi="Calibri"/>
                <w:b w:val="0"/>
                <w:sz w:val="16"/>
              </w:rPr>
              <w:t>Bottom-up estimate and dated line-of-balance with explicit losses.</w:t>
            </w:r>
          </w:p>
        </w:tc>
      </w:tr>
      <w:tr>
        <w:tc>
          <w:tcPr>
            <w:tcW w:type="dxa" w:w="720"/>
            <w:vAlign w:val="center"/>
          </w:tcPr>
          <w:p>
            <w:pPr>
              <w:jc w:val="left"/>
            </w:pPr>
            <w:r/>
            <w:r>
              <w:rPr>
                <w:rFonts w:ascii="Calibri" w:hAnsi="Calibri"/>
                <w:b w:val="0"/>
                <w:sz w:val="16"/>
              </w:rPr>
              <w:t>6</w:t>
            </w:r>
          </w:p>
        </w:tc>
        <w:tc>
          <w:tcPr>
            <w:tcW w:type="dxa" w:w="3024"/>
            <w:vAlign w:val="center"/>
          </w:tcPr>
          <w:p>
            <w:pPr>
              <w:jc w:val="left"/>
            </w:pPr>
            <w:r/>
            <w:r>
              <w:rPr>
                <w:rFonts w:ascii="Calibri" w:hAnsi="Calibri"/>
                <w:b w:val="0"/>
                <w:sz w:val="16"/>
              </w:rPr>
              <w:t>Fabrication/modification</w:t>
            </w:r>
          </w:p>
        </w:tc>
        <w:tc>
          <w:tcPr>
            <w:tcW w:type="dxa" w:w="7776"/>
            <w:vAlign w:val="center"/>
          </w:tcPr>
          <w:p>
            <w:pPr>
              <w:jc w:val="left"/>
            </w:pPr>
            <w:r/>
            <w:r>
              <w:rPr>
                <w:rFonts w:ascii="Calibri" w:hAnsi="Calibri"/>
                <w:b w:val="0"/>
                <w:sz w:val="16"/>
              </w:rPr>
              <w:t>Build, inspect and proof load the selected access system.</w:t>
            </w:r>
          </w:p>
        </w:tc>
      </w:tr>
      <w:tr>
        <w:tc>
          <w:tcPr>
            <w:tcW w:type="dxa" w:w="720"/>
            <w:vAlign w:val="center"/>
            <w:shd w:fill="F2F2F2"/>
          </w:tcPr>
          <w:p>
            <w:pPr>
              <w:jc w:val="left"/>
            </w:pPr>
            <w:r/>
            <w:r>
              <w:rPr>
                <w:rFonts w:ascii="Calibri" w:hAnsi="Calibri"/>
                <w:b w:val="0"/>
                <w:sz w:val="16"/>
              </w:rPr>
              <w:t>7</w:t>
            </w:r>
          </w:p>
        </w:tc>
        <w:tc>
          <w:tcPr>
            <w:tcW w:type="dxa" w:w="3024"/>
            <w:vAlign w:val="center"/>
            <w:shd w:fill="F2F2F2"/>
          </w:tcPr>
          <w:p>
            <w:pPr>
              <w:jc w:val="left"/>
            </w:pPr>
            <w:r/>
            <w:r>
              <w:rPr>
                <w:rFonts w:ascii="Calibri" w:hAnsi="Calibri"/>
                <w:b w:val="0"/>
                <w:sz w:val="16"/>
              </w:rPr>
              <w:t>Mobilisation and proving</w:t>
            </w:r>
          </w:p>
        </w:tc>
        <w:tc>
          <w:tcPr>
            <w:tcW w:type="dxa" w:w="7776"/>
            <w:vAlign w:val="center"/>
            <w:shd w:fill="F2F2F2"/>
          </w:tcPr>
          <w:p>
            <w:pPr>
              <w:jc w:val="left"/>
            </w:pPr>
            <w:r/>
            <w:r>
              <w:rPr>
                <w:rFonts w:ascii="Calibri" w:hAnsi="Calibri"/>
                <w:b w:val="0"/>
                <w:sz w:val="16"/>
              </w:rPr>
              <w:t>Two-set trial on representative bents, including recovery drills.</w:t>
            </w:r>
          </w:p>
        </w:tc>
      </w:tr>
      <w:tr>
        <w:tc>
          <w:tcPr>
            <w:tcW w:type="dxa" w:w="720"/>
            <w:vAlign w:val="center"/>
          </w:tcPr>
          <w:p>
            <w:pPr>
              <w:jc w:val="left"/>
            </w:pPr>
            <w:r/>
            <w:r>
              <w:rPr>
                <w:rFonts w:ascii="Calibri" w:hAnsi="Calibri"/>
                <w:b w:val="0"/>
                <w:sz w:val="16"/>
              </w:rPr>
              <w:t>8</w:t>
            </w:r>
          </w:p>
        </w:tc>
        <w:tc>
          <w:tcPr>
            <w:tcW w:type="dxa" w:w="3024"/>
            <w:vAlign w:val="center"/>
          </w:tcPr>
          <w:p>
            <w:pPr>
              <w:jc w:val="left"/>
            </w:pPr>
            <w:r/>
            <w:r>
              <w:rPr>
                <w:rFonts w:ascii="Calibri" w:hAnsi="Calibri"/>
                <w:b w:val="0"/>
                <w:sz w:val="16"/>
              </w:rPr>
              <w:t>Production decision</w:t>
            </w:r>
          </w:p>
        </w:tc>
        <w:tc>
          <w:tcPr>
            <w:tcW w:type="dxa" w:w="7776"/>
            <w:vAlign w:val="center"/>
          </w:tcPr>
          <w:p>
            <w:pPr>
              <w:jc w:val="left"/>
            </w:pPr>
            <w:r/>
            <w:r>
              <w:rPr>
                <w:rFonts w:ascii="Calibri" w:hAnsi="Calibri"/>
                <w:b w:val="0"/>
                <w:sz w:val="16"/>
              </w:rPr>
              <w:t>Update measured cycle, fleet, labour, cost and programme.</w:t>
            </w:r>
          </w:p>
        </w:tc>
      </w:tr>
      <w:tr>
        <w:tc>
          <w:tcPr>
            <w:tcW w:type="dxa" w:w="720"/>
            <w:vAlign w:val="center"/>
            <w:shd w:fill="F2F2F2"/>
          </w:tcPr>
          <w:p>
            <w:pPr>
              <w:jc w:val="left"/>
            </w:pPr>
            <w:r/>
            <w:r>
              <w:rPr>
                <w:rFonts w:ascii="Calibri" w:hAnsi="Calibri"/>
                <w:b w:val="0"/>
                <w:sz w:val="16"/>
              </w:rPr>
              <w:t>9</w:t>
            </w:r>
          </w:p>
        </w:tc>
        <w:tc>
          <w:tcPr>
            <w:tcW w:type="dxa" w:w="3024"/>
            <w:vAlign w:val="center"/>
            <w:shd w:fill="F2F2F2"/>
          </w:tcPr>
          <w:p>
            <w:pPr>
              <w:jc w:val="left"/>
            </w:pPr>
            <w:r/>
            <w:r>
              <w:rPr>
                <w:rFonts w:ascii="Calibri" w:hAnsi="Calibri"/>
                <w:b w:val="0"/>
                <w:sz w:val="16"/>
              </w:rPr>
              <w:t>Ramp-up and 2027 season</w:t>
            </w:r>
          </w:p>
        </w:tc>
        <w:tc>
          <w:tcPr>
            <w:tcW w:type="dxa" w:w="7776"/>
            <w:vAlign w:val="center"/>
            <w:shd w:fill="F2F2F2"/>
          </w:tcPr>
          <w:p>
            <w:pPr>
              <w:jc w:val="left"/>
            </w:pPr>
            <w:r/>
            <w:r>
              <w:rPr>
                <w:rFonts w:ascii="Calibri" w:hAnsi="Calibri"/>
                <w:b w:val="0"/>
                <w:sz w:val="16"/>
              </w:rPr>
              <w:t>Monitor QA-closed output and constrain WIP.</w:t>
            </w:r>
          </w:p>
        </w:tc>
      </w:tr>
      <w:tr>
        <w:tc>
          <w:tcPr>
            <w:tcW w:type="dxa" w:w="720"/>
            <w:vAlign w:val="center"/>
          </w:tcPr>
          <w:p>
            <w:pPr>
              <w:jc w:val="left"/>
            </w:pPr>
            <w:r/>
            <w:r>
              <w:rPr>
                <w:rFonts w:ascii="Calibri" w:hAnsi="Calibri"/>
                <w:b w:val="0"/>
                <w:sz w:val="16"/>
              </w:rPr>
              <w:t>10</w:t>
            </w:r>
          </w:p>
        </w:tc>
        <w:tc>
          <w:tcPr>
            <w:tcW w:type="dxa" w:w="3024"/>
            <w:vAlign w:val="center"/>
          </w:tcPr>
          <w:p>
            <w:pPr>
              <w:jc w:val="left"/>
            </w:pPr>
            <w:r/>
            <w:r>
              <w:rPr>
                <w:rFonts w:ascii="Calibri" w:hAnsi="Calibri"/>
                <w:b w:val="0"/>
                <w:sz w:val="16"/>
              </w:rPr>
              <w:t>Wet-season demob</w:t>
            </w:r>
          </w:p>
        </w:tc>
        <w:tc>
          <w:tcPr>
            <w:tcW w:type="dxa" w:w="7776"/>
            <w:vAlign w:val="center"/>
          </w:tcPr>
          <w:p>
            <w:pPr>
              <w:jc w:val="left"/>
            </w:pPr>
            <w:r/>
            <w:r>
              <w:rPr>
                <w:rFonts w:ascii="Calibri" w:hAnsi="Calibri"/>
                <w:b w:val="0"/>
                <w:sz w:val="16"/>
              </w:rPr>
              <w:t>Preserve part-complete bents and recover the fleet.</w:t>
            </w:r>
          </w:p>
        </w:tc>
      </w:tr>
      <w:tr>
        <w:tc>
          <w:tcPr>
            <w:tcW w:type="dxa" w:w="720"/>
            <w:vAlign w:val="center"/>
            <w:shd w:fill="F2F2F2"/>
          </w:tcPr>
          <w:p>
            <w:pPr>
              <w:jc w:val="left"/>
            </w:pPr>
            <w:r/>
            <w:r>
              <w:rPr>
                <w:rFonts w:ascii="Calibri" w:hAnsi="Calibri"/>
                <w:b w:val="0"/>
                <w:sz w:val="16"/>
              </w:rPr>
              <w:t>11</w:t>
            </w:r>
          </w:p>
        </w:tc>
        <w:tc>
          <w:tcPr>
            <w:tcW w:type="dxa" w:w="3024"/>
            <w:vAlign w:val="center"/>
            <w:shd w:fill="F2F2F2"/>
          </w:tcPr>
          <w:p>
            <w:pPr>
              <w:jc w:val="left"/>
            </w:pPr>
            <w:r/>
            <w:r>
              <w:rPr>
                <w:rFonts w:ascii="Calibri" w:hAnsi="Calibri"/>
                <w:b w:val="0"/>
                <w:sz w:val="16"/>
              </w:rPr>
              <w:t>2028 remobilisation and completion</w:t>
            </w:r>
          </w:p>
        </w:tc>
        <w:tc>
          <w:tcPr>
            <w:tcW w:type="dxa" w:w="7776"/>
            <w:vAlign w:val="center"/>
            <w:shd w:fill="F2F2F2"/>
          </w:tcPr>
          <w:p>
            <w:pPr>
              <w:jc w:val="left"/>
            </w:pPr>
            <w:r/>
            <w:r>
              <w:rPr>
                <w:rFonts w:ascii="Calibri" w:hAnsi="Calibri"/>
                <w:b w:val="0"/>
                <w:sz w:val="16"/>
              </w:rPr>
              <w:t>Complete priority package and close records.</w:t>
            </w:r>
          </w:p>
        </w:tc>
      </w:tr>
    </w:tbl>
    <w:p/>
    <w:p>
      <w:pPr>
        <w:spacing w:after="80" w:line="259" w:lineRule="auto"/>
      </w:pPr>
      <w:r>
        <w:rPr>
          <w:i w:val="0"/>
        </w:rPr>
        <w:t>Known calendar events must be inserted explicitly. These include the 2027 outage when confirmed, 10-14 annual ship calls as the current planning range, two-day make-safe, full Dec-Mar demobilisation, proving/ramp-up and reinstatement. A standalone 85% factor cannot replace the dated calendar.</w:t>
      </w:r>
    </w:p>
    <w:p>
      <w:pPr>
        <w:pStyle w:val="Heading1"/>
        <w:spacing w:before="200" w:after="80"/>
      </w:pPr>
      <w:r>
        <w:t>13. Cost model and commercial comparison</w:t>
      </w:r>
    </w:p>
    <w:p>
      <w:pPr>
        <w:spacing w:after="80" w:line="259" w:lineRule="auto"/>
      </w:pPr>
      <w:r>
        <w:rPr>
          <w:i w:val="0"/>
        </w:rPr>
        <w:t>The companion workbook contains a bottom-up cost structure. No total should issue while the rate, fleet, duration and remaining-scope inputs remain incomplete. Every cost must trace to a methodology activity and every methodology activity must have an explicit cost treatment or stated exclusion.</w:t>
      </w:r>
    </w:p>
    <w:p>
      <w:pPr>
        <w:pStyle w:val="Heading2"/>
        <w:spacing w:before="200" w:after="80"/>
      </w:pPr>
      <w:r>
        <w:t>13.1 Required cost build-up</w:t>
      </w:r>
    </w:p>
    <w:p>
      <w:pPr>
        <w:pStyle w:val="ListBullet"/>
        <w:spacing w:after="40"/>
      </w:pPr>
      <w:r>
        <w:t>Engineering: surveys, temporary works, independent check, containment, marine operations, approvals and trial support.</w:t>
      </w:r>
    </w:p>
    <w:p>
      <w:pPr>
        <w:pStyle w:val="ListBullet"/>
        <w:spacing w:after="40"/>
      </w:pPr>
      <w:r>
        <w:t>Mobilisation: JUB, workboats, platforms, access towers, containment, shore base, transport, assembly and proof load.</w:t>
      </w:r>
    </w:p>
    <w:p>
      <w:pPr>
        <w:pStyle w:val="ListBullet"/>
        <w:spacing w:after="40"/>
      </w:pPr>
      <w:r>
        <w:t>Time-related plant: JUB, workboat, rescue craft, access sets, containment sets, compressors, generators, extraction, vehicles, base and accommodation.</w:t>
      </w:r>
    </w:p>
    <w:p>
      <w:pPr>
        <w:pStyle w:val="ListBullet"/>
        <w:spacing w:after="40"/>
      </w:pPr>
      <w:r>
        <w:t>Labour: management, marine, HSE, QA, inspection/NDT, welding, blasting/coating, jackets, rigging/platform and logistics crews.</w:t>
      </w:r>
    </w:p>
    <w:p>
      <w:pPr>
        <w:pStyle w:val="ListBullet"/>
        <w:spacing w:after="40"/>
      </w:pPr>
      <w:r>
        <w:t>Per-bent materials: repair steel, welding consumables, abrasive, coatings, jackets, NDT, waste and rework.</w:t>
      </w:r>
    </w:p>
    <w:p>
      <w:pPr>
        <w:pStyle w:val="ListBullet"/>
        <w:spacing w:after="40"/>
      </w:pPr>
      <w:r>
        <w:t>Operational events: ship make-safe/restart, wet-season demob/remob, cyclone recovery, maintenance and spares.</w:t>
      </w:r>
    </w:p>
    <w:p>
      <w:pPr>
        <w:pStyle w:val="ListBullet"/>
        <w:spacing w:after="40"/>
      </w:pPr>
      <w:r>
        <w:t>Contingency and escalation with a stated Basis of Estimate only after the underlying estimate is complete.</w:t>
      </w:r>
    </w:p>
    <w:p>
      <w:pPr>
        <w:pStyle w:val="Heading2"/>
        <w:spacing w:before="200" w:after="80"/>
      </w:pPr>
      <w:r>
        <w:t>13.2 Current versus proposed commercial basis</w:t>
      </w:r>
    </w:p>
    <w:p>
      <w:pPr>
        <w:spacing w:after="80" w:line="259" w:lineRule="auto"/>
      </w:pPr>
      <w:r>
        <w:rPr>
          <w:i w:val="0"/>
        </w:rPr>
        <w:t>The current contract access basis is approximately AUD 9.275 million ex GST for the firm access scope on the earlier reconciled basis. This is a historical contract basis, not the remaining avoidable cost and not a termination value. The comparison required for STL is remaining cost to complete on one consistent as-at date, including committed costs, preservation of part-complete bents, mobilisation, whole campaign duration and risk.</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E8751A"/>
          </w:tcPr>
          <w:p>
            <w:pPr>
              <w:jc w:val="left"/>
            </w:pPr>
            <w:r/>
            <w:r>
              <w:rPr>
                <w:rFonts w:ascii="Calibri" w:hAnsi="Calibri"/>
                <w:b/>
                <w:color w:val="FFFFFF"/>
                <w:sz w:val="17"/>
              </w:rPr>
              <w:t>Comparison output</w:t>
            </w:r>
          </w:p>
        </w:tc>
        <w:tc>
          <w:tcPr>
            <w:tcW w:type="dxa" w:w="8064"/>
            <w:vAlign w:val="center"/>
            <w:shd w:fill="E8751A"/>
          </w:tcPr>
          <w:p>
            <w:pPr>
              <w:jc w:val="left"/>
            </w:pPr>
            <w:r/>
            <w:r>
              <w:rPr>
                <w:rFonts w:ascii="Calibri" w:hAnsi="Calibri"/>
                <w:b/>
                <w:color w:val="FFFFFF"/>
                <w:sz w:val="17"/>
              </w:rPr>
              <w:t>Required basis</w:t>
            </w:r>
          </w:p>
        </w:tc>
      </w:tr>
      <w:tr>
        <w:tc>
          <w:tcPr>
            <w:tcW w:type="dxa" w:w="3168"/>
            <w:vAlign w:val="center"/>
            <w:shd w:fill="F2F2F2"/>
          </w:tcPr>
          <w:p>
            <w:pPr>
              <w:jc w:val="left"/>
            </w:pPr>
            <w:r/>
            <w:r>
              <w:rPr>
                <w:rFonts w:ascii="Calibri" w:hAnsi="Calibri"/>
                <w:b w:val="0"/>
                <w:sz w:val="17"/>
              </w:rPr>
              <w:t>Total remaining campaign cost</w:t>
            </w:r>
          </w:p>
        </w:tc>
        <w:tc>
          <w:tcPr>
            <w:tcW w:type="dxa" w:w="8064"/>
            <w:vAlign w:val="center"/>
            <w:shd w:fill="F2F2F2"/>
          </w:tcPr>
          <w:p>
            <w:pPr>
              <w:jc w:val="left"/>
            </w:pPr>
            <w:r/>
            <w:r>
              <w:rPr>
                <w:rFonts w:ascii="Calibri" w:hAnsi="Calibri"/>
                <w:b w:val="0"/>
                <w:sz w:val="17"/>
              </w:rPr>
              <w:t>Same remaining bent register, scope, calendar and price date for both methods.</w:t>
            </w:r>
          </w:p>
        </w:tc>
      </w:tr>
      <w:tr>
        <w:tc>
          <w:tcPr>
            <w:tcW w:type="dxa" w:w="3168"/>
            <w:vAlign w:val="center"/>
          </w:tcPr>
          <w:p>
            <w:pPr>
              <w:jc w:val="left"/>
            </w:pPr>
            <w:r/>
            <w:r>
              <w:rPr>
                <w:rFonts w:ascii="Calibri" w:hAnsi="Calibri"/>
                <w:b w:val="0"/>
                <w:sz w:val="17"/>
              </w:rPr>
              <w:t>Cost per QA-closed bent</w:t>
            </w:r>
          </w:p>
        </w:tc>
        <w:tc>
          <w:tcPr>
            <w:tcW w:type="dxa" w:w="8064"/>
            <w:vAlign w:val="center"/>
          </w:tcPr>
          <w:p>
            <w:pPr>
              <w:jc w:val="left"/>
            </w:pPr>
            <w:r/>
            <w:r>
              <w:rPr>
                <w:rFonts w:ascii="Calibri" w:hAnsi="Calibri"/>
                <w:b w:val="0"/>
                <w:sz w:val="17"/>
              </w:rPr>
              <w:t>Total cost divided by accepted completed bents, not claim-stage quantities.</w:t>
            </w:r>
          </w:p>
        </w:tc>
      </w:tr>
      <w:tr>
        <w:tc>
          <w:tcPr>
            <w:tcW w:type="dxa" w:w="3168"/>
            <w:vAlign w:val="center"/>
            <w:shd w:fill="F2F2F2"/>
          </w:tcPr>
          <w:p>
            <w:pPr>
              <w:jc w:val="left"/>
            </w:pPr>
            <w:r/>
            <w:r>
              <w:rPr>
                <w:rFonts w:ascii="Calibri" w:hAnsi="Calibri"/>
                <w:b w:val="0"/>
                <w:sz w:val="17"/>
              </w:rPr>
              <w:t>Time-related exposure</w:t>
            </w:r>
          </w:p>
        </w:tc>
        <w:tc>
          <w:tcPr>
            <w:tcW w:type="dxa" w:w="8064"/>
            <w:vAlign w:val="center"/>
            <w:shd w:fill="F2F2F2"/>
          </w:tcPr>
          <w:p>
            <w:pPr>
              <w:jc w:val="left"/>
            </w:pPr>
            <w:r/>
            <w:r>
              <w:rPr>
                <w:rFonts w:ascii="Calibri" w:hAnsi="Calibri"/>
                <w:b w:val="0"/>
                <w:sz w:val="17"/>
              </w:rPr>
              <w:t>Full JUB/platform/scaffold and labour duration including waiting, ship calls and wet-season treatment.</w:t>
            </w:r>
          </w:p>
        </w:tc>
      </w:tr>
      <w:tr>
        <w:tc>
          <w:tcPr>
            <w:tcW w:type="dxa" w:w="3168"/>
            <w:vAlign w:val="center"/>
          </w:tcPr>
          <w:p>
            <w:pPr>
              <w:jc w:val="left"/>
            </w:pPr>
            <w:r/>
            <w:r>
              <w:rPr>
                <w:rFonts w:ascii="Calibri" w:hAnsi="Calibri"/>
                <w:b w:val="0"/>
                <w:sz w:val="17"/>
              </w:rPr>
              <w:t>One-off transition cost</w:t>
            </w:r>
          </w:p>
        </w:tc>
        <w:tc>
          <w:tcPr>
            <w:tcW w:type="dxa" w:w="8064"/>
            <w:vAlign w:val="center"/>
          </w:tcPr>
          <w:p>
            <w:pPr>
              <w:jc w:val="left"/>
            </w:pPr>
            <w:r/>
            <w:r>
              <w:rPr>
                <w:rFonts w:ascii="Calibri" w:hAnsi="Calibri"/>
                <w:b w:val="0"/>
                <w:sz w:val="17"/>
              </w:rPr>
              <w:t>Engineering, procurement, fabrication, proving, mobilisation and transfer from current works.</w:t>
            </w:r>
          </w:p>
        </w:tc>
      </w:tr>
      <w:tr>
        <w:tc>
          <w:tcPr>
            <w:tcW w:type="dxa" w:w="3168"/>
            <w:vAlign w:val="center"/>
            <w:shd w:fill="F2F2F2"/>
          </w:tcPr>
          <w:p>
            <w:pPr>
              <w:jc w:val="left"/>
            </w:pPr>
            <w:r/>
            <w:r>
              <w:rPr>
                <w:rFonts w:ascii="Calibri" w:hAnsi="Calibri"/>
                <w:b w:val="0"/>
                <w:sz w:val="17"/>
              </w:rPr>
              <w:t>Risk-adjusted view</w:t>
            </w:r>
          </w:p>
        </w:tc>
        <w:tc>
          <w:tcPr>
            <w:tcW w:type="dxa" w:w="8064"/>
            <w:vAlign w:val="center"/>
            <w:shd w:fill="F2F2F2"/>
          </w:tcPr>
          <w:p>
            <w:pPr>
              <w:jc w:val="left"/>
            </w:pPr>
            <w:r/>
            <w:r>
              <w:rPr>
                <w:rFonts w:ascii="Calibri" w:hAnsi="Calibri"/>
                <w:b w:val="0"/>
                <w:sz w:val="17"/>
              </w:rPr>
              <w:t>Transparent contingency/risk treatment, not a false point estimate.</w:t>
            </w:r>
          </w:p>
        </w:tc>
      </w:tr>
      <w:tr>
        <w:tc>
          <w:tcPr>
            <w:tcW w:type="dxa" w:w="3168"/>
            <w:vAlign w:val="center"/>
          </w:tcPr>
          <w:p>
            <w:pPr>
              <w:jc w:val="left"/>
            </w:pPr>
            <w:r/>
            <w:r>
              <w:rPr>
                <w:rFonts w:ascii="Calibri" w:hAnsi="Calibri"/>
                <w:b w:val="0"/>
                <w:sz w:val="17"/>
              </w:rPr>
              <w:t>Contractual boundary</w:t>
            </w:r>
          </w:p>
        </w:tc>
        <w:tc>
          <w:tcPr>
            <w:tcW w:type="dxa" w:w="8064"/>
            <w:vAlign w:val="center"/>
          </w:tcPr>
          <w:p>
            <w:pPr>
              <w:jc w:val="left"/>
            </w:pPr>
            <w:r/>
            <w:r>
              <w:rPr>
                <w:rFonts w:ascii="Calibri" w:hAnsi="Calibri"/>
                <w:b w:val="0"/>
                <w:sz w:val="17"/>
              </w:rPr>
              <w:t>Technical comparison only. STL and its advisers decide variation, continuation or termination.</w:t>
            </w:r>
          </w:p>
        </w:tc>
      </w:tr>
    </w:tbl>
    <w:p/>
    <w:p>
      <w:pPr>
        <w:pStyle w:val="Heading1"/>
        <w:spacing w:before="200" w:after="80"/>
      </w:pPr>
      <w:r>
        <w:t>14. Critical risks and verification gates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864"/>
            <w:vAlign w:val="center"/>
            <w:shd w:fill="E8751A"/>
          </w:tcPr>
          <w:p>
            <w:pPr>
              <w:jc w:val="left"/>
            </w:pPr>
            <w:r/>
            <w:r>
              <w:rPr>
                <w:rFonts w:ascii="Calibri" w:hAnsi="Calibri"/>
                <w:b/>
                <w:color w:val="FFFFFF"/>
                <w:sz w:val="16"/>
              </w:rPr>
              <w:t>Gate</w:t>
            </w:r>
          </w:p>
        </w:tc>
        <w:tc>
          <w:tcPr>
            <w:tcW w:type="dxa" w:w="1728"/>
            <w:vAlign w:val="center"/>
            <w:shd w:fill="E8751A"/>
          </w:tcPr>
          <w:p>
            <w:pPr>
              <w:jc w:val="left"/>
            </w:pPr>
            <w:r/>
            <w:r>
              <w:rPr>
                <w:rFonts w:ascii="Calibri" w:hAnsi="Calibri"/>
                <w:b/>
                <w:color w:val="FFFFFF"/>
                <w:sz w:val="16"/>
              </w:rPr>
              <w:t>Area</w:t>
            </w:r>
          </w:p>
        </w:tc>
        <w:tc>
          <w:tcPr>
            <w:tcW w:type="dxa" w:w="6192"/>
            <w:vAlign w:val="center"/>
            <w:shd w:fill="E8751A"/>
          </w:tcPr>
          <w:p>
            <w:pPr>
              <w:jc w:val="left"/>
            </w:pPr>
            <w:r/>
            <w:r>
              <w:rPr>
                <w:rFonts w:ascii="Calibri" w:hAnsi="Calibri"/>
                <w:b/>
                <w:color w:val="FFFFFF"/>
                <w:sz w:val="16"/>
              </w:rPr>
              <w:t>Acceptance condition</w:t>
            </w:r>
          </w:p>
        </w:tc>
        <w:tc>
          <w:tcPr>
            <w:tcW w:type="dxa" w:w="2592"/>
            <w:vAlign w:val="center"/>
            <w:shd w:fill="E8751A"/>
          </w:tcPr>
          <w:p>
            <w:pPr>
              <w:jc w:val="left"/>
            </w:pPr>
            <w:r/>
            <w:r>
              <w:rPr>
                <w:rFonts w:ascii="Calibri" w:hAnsi="Calibri"/>
                <w:b/>
                <w:color w:val="FFFFFF"/>
                <w:sz w:val="16"/>
              </w:rPr>
              <w:t>Decision affected</w:t>
            </w:r>
          </w:p>
        </w:tc>
      </w:tr>
      <w:tr>
        <w:tc>
          <w:tcPr>
            <w:tcW w:type="dxa" w:w="864"/>
            <w:vAlign w:val="center"/>
            <w:shd w:fill="F2F2F2"/>
          </w:tcPr>
          <w:p>
            <w:pPr>
              <w:jc w:val="left"/>
            </w:pPr>
            <w:r/>
            <w:r>
              <w:rPr>
                <w:rFonts w:ascii="Calibri" w:hAnsi="Calibri"/>
                <w:b w:val="0"/>
                <w:sz w:val="16"/>
              </w:rPr>
              <w:t>G1</w:t>
            </w:r>
          </w:p>
        </w:tc>
        <w:tc>
          <w:tcPr>
            <w:tcW w:type="dxa" w:w="1728"/>
            <w:vAlign w:val="center"/>
            <w:shd w:fill="F2F2F2"/>
          </w:tcPr>
          <w:p>
            <w:pPr>
              <w:jc w:val="left"/>
            </w:pPr>
            <w:r/>
            <w:r>
              <w:rPr>
                <w:rFonts w:ascii="Calibri" w:hAnsi="Calibri"/>
                <w:b w:val="0"/>
                <w:sz w:val="16"/>
              </w:rPr>
              <w:t>Scope</w:t>
            </w:r>
          </w:p>
        </w:tc>
        <w:tc>
          <w:tcPr>
            <w:tcW w:type="dxa" w:w="6192"/>
            <w:vAlign w:val="center"/>
            <w:shd w:fill="F2F2F2"/>
          </w:tcPr>
          <w:p>
            <w:pPr>
              <w:jc w:val="left"/>
            </w:pPr>
            <w:r/>
            <w:r>
              <w:rPr>
                <w:rFonts w:ascii="Calibri" w:hAnsi="Calibri"/>
                <w:b w:val="0"/>
                <w:sz w:val="16"/>
              </w:rPr>
              <w:t>STL bent register and priority boundary accepted.</w:t>
            </w:r>
          </w:p>
        </w:tc>
        <w:tc>
          <w:tcPr>
            <w:tcW w:type="dxa" w:w="2592"/>
            <w:vAlign w:val="center"/>
            <w:shd w:fill="F2F2F2"/>
          </w:tcPr>
          <w:p>
            <w:pPr>
              <w:jc w:val="left"/>
            </w:pPr>
            <w:r/>
            <w:r>
              <w:rPr>
                <w:rFonts w:ascii="Calibri" w:hAnsi="Calibri"/>
                <w:b w:val="0"/>
                <w:sz w:val="16"/>
              </w:rPr>
              <w:t>Required rate and cost basis.</w:t>
            </w:r>
          </w:p>
        </w:tc>
      </w:tr>
      <w:tr>
        <w:tc>
          <w:tcPr>
            <w:tcW w:type="dxa" w:w="864"/>
            <w:vAlign w:val="center"/>
          </w:tcPr>
          <w:p>
            <w:pPr>
              <w:jc w:val="left"/>
            </w:pPr>
            <w:r/>
            <w:r>
              <w:rPr>
                <w:rFonts w:ascii="Calibri" w:hAnsi="Calibri"/>
                <w:b w:val="0"/>
                <w:sz w:val="16"/>
              </w:rPr>
              <w:t>G2</w:t>
            </w:r>
          </w:p>
        </w:tc>
        <w:tc>
          <w:tcPr>
            <w:tcW w:type="dxa" w:w="1728"/>
            <w:vAlign w:val="center"/>
          </w:tcPr>
          <w:p>
            <w:pPr>
              <w:jc w:val="left"/>
            </w:pPr>
            <w:r/>
            <w:r>
              <w:rPr>
                <w:rFonts w:ascii="Calibri" w:hAnsi="Calibri"/>
                <w:b w:val="0"/>
                <w:sz w:val="16"/>
              </w:rPr>
              <w:t>Platform</w:t>
            </w:r>
          </w:p>
        </w:tc>
        <w:tc>
          <w:tcPr>
            <w:tcW w:type="dxa" w:w="6192"/>
            <w:vAlign w:val="center"/>
          </w:tcPr>
          <w:p>
            <w:pPr>
              <w:jc w:val="left"/>
            </w:pPr>
            <w:r/>
            <w:r>
              <w:rPr>
                <w:rFonts w:ascii="Calibri" w:hAnsi="Calibri"/>
                <w:b w:val="0"/>
                <w:sz w:val="16"/>
              </w:rPr>
              <w:t>Certified configuration, mass, CoG, buoyancy, deck load and lift points.</w:t>
            </w:r>
          </w:p>
        </w:tc>
        <w:tc>
          <w:tcPr>
            <w:tcW w:type="dxa" w:w="2592"/>
            <w:vAlign w:val="center"/>
          </w:tcPr>
          <w:p>
            <w:pPr>
              <w:jc w:val="left"/>
            </w:pPr>
            <w:r/>
            <w:r>
              <w:rPr>
                <w:rFonts w:ascii="Calibri" w:hAnsi="Calibri"/>
                <w:b w:val="0"/>
                <w:sz w:val="16"/>
              </w:rPr>
              <w:t>Hoist/TW feasibility.</w:t>
            </w:r>
          </w:p>
        </w:tc>
      </w:tr>
      <w:tr>
        <w:tc>
          <w:tcPr>
            <w:tcW w:type="dxa" w:w="864"/>
            <w:vAlign w:val="center"/>
            <w:shd w:fill="F2F2F2"/>
          </w:tcPr>
          <w:p>
            <w:pPr>
              <w:jc w:val="left"/>
            </w:pPr>
            <w:r/>
            <w:r>
              <w:rPr>
                <w:rFonts w:ascii="Calibri" w:hAnsi="Calibri"/>
                <w:b w:val="0"/>
                <w:sz w:val="16"/>
              </w:rPr>
              <w:t>G3</w:t>
            </w:r>
          </w:p>
        </w:tc>
        <w:tc>
          <w:tcPr>
            <w:tcW w:type="dxa" w:w="1728"/>
            <w:vAlign w:val="center"/>
            <w:shd w:fill="F2F2F2"/>
          </w:tcPr>
          <w:p>
            <w:pPr>
              <w:jc w:val="left"/>
            </w:pPr>
            <w:r/>
            <w:r>
              <w:rPr>
                <w:rFonts w:ascii="Calibri" w:hAnsi="Calibri"/>
                <w:b w:val="0"/>
                <w:sz w:val="16"/>
              </w:rPr>
              <w:t>Suspension</w:t>
            </w:r>
          </w:p>
        </w:tc>
        <w:tc>
          <w:tcPr>
            <w:tcW w:type="dxa" w:w="6192"/>
            <w:vAlign w:val="center"/>
            <w:shd w:fill="F2F2F2"/>
          </w:tcPr>
          <w:p>
            <w:pPr>
              <w:jc w:val="left"/>
            </w:pPr>
            <w:r/>
            <w:r>
              <w:rPr>
                <w:rFonts w:ascii="Calibri" w:hAnsi="Calibri"/>
                <w:b w:val="0"/>
                <w:sz w:val="16"/>
              </w:rPr>
              <w:t>Winch location, synchronisation, travelling clamp range, locking and fault response.</w:t>
            </w:r>
          </w:p>
        </w:tc>
        <w:tc>
          <w:tcPr>
            <w:tcW w:type="dxa" w:w="2592"/>
            <w:vAlign w:val="center"/>
            <w:shd w:fill="F2F2F2"/>
          </w:tcPr>
          <w:p>
            <w:pPr>
              <w:jc w:val="left"/>
            </w:pPr>
            <w:r/>
            <w:r>
              <w:rPr>
                <w:rFonts w:ascii="Calibri" w:hAnsi="Calibri"/>
                <w:b w:val="0"/>
                <w:sz w:val="16"/>
              </w:rPr>
              <w:t>Alignment and safety.</w:t>
            </w:r>
          </w:p>
        </w:tc>
      </w:tr>
      <w:tr>
        <w:tc>
          <w:tcPr>
            <w:tcW w:type="dxa" w:w="864"/>
            <w:vAlign w:val="center"/>
          </w:tcPr>
          <w:p>
            <w:pPr>
              <w:jc w:val="left"/>
            </w:pPr>
            <w:r/>
            <w:r>
              <w:rPr>
                <w:rFonts w:ascii="Calibri" w:hAnsi="Calibri"/>
                <w:b w:val="0"/>
                <w:sz w:val="16"/>
              </w:rPr>
              <w:t>G4</w:t>
            </w:r>
          </w:p>
        </w:tc>
        <w:tc>
          <w:tcPr>
            <w:tcW w:type="dxa" w:w="1728"/>
            <w:vAlign w:val="center"/>
          </w:tcPr>
          <w:p>
            <w:pPr>
              <w:jc w:val="left"/>
            </w:pPr>
            <w:r/>
            <w:r>
              <w:rPr>
                <w:rFonts w:ascii="Calibri" w:hAnsi="Calibri"/>
                <w:b w:val="0"/>
                <w:sz w:val="16"/>
              </w:rPr>
              <w:t>Traversing decks</w:t>
            </w:r>
          </w:p>
        </w:tc>
        <w:tc>
          <w:tcPr>
            <w:tcW w:type="dxa" w:w="6192"/>
            <w:vAlign w:val="center"/>
          </w:tcPr>
          <w:p>
            <w:pPr>
              <w:jc w:val="left"/>
            </w:pPr>
            <w:r/>
            <w:r>
              <w:rPr>
                <w:rFonts w:ascii="Calibri" w:hAnsi="Calibri"/>
                <w:b w:val="0"/>
                <w:sz w:val="16"/>
              </w:rPr>
              <w:t>Checked load path, movement, locking, edge protection and rescue.</w:t>
            </w:r>
          </w:p>
        </w:tc>
        <w:tc>
          <w:tcPr>
            <w:tcW w:type="dxa" w:w="2592"/>
            <w:vAlign w:val="center"/>
          </w:tcPr>
          <w:p>
            <w:pPr>
              <w:jc w:val="left"/>
            </w:pPr>
            <w:r/>
            <w:r>
              <w:rPr>
                <w:rFonts w:ascii="Calibri" w:hAnsi="Calibri"/>
                <w:b w:val="0"/>
                <w:sz w:val="16"/>
              </w:rPr>
              <w:t>360-degree access.</w:t>
            </w:r>
          </w:p>
        </w:tc>
      </w:tr>
      <w:tr>
        <w:tc>
          <w:tcPr>
            <w:tcW w:type="dxa" w:w="864"/>
            <w:vAlign w:val="center"/>
            <w:shd w:fill="F2F2F2"/>
          </w:tcPr>
          <w:p>
            <w:pPr>
              <w:jc w:val="left"/>
            </w:pPr>
            <w:r/>
            <w:r>
              <w:rPr>
                <w:rFonts w:ascii="Calibri" w:hAnsi="Calibri"/>
                <w:b w:val="0"/>
                <w:sz w:val="16"/>
              </w:rPr>
              <w:t>G5</w:t>
            </w:r>
          </w:p>
        </w:tc>
        <w:tc>
          <w:tcPr>
            <w:tcW w:type="dxa" w:w="1728"/>
            <w:vAlign w:val="center"/>
            <w:shd w:fill="F2F2F2"/>
          </w:tcPr>
          <w:p>
            <w:pPr>
              <w:jc w:val="left"/>
            </w:pPr>
            <w:r/>
            <w:r>
              <w:rPr>
                <w:rFonts w:ascii="Calibri" w:hAnsi="Calibri"/>
                <w:b w:val="0"/>
                <w:sz w:val="16"/>
              </w:rPr>
              <w:t>Containment</w:t>
            </w:r>
          </w:p>
        </w:tc>
        <w:tc>
          <w:tcPr>
            <w:tcW w:type="dxa" w:w="6192"/>
            <w:vAlign w:val="center"/>
            <w:shd w:fill="F2F2F2"/>
          </w:tcPr>
          <w:p>
            <w:pPr>
              <w:jc w:val="left"/>
            </w:pPr>
            <w:r/>
            <w:r>
              <w:rPr>
                <w:rFonts w:ascii="Calibri" w:hAnsi="Calibri"/>
                <w:b w:val="0"/>
                <w:sz w:val="16"/>
              </w:rPr>
              <w:t>Pile/headstock geometry, pressure, filtration, waste, wash water, wind and noise accepted.</w:t>
            </w:r>
          </w:p>
        </w:tc>
        <w:tc>
          <w:tcPr>
            <w:tcW w:type="dxa" w:w="2592"/>
            <w:vAlign w:val="center"/>
            <w:shd w:fill="F2F2F2"/>
          </w:tcPr>
          <w:p>
            <w:pPr>
              <w:jc w:val="left"/>
            </w:pPr>
            <w:r/>
            <w:r>
              <w:rPr>
                <w:rFonts w:ascii="Calibri" w:hAnsi="Calibri"/>
                <w:b w:val="0"/>
                <w:sz w:val="16"/>
              </w:rPr>
              <w:t>Constructability/environment.</w:t>
            </w:r>
          </w:p>
        </w:tc>
      </w:tr>
      <w:tr>
        <w:tc>
          <w:tcPr>
            <w:tcW w:type="dxa" w:w="864"/>
            <w:vAlign w:val="center"/>
          </w:tcPr>
          <w:p>
            <w:pPr>
              <w:jc w:val="left"/>
            </w:pPr>
            <w:r/>
            <w:r>
              <w:rPr>
                <w:rFonts w:ascii="Calibri" w:hAnsi="Calibri"/>
                <w:b w:val="0"/>
                <w:sz w:val="16"/>
              </w:rPr>
              <w:t>G6</w:t>
            </w:r>
          </w:p>
        </w:tc>
        <w:tc>
          <w:tcPr>
            <w:tcW w:type="dxa" w:w="1728"/>
            <w:vAlign w:val="center"/>
          </w:tcPr>
          <w:p>
            <w:pPr>
              <w:jc w:val="left"/>
            </w:pPr>
            <w:r/>
            <w:r>
              <w:rPr>
                <w:rFonts w:ascii="Calibri" w:hAnsi="Calibri"/>
                <w:b w:val="0"/>
                <w:sz w:val="16"/>
              </w:rPr>
              <w:t>Jackets</w:t>
            </w:r>
          </w:p>
        </w:tc>
        <w:tc>
          <w:tcPr>
            <w:tcW w:type="dxa" w:w="6192"/>
            <w:vAlign w:val="center"/>
          </w:tcPr>
          <w:p>
            <w:pPr>
              <w:jc w:val="left"/>
            </w:pPr>
            <w:r/>
            <w:r>
              <w:rPr>
                <w:rFonts w:ascii="Calibri" w:hAnsi="Calibri"/>
                <w:b w:val="0"/>
                <w:sz w:val="16"/>
              </w:rPr>
              <w:t>Above- and below-LAT manufacturer/marine method accepted.</w:t>
            </w:r>
          </w:p>
        </w:tc>
        <w:tc>
          <w:tcPr>
            <w:tcW w:type="dxa" w:w="2592"/>
            <w:vAlign w:val="center"/>
          </w:tcPr>
          <w:p>
            <w:pPr>
              <w:jc w:val="left"/>
            </w:pPr>
            <w:r/>
            <w:r>
              <w:rPr>
                <w:rFonts w:ascii="Calibri" w:hAnsi="Calibri"/>
                <w:b w:val="0"/>
                <w:sz w:val="16"/>
              </w:rPr>
              <w:t>Bent closeout cycle.</w:t>
            </w:r>
          </w:p>
        </w:tc>
      </w:tr>
      <w:tr>
        <w:tc>
          <w:tcPr>
            <w:tcW w:type="dxa" w:w="864"/>
            <w:vAlign w:val="center"/>
            <w:shd w:fill="F2F2F2"/>
          </w:tcPr>
          <w:p>
            <w:pPr>
              <w:jc w:val="left"/>
            </w:pPr>
            <w:r/>
            <w:r>
              <w:rPr>
                <w:rFonts w:ascii="Calibri" w:hAnsi="Calibri"/>
                <w:b w:val="0"/>
                <w:sz w:val="16"/>
              </w:rPr>
              <w:t>G7</w:t>
            </w:r>
          </w:p>
        </w:tc>
        <w:tc>
          <w:tcPr>
            <w:tcW w:type="dxa" w:w="1728"/>
            <w:vAlign w:val="center"/>
            <w:shd w:fill="F2F2F2"/>
          </w:tcPr>
          <w:p>
            <w:pPr>
              <w:jc w:val="left"/>
            </w:pPr>
            <w:r/>
            <w:r>
              <w:rPr>
                <w:rFonts w:ascii="Calibri" w:hAnsi="Calibri"/>
                <w:b w:val="0"/>
                <w:sz w:val="16"/>
              </w:rPr>
              <w:t>Approval</w:t>
            </w:r>
          </w:p>
        </w:tc>
        <w:tc>
          <w:tcPr>
            <w:tcW w:type="dxa" w:w="6192"/>
            <w:vAlign w:val="center"/>
            <w:shd w:fill="F2F2F2"/>
          </w:tcPr>
          <w:p>
            <w:pPr>
              <w:jc w:val="left"/>
            </w:pPr>
            <w:r/>
            <w:r>
              <w:rPr>
                <w:rFonts w:ascii="Calibri" w:hAnsi="Calibri"/>
                <w:b w:val="0"/>
                <w:sz w:val="16"/>
              </w:rPr>
              <w:t>Bent-level or pile-level repair approval philosophy confirmed.</w:t>
            </w:r>
          </w:p>
        </w:tc>
        <w:tc>
          <w:tcPr>
            <w:tcW w:type="dxa" w:w="2592"/>
            <w:vAlign w:val="center"/>
            <w:shd w:fill="F2F2F2"/>
          </w:tcPr>
          <w:p>
            <w:pPr>
              <w:jc w:val="left"/>
            </w:pPr>
            <w:r/>
            <w:r>
              <w:rPr>
                <w:rFonts w:ascii="Calibri" w:hAnsi="Calibri"/>
                <w:b w:val="0"/>
                <w:sz w:val="16"/>
              </w:rPr>
              <w:t>Hold count and fleet.</w:t>
            </w:r>
          </w:p>
        </w:tc>
      </w:tr>
      <w:tr>
        <w:tc>
          <w:tcPr>
            <w:tcW w:type="dxa" w:w="864"/>
            <w:vAlign w:val="center"/>
          </w:tcPr>
          <w:p>
            <w:pPr>
              <w:jc w:val="left"/>
            </w:pPr>
            <w:r/>
            <w:r>
              <w:rPr>
                <w:rFonts w:ascii="Calibri" w:hAnsi="Calibri"/>
                <w:b w:val="0"/>
                <w:sz w:val="16"/>
              </w:rPr>
              <w:t>G8</w:t>
            </w:r>
          </w:p>
        </w:tc>
        <w:tc>
          <w:tcPr>
            <w:tcW w:type="dxa" w:w="1728"/>
            <w:vAlign w:val="center"/>
          </w:tcPr>
          <w:p>
            <w:pPr>
              <w:jc w:val="left"/>
            </w:pPr>
            <w:r/>
            <w:r>
              <w:rPr>
                <w:rFonts w:ascii="Calibri" w:hAnsi="Calibri"/>
                <w:b w:val="0"/>
                <w:sz w:val="16"/>
              </w:rPr>
              <w:t>Welding</w:t>
            </w:r>
          </w:p>
        </w:tc>
        <w:tc>
          <w:tcPr>
            <w:tcW w:type="dxa" w:w="6192"/>
            <w:vAlign w:val="center"/>
          </w:tcPr>
          <w:p>
            <w:pPr>
              <w:jc w:val="left"/>
            </w:pPr>
            <w:r/>
            <w:r>
              <w:rPr>
                <w:rFonts w:ascii="Calibri" w:hAnsi="Calibri"/>
                <w:b w:val="0"/>
                <w:sz w:val="16"/>
              </w:rPr>
              <w:t>Accepted lm/crew-shift and safe simultaneous work zones proven.</w:t>
            </w:r>
          </w:p>
        </w:tc>
        <w:tc>
          <w:tcPr>
            <w:tcW w:type="dxa" w:w="2592"/>
            <w:vAlign w:val="center"/>
          </w:tcPr>
          <w:p>
            <w:pPr>
              <w:jc w:val="left"/>
            </w:pPr>
            <w:r/>
            <w:r>
              <w:rPr>
                <w:rFonts w:ascii="Calibri" w:hAnsi="Calibri"/>
                <w:b w:val="0"/>
                <w:sz w:val="16"/>
              </w:rPr>
              <w:t>Likely production driver.</w:t>
            </w:r>
          </w:p>
        </w:tc>
      </w:tr>
      <w:tr>
        <w:tc>
          <w:tcPr>
            <w:tcW w:type="dxa" w:w="864"/>
            <w:vAlign w:val="center"/>
            <w:shd w:fill="F2F2F2"/>
          </w:tcPr>
          <w:p>
            <w:pPr>
              <w:jc w:val="left"/>
            </w:pPr>
            <w:r/>
            <w:r>
              <w:rPr>
                <w:rFonts w:ascii="Calibri" w:hAnsi="Calibri"/>
                <w:b w:val="0"/>
                <w:sz w:val="16"/>
              </w:rPr>
              <w:t>G9</w:t>
            </w:r>
          </w:p>
        </w:tc>
        <w:tc>
          <w:tcPr>
            <w:tcW w:type="dxa" w:w="1728"/>
            <w:vAlign w:val="center"/>
            <w:shd w:fill="F2F2F2"/>
          </w:tcPr>
          <w:p>
            <w:pPr>
              <w:jc w:val="left"/>
            </w:pPr>
            <w:r/>
            <w:r>
              <w:rPr>
                <w:rFonts w:ascii="Calibri" w:hAnsi="Calibri"/>
                <w:b w:val="0"/>
                <w:sz w:val="16"/>
              </w:rPr>
              <w:t>Coating</w:t>
            </w:r>
          </w:p>
        </w:tc>
        <w:tc>
          <w:tcPr>
            <w:tcW w:type="dxa" w:w="6192"/>
            <w:vAlign w:val="center"/>
            <w:shd w:fill="F2F2F2"/>
          </w:tcPr>
          <w:p>
            <w:pPr>
              <w:jc w:val="left"/>
            </w:pPr>
            <w:r/>
            <w:r>
              <w:rPr>
                <w:rFonts w:ascii="Calibri" w:hAnsi="Calibri"/>
                <w:b w:val="0"/>
                <w:sz w:val="16"/>
              </w:rPr>
              <w:t>Active work and elapsed recoat work-lot proven.</w:t>
            </w:r>
          </w:p>
        </w:tc>
        <w:tc>
          <w:tcPr>
            <w:tcW w:type="dxa" w:w="2592"/>
            <w:vAlign w:val="center"/>
            <w:shd w:fill="F2F2F2"/>
          </w:tcPr>
          <w:p>
            <w:pPr>
              <w:jc w:val="left"/>
            </w:pPr>
            <w:r/>
            <w:r>
              <w:rPr>
                <w:rFonts w:ascii="Calibri" w:hAnsi="Calibri"/>
                <w:b w:val="0"/>
                <w:sz w:val="16"/>
              </w:rPr>
              <w:t>Access-set occupancy.</w:t>
            </w:r>
          </w:p>
        </w:tc>
      </w:tr>
      <w:tr>
        <w:tc>
          <w:tcPr>
            <w:tcW w:type="dxa" w:w="864"/>
            <w:vAlign w:val="center"/>
          </w:tcPr>
          <w:p>
            <w:pPr>
              <w:jc w:val="left"/>
            </w:pPr>
            <w:r/>
            <w:r>
              <w:rPr>
                <w:rFonts w:ascii="Calibri" w:hAnsi="Calibri"/>
                <w:b w:val="0"/>
                <w:sz w:val="16"/>
              </w:rPr>
              <w:t>G10</w:t>
            </w:r>
          </w:p>
        </w:tc>
        <w:tc>
          <w:tcPr>
            <w:tcW w:type="dxa" w:w="1728"/>
            <w:vAlign w:val="center"/>
          </w:tcPr>
          <w:p>
            <w:pPr>
              <w:jc w:val="left"/>
            </w:pPr>
            <w:r/>
            <w:r>
              <w:rPr>
                <w:rFonts w:ascii="Calibri" w:hAnsi="Calibri"/>
                <w:b w:val="0"/>
                <w:sz w:val="16"/>
              </w:rPr>
              <w:t>Marine spread</w:t>
            </w:r>
          </w:p>
        </w:tc>
        <w:tc>
          <w:tcPr>
            <w:tcW w:type="dxa" w:w="6192"/>
            <w:vAlign w:val="center"/>
          </w:tcPr>
          <w:p>
            <w:pPr>
              <w:jc w:val="left"/>
            </w:pPr>
            <w:r/>
            <w:r>
              <w:rPr>
                <w:rFonts w:ascii="Calibri" w:hAnsi="Calibri"/>
                <w:b w:val="0"/>
                <w:sz w:val="16"/>
              </w:rPr>
              <w:t>Bathymetry, JUB reach/services, vessel status and refuge accepted.</w:t>
            </w:r>
          </w:p>
        </w:tc>
        <w:tc>
          <w:tcPr>
            <w:tcW w:type="dxa" w:w="2592"/>
            <w:vAlign w:val="center"/>
          </w:tcPr>
          <w:p>
            <w:pPr>
              <w:jc w:val="left"/>
            </w:pPr>
            <w:r/>
            <w:r>
              <w:rPr>
                <w:rFonts w:ascii="Calibri" w:hAnsi="Calibri"/>
                <w:b w:val="0"/>
                <w:sz w:val="16"/>
              </w:rPr>
              <w:t>Support capacity and calendar.</w:t>
            </w:r>
          </w:p>
        </w:tc>
      </w:tr>
      <w:tr>
        <w:tc>
          <w:tcPr>
            <w:tcW w:type="dxa" w:w="864"/>
            <w:vAlign w:val="center"/>
            <w:shd w:fill="F2F2F2"/>
          </w:tcPr>
          <w:p>
            <w:pPr>
              <w:jc w:val="left"/>
            </w:pPr>
            <w:r/>
            <w:r>
              <w:rPr>
                <w:rFonts w:ascii="Calibri" w:hAnsi="Calibri"/>
                <w:b w:val="0"/>
                <w:sz w:val="16"/>
              </w:rPr>
              <w:t>G11</w:t>
            </w:r>
          </w:p>
        </w:tc>
        <w:tc>
          <w:tcPr>
            <w:tcW w:type="dxa" w:w="1728"/>
            <w:vAlign w:val="center"/>
            <w:shd w:fill="F2F2F2"/>
          </w:tcPr>
          <w:p>
            <w:pPr>
              <w:jc w:val="left"/>
            </w:pPr>
            <w:r/>
            <w:r>
              <w:rPr>
                <w:rFonts w:ascii="Calibri" w:hAnsi="Calibri"/>
                <w:b w:val="0"/>
                <w:sz w:val="16"/>
              </w:rPr>
              <w:t>Calendar</w:t>
            </w:r>
          </w:p>
        </w:tc>
        <w:tc>
          <w:tcPr>
            <w:tcW w:type="dxa" w:w="6192"/>
            <w:vAlign w:val="center"/>
            <w:shd w:fill="F2F2F2"/>
          </w:tcPr>
          <w:p>
            <w:pPr>
              <w:jc w:val="left"/>
            </w:pPr>
            <w:r/>
            <w:r>
              <w:rPr>
                <w:rFonts w:ascii="Calibri" w:hAnsi="Calibri"/>
                <w:b w:val="0"/>
                <w:sz w:val="16"/>
              </w:rPr>
              <w:t>Dated ship, outage, weather, wet-season and proving blocks agreed.</w:t>
            </w:r>
          </w:p>
        </w:tc>
        <w:tc>
          <w:tcPr>
            <w:tcW w:type="dxa" w:w="2592"/>
            <w:vAlign w:val="center"/>
            <w:shd w:fill="F2F2F2"/>
          </w:tcPr>
          <w:p>
            <w:pPr>
              <w:jc w:val="left"/>
            </w:pPr>
            <w:r/>
            <w:r>
              <w:rPr>
                <w:rFonts w:ascii="Calibri" w:hAnsi="Calibri"/>
                <w:b w:val="0"/>
                <w:sz w:val="16"/>
              </w:rPr>
              <w:t>Completion confidence.</w:t>
            </w:r>
          </w:p>
        </w:tc>
      </w:tr>
      <w:tr>
        <w:tc>
          <w:tcPr>
            <w:tcW w:type="dxa" w:w="864"/>
            <w:vAlign w:val="center"/>
          </w:tcPr>
          <w:p>
            <w:pPr>
              <w:jc w:val="left"/>
            </w:pPr>
            <w:r/>
            <w:r>
              <w:rPr>
                <w:rFonts w:ascii="Calibri" w:hAnsi="Calibri"/>
                <w:b w:val="0"/>
                <w:sz w:val="16"/>
              </w:rPr>
              <w:t>G12</w:t>
            </w:r>
          </w:p>
        </w:tc>
        <w:tc>
          <w:tcPr>
            <w:tcW w:type="dxa" w:w="1728"/>
            <w:vAlign w:val="center"/>
          </w:tcPr>
          <w:p>
            <w:pPr>
              <w:jc w:val="left"/>
            </w:pPr>
            <w:r/>
            <w:r>
              <w:rPr>
                <w:rFonts w:ascii="Calibri" w:hAnsi="Calibri"/>
                <w:b w:val="0"/>
                <w:sz w:val="16"/>
              </w:rPr>
              <w:t>Commercial</w:t>
            </w:r>
          </w:p>
        </w:tc>
        <w:tc>
          <w:tcPr>
            <w:tcW w:type="dxa" w:w="6192"/>
            <w:vAlign w:val="center"/>
          </w:tcPr>
          <w:p>
            <w:pPr>
              <w:jc w:val="left"/>
            </w:pPr>
            <w:r/>
            <w:r>
              <w:rPr>
                <w:rFonts w:ascii="Calibri" w:hAnsi="Calibri"/>
                <w:b w:val="0"/>
                <w:sz w:val="16"/>
              </w:rPr>
              <w:t>Written rates, fleet/duration and current cost-to-complete reconciled.</w:t>
            </w:r>
          </w:p>
        </w:tc>
        <w:tc>
          <w:tcPr>
            <w:tcW w:type="dxa" w:w="2592"/>
            <w:vAlign w:val="center"/>
          </w:tcPr>
          <w:p>
            <w:pPr>
              <w:jc w:val="left"/>
            </w:pPr>
            <w:r/>
            <w:r>
              <w:rPr>
                <w:rFonts w:ascii="Calibri" w:hAnsi="Calibri"/>
                <w:b w:val="0"/>
                <w:sz w:val="16"/>
              </w:rPr>
              <w:t>Board decision.</w:t>
            </w:r>
          </w:p>
        </w:tc>
      </w:tr>
    </w:tbl>
    <w:p/>
    <w:p>
      <w:pPr>
        <w:pStyle w:val="Heading1"/>
        <w:spacing w:before="200" w:after="80"/>
      </w:pPr>
      <w:r>
        <w:t>15. Supplier and market-sounding requirements</w:t>
      </w:r>
    </w:p>
    <w:p>
      <w:pPr>
        <w:pStyle w:val="Heading2"/>
        <w:spacing w:before="200" w:after="80"/>
      </w:pPr>
      <w:r>
        <w:t>15.1 GGC / floating platform and containment supplier</w:t>
      </w:r>
    </w:p>
    <w:p>
      <w:pPr>
        <w:pStyle w:val="ListBullet"/>
        <w:spacing w:after="40"/>
      </w:pPr>
      <w:r>
        <w:t>Identify exact platform drawing/configuration and controlled revision.</w:t>
      </w:r>
    </w:p>
    <w:p>
      <w:pPr>
        <w:pStyle w:val="ListBullet"/>
        <w:spacing w:after="40"/>
      </w:pPr>
      <w:r>
        <w:t>Confirm dimensions, bare mass, rigged mass, buoyancy, freeboard, deck load, lifting points and structural condition.</w:t>
      </w:r>
    </w:p>
    <w:p>
      <w:pPr>
        <w:pStyle w:val="ListBullet"/>
        <w:spacing w:after="40"/>
      </w:pPr>
      <w:r>
        <w:t>Confirm winch quantity, WLL, speed, duty, power, synchronised control, emergency/manual lowering and maintenance.</w:t>
      </w:r>
    </w:p>
    <w:p>
      <w:pPr>
        <w:pStyle w:val="ListBullet"/>
        <w:spacing w:after="40"/>
      </w:pPr>
      <w:r>
        <w:t>Define travelling suspension/sliding beam clamps, travel range, locking and headstock interface.</w:t>
      </w:r>
    </w:p>
    <w:p>
      <w:pPr>
        <w:pStyle w:val="ListBullet"/>
        <w:spacing w:after="40"/>
      </w:pPr>
      <w:r>
        <w:t>Define traversing decks and half-shell containment, including headstock configuration.</w:t>
      </w:r>
    </w:p>
    <w:p>
      <w:pPr>
        <w:pStyle w:val="ListBullet"/>
        <w:spacing w:after="40"/>
      </w:pPr>
      <w:r>
        <w:t>State assembly, modification, transport, mobilisation, relocation and demobilisation durations.</w:t>
      </w:r>
    </w:p>
    <w:p>
      <w:pPr>
        <w:pStyle w:val="ListBullet"/>
        <w:spacing w:after="40"/>
      </w:pPr>
      <w:r>
        <w:t>State operational and survival limits.</w:t>
      </w:r>
    </w:p>
    <w:p>
      <w:pPr>
        <w:pStyle w:val="ListBullet"/>
        <w:spacing w:after="40"/>
      </w:pPr>
      <w:r>
        <w:t>Provide availability, ownership/hire basis, rates, inclusions, exclusions, maintenance, spares and support crew.</w:t>
      </w:r>
    </w:p>
    <w:p>
      <w:pPr>
        <w:pStyle w:val="Heading2"/>
        <w:spacing w:before="200" w:after="80"/>
      </w:pPr>
      <w:r>
        <w:t>15.2 JUB and marine suppliers</w:t>
      </w:r>
    </w:p>
    <w:p>
      <w:pPr>
        <w:pStyle w:val="ListBullet"/>
        <w:spacing w:after="40"/>
      </w:pPr>
      <w:r>
        <w:t>Candidate unit dimensions, draft, legs, penetration/preload requirements and site suitability.</w:t>
      </w:r>
    </w:p>
    <w:p>
      <w:pPr>
        <w:pStyle w:val="ListBullet"/>
        <w:spacing w:after="40"/>
      </w:pPr>
      <w:r>
        <w:t>Deck capacity and layout for utilities, stores, waste, welfare and platform recovery.</w:t>
      </w:r>
    </w:p>
    <w:p>
      <w:pPr>
        <w:pStyle w:val="ListBullet"/>
        <w:spacing w:after="40"/>
      </w:pPr>
      <w:r>
        <w:t>Crane chart and reach for access towers and platform components.</w:t>
      </w:r>
    </w:p>
    <w:p>
      <w:pPr>
        <w:pStyle w:val="ListBullet"/>
        <w:spacing w:after="40"/>
      </w:pPr>
      <w:r>
        <w:t>Coverage per set-up, relocation cycle and weather limits.</w:t>
      </w:r>
    </w:p>
    <w:p>
      <w:pPr>
        <w:pStyle w:val="ListBullet"/>
        <w:spacing w:after="40"/>
      </w:pPr>
      <w:r>
        <w:t>Walk-to-work, boat landing and emergency interfaces.</w:t>
      </w:r>
    </w:p>
    <w:p>
      <w:pPr>
        <w:pStyle w:val="ListBullet"/>
        <w:spacing w:after="40"/>
      </w:pPr>
      <w:r>
        <w:t>Mobilisation, demobilisation, daily/monthly rates, fuel, crew, insurance, class and exclusions.</w:t>
      </w:r>
    </w:p>
    <w:p>
      <w:pPr>
        <w:pStyle w:val="ListBullet"/>
        <w:spacing w:after="40"/>
      </w:pPr>
      <w:r>
        <w:t>Cyclone refuge and full fleet recovery capacity.</w:t>
      </w:r>
    </w:p>
    <w:p>
      <w:pPr>
        <w:pStyle w:val="Heading1"/>
        <w:spacing w:before="200" w:after="80"/>
      </w:pPr>
      <w:r>
        <w:t>16. Recommended implementation roadmap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E8751A"/>
          </w:tcPr>
          <w:p>
            <w:pPr>
              <w:jc w:val="left"/>
            </w:pPr>
            <w:r/>
            <w:r>
              <w:rPr>
                <w:rFonts w:ascii="Calibri" w:hAnsi="Calibri"/>
                <w:b/>
                <w:color w:val="FFFFFF"/>
                <w:sz w:val="16"/>
              </w:rPr>
              <w:t>Decision gate</w:t>
            </w:r>
          </w:p>
        </w:tc>
        <w:tc>
          <w:tcPr>
            <w:tcW w:type="dxa" w:w="5184"/>
            <w:vAlign w:val="center"/>
            <w:shd w:fill="E8751A"/>
          </w:tcPr>
          <w:p>
            <w:pPr>
              <w:jc w:val="left"/>
            </w:pPr>
            <w:r/>
            <w:r>
              <w:rPr>
                <w:rFonts w:ascii="Calibri" w:hAnsi="Calibri"/>
                <w:b/>
                <w:color w:val="FFFFFF"/>
                <w:sz w:val="16"/>
              </w:rPr>
              <w:t>Action</w:t>
            </w:r>
          </w:p>
        </w:tc>
        <w:tc>
          <w:tcPr>
            <w:tcW w:type="dxa" w:w="2448"/>
            <w:vAlign w:val="center"/>
            <w:shd w:fill="E8751A"/>
          </w:tcPr>
          <w:p>
            <w:pPr>
              <w:jc w:val="left"/>
            </w:pPr>
            <w:r/>
            <w:r>
              <w:rPr>
                <w:rFonts w:ascii="Calibri" w:hAnsi="Calibri"/>
                <w:b/>
                <w:color w:val="FFFFFF"/>
                <w:sz w:val="16"/>
              </w:rPr>
              <w:t>Responsible</w:t>
            </w:r>
          </w:p>
        </w:tc>
        <w:tc>
          <w:tcPr>
            <w:tcW w:type="dxa" w:w="2880"/>
            <w:vAlign w:val="center"/>
            <w:shd w:fill="E8751A"/>
          </w:tcPr>
          <w:p>
            <w:pPr>
              <w:jc w:val="left"/>
            </w:pPr>
            <w:r/>
            <w:r>
              <w:rPr>
                <w:rFonts w:ascii="Calibri" w:hAnsi="Calibri"/>
                <w:b/>
                <w:color w:val="FFFFFF"/>
                <w:sz w:val="16"/>
              </w:rPr>
              <w:t>Proceed condition</w:t>
            </w:r>
          </w:p>
        </w:tc>
      </w:tr>
      <w:tr>
        <w:tc>
          <w:tcPr>
            <w:tcW w:type="dxa" w:w="1728"/>
            <w:vAlign w:val="center"/>
            <w:shd w:fill="F2F2F2"/>
          </w:tcPr>
          <w:p>
            <w:pPr>
              <w:jc w:val="left"/>
            </w:pPr>
            <w:r/>
            <w:r>
              <w:rPr>
                <w:rFonts w:ascii="Calibri" w:hAnsi="Calibri"/>
                <w:b w:val="0"/>
                <w:sz w:val="16"/>
              </w:rPr>
              <w:t>DG1 Direction</w:t>
            </w:r>
          </w:p>
        </w:tc>
        <w:tc>
          <w:tcPr>
            <w:tcW w:type="dxa" w:w="5184"/>
            <w:vAlign w:val="center"/>
            <w:shd w:fill="F2F2F2"/>
          </w:tcPr>
          <w:p>
            <w:pPr>
              <w:jc w:val="left"/>
            </w:pPr>
            <w:r/>
            <w:r>
              <w:rPr>
                <w:rFonts w:ascii="Calibri" w:hAnsi="Calibri"/>
                <w:b w:val="0"/>
                <w:sz w:val="16"/>
              </w:rPr>
              <w:t>STL endorse reusable marine access as preferred candidate for typical bents and hybrid approach for others.</w:t>
            </w:r>
          </w:p>
        </w:tc>
        <w:tc>
          <w:tcPr>
            <w:tcW w:type="dxa" w:w="2448"/>
            <w:vAlign w:val="center"/>
            <w:shd w:fill="F2F2F2"/>
          </w:tcPr>
          <w:p>
            <w:pPr>
              <w:jc w:val="left"/>
            </w:pPr>
            <w:r/>
            <w:r>
              <w:rPr>
                <w:rFonts w:ascii="Calibri" w:hAnsi="Calibri"/>
                <w:b w:val="0"/>
                <w:sz w:val="16"/>
              </w:rPr>
              <w:t>STL / Endura</w:t>
            </w:r>
          </w:p>
        </w:tc>
        <w:tc>
          <w:tcPr>
            <w:tcW w:type="dxa" w:w="2880"/>
            <w:vAlign w:val="center"/>
            <w:shd w:fill="F2F2F2"/>
          </w:tcPr>
          <w:p>
            <w:pPr>
              <w:jc w:val="left"/>
            </w:pPr>
            <w:r/>
            <w:r>
              <w:rPr>
                <w:rFonts w:ascii="Calibri" w:hAnsi="Calibri"/>
                <w:b w:val="0"/>
                <w:sz w:val="16"/>
              </w:rPr>
              <w:t>Concept workshop complete.</w:t>
            </w:r>
          </w:p>
        </w:tc>
      </w:tr>
      <w:tr>
        <w:tc>
          <w:tcPr>
            <w:tcW w:type="dxa" w:w="1728"/>
            <w:vAlign w:val="center"/>
          </w:tcPr>
          <w:p>
            <w:pPr>
              <w:jc w:val="left"/>
            </w:pPr>
            <w:r/>
            <w:r>
              <w:rPr>
                <w:rFonts w:ascii="Calibri" w:hAnsi="Calibri"/>
                <w:b w:val="0"/>
                <w:sz w:val="16"/>
              </w:rPr>
              <w:t>DG2 Evidence</w:t>
            </w:r>
          </w:p>
        </w:tc>
        <w:tc>
          <w:tcPr>
            <w:tcW w:type="dxa" w:w="5184"/>
            <w:vAlign w:val="center"/>
          </w:tcPr>
          <w:p>
            <w:pPr>
              <w:jc w:val="left"/>
            </w:pPr>
            <w:r/>
            <w:r>
              <w:rPr>
                <w:rFonts w:ascii="Calibri" w:hAnsi="Calibri"/>
                <w:b w:val="0"/>
                <w:sz w:val="16"/>
              </w:rPr>
              <w:t>Close bent register, GGC, containment, JUB and bathymetry inputs.</w:t>
            </w:r>
          </w:p>
        </w:tc>
        <w:tc>
          <w:tcPr>
            <w:tcW w:type="dxa" w:w="2448"/>
            <w:vAlign w:val="center"/>
          </w:tcPr>
          <w:p>
            <w:pPr>
              <w:jc w:val="left"/>
            </w:pPr>
            <w:r/>
            <w:r>
              <w:rPr>
                <w:rFonts w:ascii="Calibri" w:hAnsi="Calibri"/>
                <w:b w:val="0"/>
                <w:sz w:val="16"/>
              </w:rPr>
              <w:t>STL / Endura / suppliers</w:t>
            </w:r>
          </w:p>
        </w:tc>
        <w:tc>
          <w:tcPr>
            <w:tcW w:type="dxa" w:w="2880"/>
            <w:vAlign w:val="center"/>
          </w:tcPr>
          <w:p>
            <w:pPr>
              <w:jc w:val="left"/>
            </w:pPr>
            <w:r/>
            <w:r>
              <w:rPr>
                <w:rFonts w:ascii="Calibri" w:hAnsi="Calibri"/>
                <w:b w:val="0"/>
                <w:sz w:val="16"/>
              </w:rPr>
              <w:t>Written source pack accepted.</w:t>
            </w:r>
          </w:p>
        </w:tc>
      </w:tr>
      <w:tr>
        <w:tc>
          <w:tcPr>
            <w:tcW w:type="dxa" w:w="1728"/>
            <w:vAlign w:val="center"/>
            <w:shd w:fill="F2F2F2"/>
          </w:tcPr>
          <w:p>
            <w:pPr>
              <w:jc w:val="left"/>
            </w:pPr>
            <w:r/>
            <w:r>
              <w:rPr>
                <w:rFonts w:ascii="Calibri" w:hAnsi="Calibri"/>
                <w:b w:val="0"/>
                <w:sz w:val="16"/>
              </w:rPr>
              <w:t>DG3 Design</w:t>
            </w:r>
          </w:p>
        </w:tc>
        <w:tc>
          <w:tcPr>
            <w:tcW w:type="dxa" w:w="5184"/>
            <w:vAlign w:val="center"/>
            <w:shd w:fill="F2F2F2"/>
          </w:tcPr>
          <w:p>
            <w:pPr>
              <w:jc w:val="left"/>
            </w:pPr>
            <w:r/>
            <w:r>
              <w:rPr>
                <w:rFonts w:ascii="Calibri" w:hAnsi="Calibri"/>
                <w:b w:val="0"/>
                <w:sz w:val="16"/>
              </w:rPr>
              <w:t>Complete temporary works, marine, environmental and rescue design.</w:t>
            </w:r>
          </w:p>
        </w:tc>
        <w:tc>
          <w:tcPr>
            <w:tcW w:type="dxa" w:w="2448"/>
            <w:vAlign w:val="center"/>
            <w:shd w:fill="F2F2F2"/>
          </w:tcPr>
          <w:p>
            <w:pPr>
              <w:jc w:val="left"/>
            </w:pPr>
            <w:r/>
            <w:r>
              <w:rPr>
                <w:rFonts w:ascii="Calibri" w:hAnsi="Calibri"/>
                <w:b w:val="0"/>
                <w:sz w:val="16"/>
              </w:rPr>
              <w:t>Execution contractor / RPEQ</w:t>
            </w:r>
          </w:p>
        </w:tc>
        <w:tc>
          <w:tcPr>
            <w:tcW w:type="dxa" w:w="2880"/>
            <w:vAlign w:val="center"/>
            <w:shd w:fill="F2F2F2"/>
          </w:tcPr>
          <w:p>
            <w:pPr>
              <w:jc w:val="left"/>
            </w:pPr>
            <w:r/>
            <w:r>
              <w:rPr>
                <w:rFonts w:ascii="Calibri" w:hAnsi="Calibri"/>
                <w:b w:val="0"/>
                <w:sz w:val="16"/>
              </w:rPr>
              <w:t>Independent checks and approvals complete.</w:t>
            </w:r>
          </w:p>
        </w:tc>
      </w:tr>
      <w:tr>
        <w:tc>
          <w:tcPr>
            <w:tcW w:type="dxa" w:w="1728"/>
            <w:vAlign w:val="center"/>
          </w:tcPr>
          <w:p>
            <w:pPr>
              <w:jc w:val="left"/>
            </w:pPr>
            <w:r/>
            <w:r>
              <w:rPr>
                <w:rFonts w:ascii="Calibri" w:hAnsi="Calibri"/>
                <w:b w:val="0"/>
                <w:sz w:val="16"/>
              </w:rPr>
              <w:t>DG4 Proving</w:t>
            </w:r>
          </w:p>
        </w:tc>
        <w:tc>
          <w:tcPr>
            <w:tcW w:type="dxa" w:w="5184"/>
            <w:vAlign w:val="center"/>
          </w:tcPr>
          <w:p>
            <w:pPr>
              <w:jc w:val="left"/>
            </w:pPr>
            <w:r/>
            <w:r>
              <w:rPr>
                <w:rFonts w:ascii="Calibri" w:hAnsi="Calibri"/>
                <w:b w:val="0"/>
                <w:sz w:val="16"/>
              </w:rPr>
              <w:t>Run two-set proving campaign and timed drills.</w:t>
            </w:r>
          </w:p>
        </w:tc>
        <w:tc>
          <w:tcPr>
            <w:tcW w:type="dxa" w:w="2448"/>
            <w:vAlign w:val="center"/>
          </w:tcPr>
          <w:p>
            <w:pPr>
              <w:jc w:val="left"/>
            </w:pPr>
            <w:r/>
            <w:r>
              <w:rPr>
                <w:rFonts w:ascii="Calibri" w:hAnsi="Calibri"/>
                <w:b w:val="0"/>
                <w:sz w:val="16"/>
              </w:rPr>
              <w:t>Contractor / STL / Endura</w:t>
            </w:r>
          </w:p>
        </w:tc>
        <w:tc>
          <w:tcPr>
            <w:tcW w:type="dxa" w:w="2880"/>
            <w:vAlign w:val="center"/>
          </w:tcPr>
          <w:p>
            <w:pPr>
              <w:jc w:val="left"/>
            </w:pPr>
            <w:r/>
            <w:r>
              <w:rPr>
                <w:rFonts w:ascii="Calibri" w:hAnsi="Calibri"/>
                <w:b w:val="0"/>
                <w:sz w:val="16"/>
              </w:rPr>
              <w:t>QA-closed trial bents and measured cycle.</w:t>
            </w:r>
          </w:p>
        </w:tc>
      </w:tr>
      <w:tr>
        <w:tc>
          <w:tcPr>
            <w:tcW w:type="dxa" w:w="1728"/>
            <w:vAlign w:val="center"/>
            <w:shd w:fill="F2F2F2"/>
          </w:tcPr>
          <w:p>
            <w:pPr>
              <w:jc w:val="left"/>
            </w:pPr>
            <w:r/>
            <w:r>
              <w:rPr>
                <w:rFonts w:ascii="Calibri" w:hAnsi="Calibri"/>
                <w:b w:val="0"/>
                <w:sz w:val="16"/>
              </w:rPr>
              <w:t>DG5 Production</w:t>
            </w:r>
          </w:p>
        </w:tc>
        <w:tc>
          <w:tcPr>
            <w:tcW w:type="dxa" w:w="5184"/>
            <w:vAlign w:val="center"/>
            <w:shd w:fill="F2F2F2"/>
          </w:tcPr>
          <w:p>
            <w:pPr>
              <w:jc w:val="left"/>
            </w:pPr>
            <w:r/>
            <w:r>
              <w:rPr>
                <w:rFonts w:ascii="Calibri" w:hAnsi="Calibri"/>
                <w:b w:val="0"/>
                <w:sz w:val="16"/>
              </w:rPr>
              <w:t>Select fleet, crew, programme, price and contracting strategy.</w:t>
            </w:r>
          </w:p>
        </w:tc>
        <w:tc>
          <w:tcPr>
            <w:tcW w:type="dxa" w:w="2448"/>
            <w:vAlign w:val="center"/>
            <w:shd w:fill="F2F2F2"/>
          </w:tcPr>
          <w:p>
            <w:pPr>
              <w:jc w:val="left"/>
            </w:pPr>
            <w:r/>
            <w:r>
              <w:rPr>
                <w:rFonts w:ascii="Calibri" w:hAnsi="Calibri"/>
                <w:b w:val="0"/>
                <w:sz w:val="16"/>
              </w:rPr>
              <w:t>STL Board / advisers</w:t>
            </w:r>
          </w:p>
        </w:tc>
        <w:tc>
          <w:tcPr>
            <w:tcW w:type="dxa" w:w="2880"/>
            <w:vAlign w:val="center"/>
            <w:shd w:fill="F2F2F2"/>
          </w:tcPr>
          <w:p>
            <w:pPr>
              <w:jc w:val="left"/>
            </w:pPr>
            <w:r/>
            <w:r>
              <w:rPr>
                <w:rFonts w:ascii="Calibri" w:hAnsi="Calibri"/>
                <w:b w:val="0"/>
                <w:sz w:val="16"/>
              </w:rPr>
              <w:t>Risk-adjusted comparison supports decision.</w:t>
            </w:r>
          </w:p>
        </w:tc>
      </w:tr>
      <w:tr>
        <w:tc>
          <w:tcPr>
            <w:tcW w:type="dxa" w:w="1728"/>
            <w:vAlign w:val="center"/>
          </w:tcPr>
          <w:p>
            <w:pPr>
              <w:jc w:val="left"/>
            </w:pPr>
            <w:r/>
            <w:r>
              <w:rPr>
                <w:rFonts w:ascii="Calibri" w:hAnsi="Calibri"/>
                <w:b w:val="0"/>
                <w:sz w:val="16"/>
              </w:rPr>
              <w:t>DG6 Scale</w:t>
            </w:r>
          </w:p>
        </w:tc>
        <w:tc>
          <w:tcPr>
            <w:tcW w:type="dxa" w:w="5184"/>
            <w:vAlign w:val="center"/>
          </w:tcPr>
          <w:p>
            <w:pPr>
              <w:jc w:val="left"/>
            </w:pPr>
            <w:r/>
            <w:r>
              <w:rPr>
                <w:rFonts w:ascii="Calibri" w:hAnsi="Calibri"/>
                <w:b w:val="0"/>
                <w:sz w:val="16"/>
              </w:rPr>
              <w:t>Ramp up only after stable measured output and quality.</w:t>
            </w:r>
          </w:p>
        </w:tc>
        <w:tc>
          <w:tcPr>
            <w:tcW w:type="dxa" w:w="2448"/>
            <w:vAlign w:val="center"/>
          </w:tcPr>
          <w:p>
            <w:pPr>
              <w:jc w:val="left"/>
            </w:pPr>
            <w:r/>
            <w:r>
              <w:rPr>
                <w:rFonts w:ascii="Calibri" w:hAnsi="Calibri"/>
                <w:b w:val="0"/>
                <w:sz w:val="16"/>
              </w:rPr>
              <w:t>Contractor / STL</w:t>
            </w:r>
          </w:p>
        </w:tc>
        <w:tc>
          <w:tcPr>
            <w:tcW w:type="dxa" w:w="2880"/>
            <w:vAlign w:val="center"/>
          </w:tcPr>
          <w:p>
            <w:pPr>
              <w:jc w:val="left"/>
            </w:pPr>
            <w:r/>
            <w:r>
              <w:rPr>
                <w:rFonts w:ascii="Calibri" w:hAnsi="Calibri"/>
                <w:b w:val="0"/>
                <w:sz w:val="16"/>
              </w:rPr>
              <w:t>Production control limits achieved.</w:t>
            </w:r>
          </w:p>
        </w:tc>
      </w:tr>
    </w:tbl>
    <w:p/>
    <w:p>
      <w:pPr>
        <w:pStyle w:val="Heading1"/>
        <w:spacing w:before="200" w:after="80"/>
      </w:pPr>
      <w:r>
        <w:t>17. Conclusions for the author</w:t>
      </w:r>
    </w:p>
    <w:p>
      <w:pPr>
        <w:pStyle w:val="ListBullet"/>
        <w:spacing w:after="40"/>
      </w:pPr>
      <w:r>
        <w:t>Do not claim that the current completed-bent rate is 0.36/week. It is a claimed safe-access stage equivalent rate.</w:t>
      </w:r>
    </w:p>
    <w:p>
      <w:pPr>
        <w:pStyle w:val="ListBullet"/>
        <w:spacing w:after="40"/>
      </w:pPr>
      <w:r>
        <w:t>Do not claim that two access sets achieve the end-2028 programme. Two sets are the proving/leapfrog pair.</w:t>
      </w:r>
    </w:p>
    <w:p>
      <w:pPr>
        <w:pStyle w:val="ListBullet"/>
        <w:spacing w:after="40"/>
      </w:pPr>
      <w:r>
        <w:t>Do not claim a final fleet until the complete elapsed cycle and dated calendar are modelled.</w:t>
      </w:r>
    </w:p>
    <w:p>
      <w:pPr>
        <w:pStyle w:val="ListBullet"/>
        <w:spacing w:after="40"/>
      </w:pPr>
      <w:r>
        <w:t>Do not state that welding is proven to govern. It is the largest modelled item and a likely pacing candidate.</w:t>
      </w:r>
    </w:p>
    <w:p>
      <w:pPr>
        <w:pStyle w:val="ListBullet"/>
        <w:spacing w:after="40"/>
      </w:pPr>
      <w:r>
        <w:t>Do not state that tidal waiting is eliminated. It is materially reduced for platform-accessible work; below-LAT work remains open.</w:t>
      </w:r>
    </w:p>
    <w:p>
      <w:pPr>
        <w:pStyle w:val="ListBullet"/>
        <w:spacing w:after="40"/>
      </w:pPr>
      <w:r>
        <w:t>Do not claim cost savings until the remaining current cost and proposed bottom-up estimate are reconciled.</w:t>
      </w:r>
    </w:p>
    <w:p>
      <w:pPr>
        <w:pStyle w:val="ListBullet"/>
        <w:spacing w:after="40"/>
      </w:pPr>
      <w:r>
        <w:t>Do not force the typical-bent system onto anchor, passing-bay, special or EJ bents without family-specific layouts.</w:t>
      </w:r>
    </w:p>
    <w:p>
      <w:pPr>
        <w:pStyle w:val="ListBullet"/>
        <w:spacing w:after="40"/>
      </w:pPr>
      <w:r>
        <w:t>Present the concept as technically plausible and worth proving, not as selected plant or a construction-ready method.</w:t>
      </w:r>
    </w:p>
    <w:p>
      <w:pPr>
        <w:pStyle w:val="ListBullet"/>
        <w:spacing w:after="40"/>
      </w:pPr>
      <w:r>
        <w:t>Keep legal/contractual action outside Endura’s technical recommendation. Provide evidence for STL and its advisers.</w:t>
      </w:r>
    </w:p>
    <w:p>
      <w:pPr>
        <w:spacing w:after="80" w:line="259" w:lineRule="auto"/>
      </w:pPr>
      <w:r>
        <w:rPr>
          <w:i w:val="0"/>
        </w:rPr>
        <w:t>Recommended author conclusion: The reusable marine access concept is the strongest current candidate for removing repeated scaffold build/strip and improving workfront availability on typical bents. Its programme case is not yet proven. Stage 1 should proceed through supplier development, bent-family mapping, temporary-works design, dated calendar modelling and a two-set proving campaign. The measured proving result should determine the production fleet, programme, cost and procurement recommendation.</w:t>
      </w:r>
    </w:p>
    <w:p>
      <w:pPr>
        <w:pStyle w:val="Heading1"/>
        <w:spacing w:before="200" w:after="80"/>
      </w:pPr>
      <w:r>
        <w:t>Appendix A. Fact, assumption and open-item register</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E8751A"/>
          </w:tcPr>
          <w:p>
            <w:pPr>
              <w:jc w:val="left"/>
            </w:pPr>
            <w:r/>
            <w:r>
              <w:rPr>
                <w:rFonts w:ascii="Calibri" w:hAnsi="Calibri"/>
                <w:b/>
                <w:color w:val="FFFFFF"/>
                <w:sz w:val="16"/>
              </w:rPr>
              <w:t>Classification</w:t>
            </w:r>
          </w:p>
        </w:tc>
        <w:tc>
          <w:tcPr>
            <w:tcW w:type="dxa" w:w="5472"/>
            <w:vAlign w:val="center"/>
            <w:shd w:fill="E8751A"/>
          </w:tcPr>
          <w:p>
            <w:pPr>
              <w:jc w:val="left"/>
            </w:pPr>
            <w:r/>
            <w:r>
              <w:rPr>
                <w:rFonts w:ascii="Calibri" w:hAnsi="Calibri"/>
                <w:b/>
                <w:color w:val="FFFFFF"/>
                <w:sz w:val="16"/>
              </w:rPr>
              <w:t>Statement</w:t>
            </w:r>
          </w:p>
        </w:tc>
        <w:tc>
          <w:tcPr>
            <w:tcW w:type="dxa" w:w="3600"/>
            <w:vAlign w:val="center"/>
            <w:shd w:fill="E8751A"/>
          </w:tcPr>
          <w:p>
            <w:pPr>
              <w:jc w:val="left"/>
            </w:pPr>
            <w:r/>
            <w:r>
              <w:rPr>
                <w:rFonts w:ascii="Calibri" w:hAnsi="Calibri"/>
                <w:b/>
                <w:color w:val="FFFFFF"/>
                <w:sz w:val="16"/>
              </w:rPr>
              <w:t>Basis / closure</w:t>
            </w:r>
          </w:p>
        </w:tc>
      </w:tr>
      <w:tr>
        <w:tc>
          <w:tcPr>
            <w:tcW w:type="dxa" w:w="2304"/>
            <w:vAlign w:val="center"/>
            <w:shd w:fill="F2F2F2"/>
          </w:tcPr>
          <w:p>
            <w:pPr>
              <w:jc w:val="left"/>
            </w:pPr>
            <w:r/>
            <w:r>
              <w:rPr>
                <w:rFonts w:ascii="Calibri" w:hAnsi="Calibri"/>
                <w:b w:val="0"/>
                <w:sz w:val="16"/>
              </w:rPr>
              <w:t>Project fact</w:t>
            </w:r>
          </w:p>
        </w:tc>
        <w:tc>
          <w:tcPr>
            <w:tcW w:type="dxa" w:w="5472"/>
            <w:vAlign w:val="center"/>
            <w:shd w:fill="F2F2F2"/>
          </w:tcPr>
          <w:p>
            <w:pPr>
              <w:jc w:val="left"/>
            </w:pPr>
            <w:r/>
            <w:r>
              <w:rPr>
                <w:rFonts w:ascii="Calibri" w:hAnsi="Calibri"/>
                <w:b w:val="0"/>
                <w:sz w:val="16"/>
              </w:rPr>
              <w:t>5.7 km jetty, 284 bents, approximately 670 piles.</w:t>
            </w:r>
          </w:p>
        </w:tc>
        <w:tc>
          <w:tcPr>
            <w:tcW w:type="dxa" w:w="3600"/>
            <w:vAlign w:val="center"/>
            <w:shd w:fill="F2F2F2"/>
          </w:tcPr>
          <w:p>
            <w:pPr>
              <w:jc w:val="left"/>
            </w:pPr>
            <w:r/>
            <w:r>
              <w:rPr>
                <w:rFonts w:ascii="Calibri" w:hAnsi="Calibri"/>
                <w:b w:val="0"/>
                <w:sz w:val="16"/>
              </w:rPr>
              <w:t>Drawings / Shoreline.</w:t>
            </w:r>
          </w:p>
        </w:tc>
      </w:tr>
      <w:tr>
        <w:tc>
          <w:tcPr>
            <w:tcW w:type="dxa" w:w="2304"/>
            <w:vAlign w:val="center"/>
          </w:tcPr>
          <w:p>
            <w:pPr>
              <w:jc w:val="left"/>
            </w:pPr>
            <w:r/>
            <w:r>
              <w:rPr>
                <w:rFonts w:ascii="Calibri" w:hAnsi="Calibri"/>
                <w:b w:val="0"/>
                <w:sz w:val="16"/>
              </w:rPr>
              <w:t>Project fact</w:t>
            </w:r>
          </w:p>
        </w:tc>
        <w:tc>
          <w:tcPr>
            <w:tcW w:type="dxa" w:w="5472"/>
            <w:vAlign w:val="center"/>
          </w:tcPr>
          <w:p>
            <w:pPr>
              <w:jc w:val="left"/>
            </w:pPr>
            <w:r/>
            <w:r>
              <w:rPr>
                <w:rFonts w:ascii="Calibri" w:hAnsi="Calibri"/>
                <w:b w:val="0"/>
                <w:sz w:val="16"/>
              </w:rPr>
              <w:t>Typical headstock 7.9 m long, 900 mm deep, approximately 450 mm wide; piles 850/920 mm, rake 1:4.</w:t>
            </w:r>
          </w:p>
        </w:tc>
        <w:tc>
          <w:tcPr>
            <w:tcW w:type="dxa" w:w="3600"/>
            <w:vAlign w:val="center"/>
          </w:tcPr>
          <w:p>
            <w:pPr>
              <w:jc w:val="left"/>
            </w:pPr>
            <w:r/>
            <w:r>
              <w:rPr>
                <w:rFonts w:ascii="Calibri" w:hAnsi="Calibri"/>
                <w:b w:val="0"/>
                <w:sz w:val="16"/>
              </w:rPr>
              <w:t>Drawings.</w:t>
            </w:r>
          </w:p>
        </w:tc>
      </w:tr>
      <w:tr>
        <w:tc>
          <w:tcPr>
            <w:tcW w:type="dxa" w:w="2304"/>
            <w:vAlign w:val="center"/>
            <w:shd w:fill="F2F2F2"/>
          </w:tcPr>
          <w:p>
            <w:pPr>
              <w:jc w:val="left"/>
            </w:pPr>
            <w:r/>
            <w:r>
              <w:rPr>
                <w:rFonts w:ascii="Calibri" w:hAnsi="Calibri"/>
                <w:b w:val="0"/>
                <w:sz w:val="16"/>
              </w:rPr>
              <w:t>Project fact</w:t>
            </w:r>
          </w:p>
        </w:tc>
        <w:tc>
          <w:tcPr>
            <w:tcW w:type="dxa" w:w="5472"/>
            <w:vAlign w:val="center"/>
            <w:shd w:fill="F2F2F2"/>
          </w:tcPr>
          <w:p>
            <w:pPr>
              <w:jc w:val="left"/>
            </w:pPr>
            <w:r/>
            <w:r>
              <w:rPr>
                <w:rFonts w:ascii="Calibri" w:hAnsi="Calibri"/>
                <w:b w:val="0"/>
                <w:sz w:val="16"/>
              </w:rPr>
              <w:t>LAT RL -0.300, HAT RL 3.660.</w:t>
            </w:r>
          </w:p>
        </w:tc>
        <w:tc>
          <w:tcPr>
            <w:tcW w:type="dxa" w:w="3600"/>
            <w:vAlign w:val="center"/>
            <w:shd w:fill="F2F2F2"/>
          </w:tcPr>
          <w:p>
            <w:pPr>
              <w:jc w:val="left"/>
            </w:pPr>
            <w:r/>
            <w:r>
              <w:rPr>
                <w:rFonts w:ascii="Calibri" w:hAnsi="Calibri"/>
                <w:b w:val="0"/>
                <w:sz w:val="16"/>
              </w:rPr>
              <w:t>Aurecon/jetty levels.</w:t>
            </w:r>
          </w:p>
        </w:tc>
      </w:tr>
      <w:tr>
        <w:tc>
          <w:tcPr>
            <w:tcW w:type="dxa" w:w="2304"/>
            <w:vAlign w:val="center"/>
          </w:tcPr>
          <w:p>
            <w:pPr>
              <w:jc w:val="left"/>
            </w:pPr>
            <w:r/>
            <w:r>
              <w:rPr>
                <w:rFonts w:ascii="Calibri" w:hAnsi="Calibri"/>
                <w:b w:val="0"/>
                <w:sz w:val="16"/>
              </w:rPr>
              <w:t>Client basis</w:t>
            </w:r>
          </w:p>
        </w:tc>
        <w:tc>
          <w:tcPr>
            <w:tcW w:type="dxa" w:w="5472"/>
            <w:vAlign w:val="center"/>
          </w:tcPr>
          <w:p>
            <w:pPr>
              <w:jc w:val="left"/>
            </w:pPr>
            <w:r/>
            <w:r>
              <w:rPr>
                <w:rFonts w:ascii="Calibri" w:hAnsi="Calibri"/>
                <w:b w:val="0"/>
                <w:sz w:val="16"/>
              </w:rPr>
              <w:t>Priority integrity repairs close by end 2028.</w:t>
            </w:r>
          </w:p>
        </w:tc>
        <w:tc>
          <w:tcPr>
            <w:tcW w:type="dxa" w:w="3600"/>
            <w:vAlign w:val="center"/>
          </w:tcPr>
          <w:p>
            <w:pPr>
              <w:jc w:val="left"/>
            </w:pPr>
            <w:r/>
            <w:r>
              <w:rPr>
                <w:rFonts w:ascii="Calibri" w:hAnsi="Calibri"/>
                <w:b w:val="0"/>
                <w:sz w:val="16"/>
              </w:rPr>
              <w:t>STL advice; priority boundary open.</w:t>
            </w:r>
          </w:p>
        </w:tc>
      </w:tr>
      <w:tr>
        <w:tc>
          <w:tcPr>
            <w:tcW w:type="dxa" w:w="2304"/>
            <w:vAlign w:val="center"/>
            <w:shd w:fill="F2F2F2"/>
          </w:tcPr>
          <w:p>
            <w:pPr>
              <w:jc w:val="left"/>
            </w:pPr>
            <w:r/>
            <w:r>
              <w:rPr>
                <w:rFonts w:ascii="Calibri" w:hAnsi="Calibri"/>
                <w:b w:val="0"/>
                <w:sz w:val="16"/>
              </w:rPr>
              <w:t>Engineering stress case</w:t>
            </w:r>
          </w:p>
        </w:tc>
        <w:tc>
          <w:tcPr>
            <w:tcW w:type="dxa" w:w="5472"/>
            <w:vAlign w:val="center"/>
            <w:shd w:fill="F2F2F2"/>
          </w:tcPr>
          <w:p>
            <w:pPr>
              <w:jc w:val="left"/>
            </w:pPr>
            <w:r/>
            <w:r>
              <w:rPr>
                <w:rFonts w:ascii="Calibri" w:hAnsi="Calibri"/>
                <w:b w:val="0"/>
                <w:sz w:val="16"/>
              </w:rPr>
              <w:t>227 bents over 60 nominal production weeks.</w:t>
            </w:r>
          </w:p>
        </w:tc>
        <w:tc>
          <w:tcPr>
            <w:tcW w:type="dxa" w:w="3600"/>
            <w:vAlign w:val="center"/>
            <w:shd w:fill="F2F2F2"/>
          </w:tcPr>
          <w:p>
            <w:pPr>
              <w:jc w:val="left"/>
            </w:pPr>
            <w:r/>
            <w:r>
              <w:rPr>
                <w:rFonts w:ascii="Calibri" w:hAnsi="Calibri"/>
                <w:b w:val="0"/>
                <w:sz w:val="16"/>
              </w:rPr>
              <w:t>Not the confirmed priority quantity.</w:t>
            </w:r>
          </w:p>
        </w:tc>
      </w:tr>
      <w:tr>
        <w:tc>
          <w:tcPr>
            <w:tcW w:type="dxa" w:w="2304"/>
            <w:vAlign w:val="center"/>
          </w:tcPr>
          <w:p>
            <w:pPr>
              <w:jc w:val="left"/>
            </w:pPr>
            <w:r/>
            <w:r>
              <w:rPr>
                <w:rFonts w:ascii="Calibri" w:hAnsi="Calibri"/>
                <w:b w:val="0"/>
                <w:sz w:val="16"/>
              </w:rPr>
              <w:t>Client progress basis</w:t>
            </w:r>
          </w:p>
        </w:tc>
        <w:tc>
          <w:tcPr>
            <w:tcW w:type="dxa" w:w="5472"/>
            <w:vAlign w:val="center"/>
          </w:tcPr>
          <w:p>
            <w:pPr>
              <w:jc w:val="left"/>
            </w:pPr>
            <w:r/>
            <w:r>
              <w:rPr>
                <w:rFonts w:ascii="Calibri" w:hAnsi="Calibri"/>
                <w:b w:val="0"/>
                <w:sz w:val="16"/>
              </w:rPr>
              <w:t>7.9 safe-access equivalents in 21.9 weeks.</w:t>
            </w:r>
          </w:p>
        </w:tc>
        <w:tc>
          <w:tcPr>
            <w:tcW w:type="dxa" w:w="3600"/>
            <w:vAlign w:val="center"/>
          </w:tcPr>
          <w:p>
            <w:pPr>
              <w:jc w:val="left"/>
            </w:pPr>
            <w:r/>
            <w:r>
              <w:rPr>
                <w:rFonts w:ascii="Calibri" w:hAnsi="Calibri"/>
                <w:b w:val="0"/>
                <w:sz w:val="16"/>
              </w:rPr>
              <w:t>Claim extract; not completed bents.</w:t>
            </w:r>
          </w:p>
        </w:tc>
      </w:tr>
      <w:tr>
        <w:tc>
          <w:tcPr>
            <w:tcW w:type="dxa" w:w="2304"/>
            <w:vAlign w:val="center"/>
            <w:shd w:fill="F2F2F2"/>
          </w:tcPr>
          <w:p>
            <w:pPr>
              <w:jc w:val="left"/>
            </w:pPr>
            <w:r/>
            <w:r>
              <w:rPr>
                <w:rFonts w:ascii="Calibri" w:hAnsi="Calibri"/>
                <w:b w:val="0"/>
                <w:sz w:val="16"/>
              </w:rPr>
              <w:t>Engineering sensitivity</w:t>
            </w:r>
          </w:p>
        </w:tc>
        <w:tc>
          <w:tcPr>
            <w:tcW w:type="dxa" w:w="5472"/>
            <w:vAlign w:val="center"/>
            <w:shd w:fill="F2F2F2"/>
          </w:tcPr>
          <w:p>
            <w:pPr>
              <w:jc w:val="left"/>
            </w:pPr>
            <w:r/>
            <w:r>
              <w:rPr>
                <w:rFonts w:ascii="Calibri" w:hAnsi="Calibri"/>
                <w:b w:val="0"/>
                <w:sz w:val="16"/>
              </w:rPr>
              <w:t>53 lm weld per typical-bent equivalent.</w:t>
            </w:r>
          </w:p>
        </w:tc>
        <w:tc>
          <w:tcPr>
            <w:tcW w:type="dxa" w:w="3600"/>
            <w:vAlign w:val="center"/>
            <w:shd w:fill="F2F2F2"/>
          </w:tcPr>
          <w:p>
            <w:pPr>
              <w:jc w:val="left"/>
            </w:pPr>
            <w:r/>
            <w:r>
              <w:rPr>
                <w:rFonts w:ascii="Calibri" w:hAnsi="Calibri"/>
                <w:b w:val="0"/>
                <w:sz w:val="16"/>
              </w:rPr>
              <w:t>473.025 lm / 9.0 inspection equivalents.</w:t>
            </w:r>
          </w:p>
        </w:tc>
      </w:tr>
      <w:tr>
        <w:tc>
          <w:tcPr>
            <w:tcW w:type="dxa" w:w="2304"/>
            <w:vAlign w:val="center"/>
          </w:tcPr>
          <w:p>
            <w:pPr>
              <w:jc w:val="left"/>
            </w:pPr>
            <w:r/>
            <w:r>
              <w:rPr>
                <w:rFonts w:ascii="Calibri" w:hAnsi="Calibri"/>
                <w:b w:val="0"/>
                <w:sz w:val="16"/>
              </w:rPr>
              <w:t>Engineering assumption</w:t>
            </w:r>
          </w:p>
        </w:tc>
        <w:tc>
          <w:tcPr>
            <w:tcW w:type="dxa" w:w="5472"/>
            <w:vAlign w:val="center"/>
          </w:tcPr>
          <w:p>
            <w:pPr>
              <w:jc w:val="left"/>
            </w:pPr>
            <w:r/>
            <w:r>
              <w:rPr>
                <w:rFonts w:ascii="Calibri" w:hAnsi="Calibri"/>
                <w:b w:val="0"/>
                <w:sz w:val="16"/>
              </w:rPr>
              <w:t>Two weld crews at 6 accepted lm/crew-shift in base model.</w:t>
            </w:r>
          </w:p>
        </w:tc>
        <w:tc>
          <w:tcPr>
            <w:tcW w:type="dxa" w:w="3600"/>
            <w:vAlign w:val="center"/>
          </w:tcPr>
          <w:p>
            <w:pPr>
              <w:jc w:val="left"/>
            </w:pPr>
            <w:r/>
            <w:r>
              <w:rPr>
                <w:rFonts w:ascii="Calibri" w:hAnsi="Calibri"/>
                <w:b w:val="0"/>
                <w:sz w:val="16"/>
              </w:rPr>
              <w:t>Requires timed trial.</w:t>
            </w:r>
          </w:p>
        </w:tc>
      </w:tr>
      <w:tr>
        <w:tc>
          <w:tcPr>
            <w:tcW w:type="dxa" w:w="2304"/>
            <w:vAlign w:val="center"/>
            <w:shd w:fill="F2F2F2"/>
          </w:tcPr>
          <w:p>
            <w:pPr>
              <w:jc w:val="left"/>
            </w:pPr>
            <w:r/>
            <w:r>
              <w:rPr>
                <w:rFonts w:ascii="Calibri" w:hAnsi="Calibri"/>
                <w:b w:val="0"/>
                <w:sz w:val="16"/>
              </w:rPr>
              <w:t>Engineering assumption</w:t>
            </w:r>
          </w:p>
        </w:tc>
        <w:tc>
          <w:tcPr>
            <w:tcW w:type="dxa" w:w="5472"/>
            <w:vAlign w:val="center"/>
            <w:shd w:fill="F2F2F2"/>
          </w:tcPr>
          <w:p>
            <w:pPr>
              <w:jc w:val="left"/>
            </w:pPr>
            <w:r/>
            <w:r>
              <w:rPr>
                <w:rFonts w:ascii="Calibri" w:hAnsi="Calibri"/>
                <w:b w:val="0"/>
                <w:sz w:val="16"/>
              </w:rPr>
              <w:t>One bent-level three-day repair approval.</w:t>
            </w:r>
          </w:p>
        </w:tc>
        <w:tc>
          <w:tcPr>
            <w:tcW w:type="dxa" w:w="3600"/>
            <w:vAlign w:val="center"/>
            <w:shd w:fill="F2F2F2"/>
          </w:tcPr>
          <w:p>
            <w:pPr>
              <w:jc w:val="left"/>
            </w:pPr>
            <w:r/>
            <w:r>
              <w:rPr>
                <w:rFonts w:ascii="Calibri" w:hAnsi="Calibri"/>
                <w:b w:val="0"/>
                <w:sz w:val="16"/>
              </w:rPr>
              <w:t>Requires Jed/reviewing engineer confirmation.</w:t>
            </w:r>
          </w:p>
        </w:tc>
      </w:tr>
      <w:tr>
        <w:tc>
          <w:tcPr>
            <w:tcW w:type="dxa" w:w="2304"/>
            <w:vAlign w:val="center"/>
          </w:tcPr>
          <w:p>
            <w:pPr>
              <w:jc w:val="left"/>
            </w:pPr>
            <w:r/>
            <w:r>
              <w:rPr>
                <w:rFonts w:ascii="Calibri" w:hAnsi="Calibri"/>
                <w:b w:val="0"/>
                <w:sz w:val="16"/>
              </w:rPr>
              <w:t>Engineering assumption</w:t>
            </w:r>
          </w:p>
        </w:tc>
        <w:tc>
          <w:tcPr>
            <w:tcW w:type="dxa" w:w="5472"/>
            <w:vAlign w:val="center"/>
          </w:tcPr>
          <w:p>
            <w:pPr>
              <w:jc w:val="left"/>
            </w:pPr>
            <w:r/>
            <w:r>
              <w:rPr>
                <w:rFonts w:ascii="Calibri" w:hAnsi="Calibri"/>
                <w:b w:val="0"/>
                <w:sz w:val="16"/>
              </w:rPr>
              <w:t>11 h relocation package.</w:t>
            </w:r>
          </w:p>
        </w:tc>
        <w:tc>
          <w:tcPr>
            <w:tcW w:type="dxa" w:w="3600"/>
            <w:vAlign w:val="center"/>
          </w:tcPr>
          <w:p>
            <w:pPr>
              <w:jc w:val="left"/>
            </w:pPr>
            <w:r/>
            <w:r>
              <w:rPr>
                <w:rFonts w:ascii="Calibri" w:hAnsi="Calibri"/>
                <w:b w:val="0"/>
                <w:sz w:val="16"/>
              </w:rPr>
              <w:t>Requires timed trial.</w:t>
            </w:r>
          </w:p>
        </w:tc>
      </w:tr>
      <w:tr>
        <w:tc>
          <w:tcPr>
            <w:tcW w:type="dxa" w:w="2304"/>
            <w:vAlign w:val="center"/>
            <w:shd w:fill="F2F2F2"/>
          </w:tcPr>
          <w:p>
            <w:pPr>
              <w:jc w:val="left"/>
            </w:pPr>
            <w:r/>
            <w:r>
              <w:rPr>
                <w:rFonts w:ascii="Calibri" w:hAnsi="Calibri"/>
                <w:b w:val="0"/>
                <w:sz w:val="16"/>
              </w:rPr>
              <w:t>Open item</w:t>
            </w:r>
          </w:p>
        </w:tc>
        <w:tc>
          <w:tcPr>
            <w:tcW w:type="dxa" w:w="5472"/>
            <w:vAlign w:val="center"/>
            <w:shd w:fill="F2F2F2"/>
          </w:tcPr>
          <w:p>
            <w:pPr>
              <w:jc w:val="left"/>
            </w:pPr>
            <w:r/>
            <w:r>
              <w:rPr>
                <w:rFonts w:ascii="Calibri" w:hAnsi="Calibri"/>
                <w:b w:val="0"/>
                <w:sz w:val="16"/>
              </w:rPr>
              <w:t>Headstock containment cycle.</w:t>
            </w:r>
          </w:p>
        </w:tc>
        <w:tc>
          <w:tcPr>
            <w:tcW w:type="dxa" w:w="3600"/>
            <w:vAlign w:val="center"/>
            <w:shd w:fill="F2F2F2"/>
          </w:tcPr>
          <w:p>
            <w:pPr>
              <w:jc w:val="left"/>
            </w:pPr>
            <w:r/>
            <w:r>
              <w:rPr>
                <w:rFonts w:ascii="Calibri" w:hAnsi="Calibri"/>
                <w:b w:val="0"/>
                <w:sz w:val="16"/>
              </w:rPr>
              <w:t>Supplier/TW design.</w:t>
            </w:r>
          </w:p>
        </w:tc>
      </w:tr>
      <w:tr>
        <w:tc>
          <w:tcPr>
            <w:tcW w:type="dxa" w:w="2304"/>
            <w:vAlign w:val="center"/>
          </w:tcPr>
          <w:p>
            <w:pPr>
              <w:jc w:val="left"/>
            </w:pPr>
            <w:r/>
            <w:r>
              <w:rPr>
                <w:rFonts w:ascii="Calibri" w:hAnsi="Calibri"/>
                <w:b w:val="0"/>
                <w:sz w:val="16"/>
              </w:rPr>
              <w:t>Open item</w:t>
            </w:r>
          </w:p>
        </w:tc>
        <w:tc>
          <w:tcPr>
            <w:tcW w:type="dxa" w:w="5472"/>
            <w:vAlign w:val="center"/>
          </w:tcPr>
          <w:p>
            <w:pPr>
              <w:jc w:val="left"/>
            </w:pPr>
            <w:r/>
            <w:r>
              <w:rPr>
                <w:rFonts w:ascii="Calibri" w:hAnsi="Calibri"/>
                <w:b w:val="0"/>
                <w:sz w:val="16"/>
              </w:rPr>
              <w:t>Below-LAT jacket method.</w:t>
            </w:r>
          </w:p>
        </w:tc>
        <w:tc>
          <w:tcPr>
            <w:tcW w:type="dxa" w:w="3600"/>
            <w:vAlign w:val="center"/>
          </w:tcPr>
          <w:p>
            <w:pPr>
              <w:jc w:val="left"/>
            </w:pPr>
            <w:r/>
            <w:r>
              <w:rPr>
                <w:rFonts w:ascii="Calibri" w:hAnsi="Calibri"/>
                <w:b w:val="0"/>
                <w:sz w:val="16"/>
              </w:rPr>
              <w:t>Manufacturer/marine method.</w:t>
            </w:r>
          </w:p>
        </w:tc>
      </w:tr>
      <w:tr>
        <w:tc>
          <w:tcPr>
            <w:tcW w:type="dxa" w:w="2304"/>
            <w:vAlign w:val="center"/>
            <w:shd w:fill="F2F2F2"/>
          </w:tcPr>
          <w:p>
            <w:pPr>
              <w:jc w:val="left"/>
            </w:pPr>
            <w:r/>
            <w:r>
              <w:rPr>
                <w:rFonts w:ascii="Calibri" w:hAnsi="Calibri"/>
                <w:b w:val="0"/>
                <w:sz w:val="16"/>
              </w:rPr>
              <w:t>Open item</w:t>
            </w:r>
          </w:p>
        </w:tc>
        <w:tc>
          <w:tcPr>
            <w:tcW w:type="dxa" w:w="5472"/>
            <w:vAlign w:val="center"/>
            <w:shd w:fill="F2F2F2"/>
          </w:tcPr>
          <w:p>
            <w:pPr>
              <w:jc w:val="left"/>
            </w:pPr>
            <w:r/>
            <w:r>
              <w:rPr>
                <w:rFonts w:ascii="Calibri" w:hAnsi="Calibri"/>
                <w:b w:val="0"/>
                <w:sz w:val="16"/>
              </w:rPr>
              <w:t>Coating elapsed work-lot.</w:t>
            </w:r>
          </w:p>
        </w:tc>
        <w:tc>
          <w:tcPr>
            <w:tcW w:type="dxa" w:w="3600"/>
            <w:vAlign w:val="center"/>
            <w:shd w:fill="F2F2F2"/>
          </w:tcPr>
          <w:p>
            <w:pPr>
              <w:jc w:val="left"/>
            </w:pPr>
            <w:r/>
            <w:r>
              <w:rPr>
                <w:rFonts w:ascii="Calibri" w:hAnsi="Calibri"/>
                <w:b w:val="0"/>
                <w:sz w:val="16"/>
              </w:rPr>
              <w:t>Manufacturer/trial.</w:t>
            </w:r>
          </w:p>
        </w:tc>
      </w:tr>
      <w:tr>
        <w:tc>
          <w:tcPr>
            <w:tcW w:type="dxa" w:w="2304"/>
            <w:vAlign w:val="center"/>
          </w:tcPr>
          <w:p>
            <w:pPr>
              <w:jc w:val="left"/>
            </w:pPr>
            <w:r/>
            <w:r>
              <w:rPr>
                <w:rFonts w:ascii="Calibri" w:hAnsi="Calibri"/>
                <w:b w:val="0"/>
                <w:sz w:val="16"/>
              </w:rPr>
              <w:t>Open item</w:t>
            </w:r>
          </w:p>
        </w:tc>
        <w:tc>
          <w:tcPr>
            <w:tcW w:type="dxa" w:w="5472"/>
            <w:vAlign w:val="center"/>
          </w:tcPr>
          <w:p>
            <w:pPr>
              <w:jc w:val="left"/>
            </w:pPr>
            <w:r/>
            <w:r>
              <w:rPr>
                <w:rFonts w:ascii="Calibri" w:hAnsi="Calibri"/>
                <w:b w:val="0"/>
                <w:sz w:val="16"/>
              </w:rPr>
              <w:t>Final access set fleet.</w:t>
            </w:r>
          </w:p>
        </w:tc>
        <w:tc>
          <w:tcPr>
            <w:tcW w:type="dxa" w:w="3600"/>
            <w:vAlign w:val="center"/>
          </w:tcPr>
          <w:p>
            <w:pPr>
              <w:jc w:val="left"/>
            </w:pPr>
            <w:r/>
            <w:r>
              <w:rPr>
                <w:rFonts w:ascii="Calibri" w:hAnsi="Calibri"/>
                <w:b w:val="0"/>
                <w:sz w:val="16"/>
              </w:rPr>
              <w:t>Output of complete model.</w:t>
            </w:r>
          </w:p>
        </w:tc>
      </w:tr>
      <w:tr>
        <w:tc>
          <w:tcPr>
            <w:tcW w:type="dxa" w:w="2304"/>
            <w:vAlign w:val="center"/>
            <w:shd w:fill="F2F2F2"/>
          </w:tcPr>
          <w:p>
            <w:pPr>
              <w:jc w:val="left"/>
            </w:pPr>
            <w:r/>
            <w:r>
              <w:rPr>
                <w:rFonts w:ascii="Calibri" w:hAnsi="Calibri"/>
                <w:b w:val="0"/>
                <w:sz w:val="16"/>
              </w:rPr>
              <w:t>Open item</w:t>
            </w:r>
          </w:p>
        </w:tc>
        <w:tc>
          <w:tcPr>
            <w:tcW w:type="dxa" w:w="5472"/>
            <w:vAlign w:val="center"/>
            <w:shd w:fill="F2F2F2"/>
          </w:tcPr>
          <w:p>
            <w:pPr>
              <w:jc w:val="left"/>
            </w:pPr>
            <w:r/>
            <w:r>
              <w:rPr>
                <w:rFonts w:ascii="Calibri" w:hAnsi="Calibri"/>
                <w:b w:val="0"/>
                <w:sz w:val="16"/>
              </w:rPr>
              <w:t>Complete cost estimate.</w:t>
            </w:r>
          </w:p>
        </w:tc>
        <w:tc>
          <w:tcPr>
            <w:tcW w:type="dxa" w:w="3600"/>
            <w:vAlign w:val="center"/>
            <w:shd w:fill="F2F2F2"/>
          </w:tcPr>
          <w:p>
            <w:pPr>
              <w:jc w:val="left"/>
            </w:pPr>
            <w:r/>
            <w:r>
              <w:rPr>
                <w:rFonts w:ascii="Calibri" w:hAnsi="Calibri"/>
                <w:b w:val="0"/>
                <w:sz w:val="16"/>
              </w:rPr>
              <w:t>Rates, scope, fleet and duration.</w:t>
            </w:r>
          </w:p>
        </w:tc>
      </w:tr>
    </w:tbl>
    <w:p/>
    <w:p>
      <w:pPr>
        <w:pStyle w:val="Heading1"/>
        <w:spacing w:before="200" w:after="80"/>
      </w:pPr>
      <w:r>
        <w:t>Appendix B. Mandatory author self-check before checker review</w:t>
      </w:r>
    </w:p>
    <w:p>
      <w:pPr>
        <w:pStyle w:val="ListNumber"/>
        <w:spacing w:after="40"/>
      </w:pPr>
      <w:r>
        <w:t>Every proposal deliverable is addressed or explicitly located in another deliverable.</w:t>
      </w:r>
    </w:p>
    <w:p>
      <w:pPr>
        <w:pStyle w:val="ListNumber"/>
        <w:spacing w:after="40"/>
      </w:pPr>
      <w:r>
        <w:t>Every headline quantity reconciles across narrative, workbook, schedule, figures and cover note.</w:t>
      </w:r>
    </w:p>
    <w:p>
      <w:pPr>
        <w:pStyle w:val="ListNumber"/>
        <w:spacing w:after="40"/>
      </w:pPr>
      <w:r>
        <w:t>Current stage equivalents are never labelled completed bents.</w:t>
      </w:r>
    </w:p>
    <w:p>
      <w:pPr>
        <w:pStyle w:val="ListNumber"/>
        <w:spacing w:after="40"/>
      </w:pPr>
      <w:r>
        <w:t>The 227-bent quantity is labelled a stress case pending the bent register.</w:t>
      </w:r>
    </w:p>
    <w:p>
      <w:pPr>
        <w:pStyle w:val="ListNumber"/>
        <w:spacing w:after="40"/>
      </w:pPr>
      <w:r>
        <w:t>The work sequence matches the accepted diagnosis, approval and pile-by-pile basis.</w:t>
      </w:r>
    </w:p>
    <w:p>
      <w:pPr>
        <w:pStyle w:val="ListNumber"/>
        <w:spacing w:after="40"/>
      </w:pPr>
      <w:r>
        <w:t>The full coating sequence and elapsed holds are visible.</w:t>
      </w:r>
    </w:p>
    <w:p>
      <w:pPr>
        <w:pStyle w:val="ListNumber"/>
        <w:spacing w:after="40"/>
      </w:pPr>
      <w:r>
        <w:t>Headstock containment and below-LAT jackets remain explicit open gates unless evidence exists.</w:t>
      </w:r>
    </w:p>
    <w:p>
      <w:pPr>
        <w:pStyle w:val="ListNumber"/>
        <w:spacing w:after="40"/>
      </w:pPr>
      <w:r>
        <w:t>Two access sets are described as the proving/leapfrog pair, not the production fleet.</w:t>
      </w:r>
    </w:p>
    <w:p>
      <w:pPr>
        <w:pStyle w:val="ListNumber"/>
        <w:spacing w:after="40"/>
      </w:pPr>
      <w:r>
        <w:t>All productivity scenarios are formula-driven and use one calendar convention.</w:t>
      </w:r>
    </w:p>
    <w:p>
      <w:pPr>
        <w:pStyle w:val="ListNumber"/>
        <w:spacing w:after="40"/>
      </w:pPr>
      <w:r>
        <w:t>Known outages, ship calls, wet season and proving are explicit, not buried in an availability factor.</w:t>
      </w:r>
    </w:p>
    <w:p>
      <w:pPr>
        <w:pStyle w:val="ListNumber"/>
        <w:spacing w:after="40"/>
      </w:pPr>
      <w:r>
        <w:t>Every cost line has scope, unit, quantity, rate source, duration and status.</w:t>
      </w:r>
    </w:p>
    <w:p>
      <w:pPr>
        <w:pStyle w:val="ListNumber"/>
        <w:spacing w:after="40"/>
      </w:pPr>
      <w:r>
        <w:t>No total cost issues while material rate or duration inputs remain TBC.</w:t>
      </w:r>
    </w:p>
    <w:p>
      <w:pPr>
        <w:pStyle w:val="ListNumber"/>
        <w:spacing w:after="40"/>
      </w:pPr>
      <w:r>
        <w:t>No unsupported supplier capacities, rates, operating limits or availability are introduced.</w:t>
      </w:r>
    </w:p>
    <w:p>
      <w:pPr>
        <w:pStyle w:val="ListNumber"/>
        <w:spacing w:after="40"/>
      </w:pPr>
      <w:r>
        <w:t>Figures match the accepted plan/elevation and are labelled indicative/not for construction.</w:t>
      </w:r>
    </w:p>
    <w:p>
      <w:pPr>
        <w:pStyle w:val="ListNumber"/>
        <w:spacing w:after="40"/>
      </w:pPr>
      <w:r>
        <w:t>Entity, document control, Australian English, confidentiality and Endura visual conventions are correct.</w:t>
      </w:r>
    </w:p>
    <w:p>
      <w:pPr>
        <w:pStyle w:val="ListNumber"/>
        <w:spacing w:after="40"/>
      </w:pPr>
      <w:r>
        <w:t>No public claim or contractual recommendation exceeds Endura’s owner-side advisory scope.</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Commercial in confidence | Working engineering basis, not for construction or procurement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6"/>
      </w:rPr>
      <w:t>Endura Decommissioning | STL Lucinda Jetty | Stage 1 Authoring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333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Calibri" w:hAnsi="Calibr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STL Lucinda Stage 1 Access Methodology - Authoring Brief and Engineering Basis</dc:title>
  <dc:subject>Engineering basis for Claude authoring and independent checking</dc:subject>
  <dc:creator>Endura Decommissioning (Van Iersel Projects Pty Ltd) - working basis prepared for authoring</dc:creator>
  <cp:keywords/>
  <dc:description>generated by python-docx</dc:description>
  <cp:lastModifiedBy>Shaun Kurien / Independent Checker workflow</cp:lastModifiedBy>
  <cp:revision>1</cp:revision>
  <dcterms:created xsi:type="dcterms:W3CDTF">2013-12-23T23:15:00Z</dcterms:created>
  <dcterms:modified xsi:type="dcterms:W3CDTF">2013-12-23T23:15:00Z</dcterms:modified>
  <cp:category/>
</cp:coreProperties>
</file>