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E87722"/>
          <w:spacing w:val="40"/>
          <w:sz w:val="18"/>
          <w:szCs w:val="18"/>
        </w:rPr>
        <w:t xml:space="preserve">ENDURA DECOMMISSIONING</w:t>
      </w:r>
    </w:p>
    <w:p>
      <w:pPr>
        <w:spacing w:after="60"/>
      </w:pPr>
      <w:r>
        <w:rPr>
          <w:rFonts w:ascii="Georgia" w:cs="Georgia" w:eastAsia="Georgia" w:hAnsi="Georgia"/>
          <w:b/>
          <w:bCs/>
          <w:color w:val="1A1A1A"/>
          <w:sz w:val="34"/>
          <w:szCs w:val="34"/>
        </w:rPr>
        <w:t xml:space="preserve">Lucinda Jetty Remediation</w:t>
      </w:r>
    </w:p>
    <w:p>
      <w:pPr>
        <w:pBdr>
          <w:bottom w:val="single" w:color="E87722" w:sz="18" w:space="8"/>
        </w:pBdr>
        <w:spacing w:after="200"/>
      </w:pPr>
      <w:r>
        <w:rPr>
          <w:rFonts w:ascii="Georgia" w:cs="Georgia" w:eastAsia="Georgia" w:hAnsi="Georgia"/>
          <w:color w:val="8C8C8C"/>
          <w:sz w:val="24"/>
          <w:szCs w:val="24"/>
        </w:rPr>
        <w:t xml:space="preserve">Working brief: the three items owed to STL this week</w:t>
      </w:r>
    </w:p>
    <w:tbl>
      <w:tblPr>
        <w:tblW w:type="dxa" w:w="9026"/>
        <w:tblBorders>
          <w:top w:val="single" w:color="8C8C8C" w:sz="4"/>
          <w:left w:val="none" w:color="FFFFFF" w:sz="0"/>
          <w:bottom w:val="single" w:color="8C8C8C" w:sz="4"/>
          <w:right w:val="none" w:color="FFFFFF" w:sz="0"/>
          <w:insideH w:val="single" w:color="8C8C8C" w:sz="2"/>
          <w:insideV w:val="none" w:color="FFFFFF" w:sz="0"/>
        </w:tblBorders>
      </w:tblPr>
      <w:tblGrid>
        <w:gridCol w:w="2100"/>
        <w:gridCol w:w="1400"/>
        <w:gridCol w:w="1900"/>
        <w:gridCol w:w="3626"/>
      </w:tblGrid>
      <w:tr>
        <w:trPr>
          <w:tblHeader/>
        </w:trPr>
        <w:tc>
          <w:tcPr>
            <w:tcW w:type="dxa" w:w="21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Document</w:t>
            </w:r>
          </w:p>
        </w:tc>
        <w:tc>
          <w:tcPr>
            <w:tcW w:type="dxa" w:w="14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Revision</w:t>
            </w:r>
          </w:p>
        </w:tc>
        <w:tc>
          <w:tcPr>
            <w:tcW w:type="dxa" w:w="19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Date</w:t>
            </w:r>
          </w:p>
        </w:tc>
        <w:tc>
          <w:tcPr>
            <w:tcW w:type="dxa" w:w="3626"/>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Status</w:t>
            </w:r>
          </w:p>
        </w:tc>
      </w:tr>
      <w:tr>
        <w:tc>
          <w:tcPr>
            <w:tcW w:type="dxa" w:w="21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ED-018-2026-08</w:t>
            </w:r>
          </w:p>
        </w:tc>
        <w:tc>
          <w:tcPr>
            <w:tcW w:type="dxa" w:w="14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A</w:t>
            </w:r>
          </w:p>
        </w:tc>
        <w:tc>
          <w:tcPr>
            <w:tcW w:type="dxa" w:w="19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23 August 2026</w:t>
            </w:r>
          </w:p>
        </w:tc>
        <w:tc>
          <w:tcPr>
            <w:tcW w:type="dxa" w:w="36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Internal working brief. Not for issue to STL.</w:t>
            </w:r>
          </w:p>
        </w:tc>
      </w:tr>
    </w:tbl>
    <w:p>
      <w:pPr>
        <w:spacing w:after="160"/>
      </w:pPr>
    </w:p>
    <w:tbl>
      <w:tblPr>
        <w:tblW w:type="dxa" w:w="9026"/>
        <w:tblBorders>
          <w:top w:val="single" w:color="8C8C8C" w:sz="4"/>
          <w:left w:val="none" w:color="FFFFFF" w:sz="0"/>
          <w:bottom w:val="single" w:color="8C8C8C" w:sz="4"/>
          <w:right w:val="none" w:color="FFFFFF" w:sz="0"/>
          <w:insideH w:val="single" w:color="8C8C8C" w:sz="2"/>
          <w:insideV w:val="none" w:color="FFFFFF" w:sz="0"/>
        </w:tblBorders>
      </w:tblPr>
      <w:tblGrid>
        <w:gridCol w:w="2100"/>
        <w:gridCol w:w="3400"/>
        <w:gridCol w:w="3526"/>
      </w:tblGrid>
      <w:tr>
        <w:trPr>
          <w:tblHeader/>
        </w:trPr>
        <w:tc>
          <w:tcPr>
            <w:tcW w:type="dxa" w:w="21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
            </w:r>
          </w:p>
        </w:tc>
        <w:tc>
          <w:tcPr>
            <w:tcW w:type="dxa" w:w="34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Name and role</w:t>
            </w:r>
          </w:p>
        </w:tc>
        <w:tc>
          <w:tcPr>
            <w:tcW w:type="dxa" w:w="3526"/>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Purpose</w:t>
            </w:r>
          </w:p>
        </w:tc>
      </w:tr>
      <w:tr>
        <w:tc>
          <w:tcPr>
            <w:tcW w:type="dxa" w:w="21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Prepared by</w:t>
            </w:r>
          </w:p>
        </w:tc>
        <w:tc>
          <w:tcPr>
            <w:tcW w:type="dxa" w:w="34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J van Iersel, Director</w:t>
            </w:r>
          </w:p>
        </w:tc>
        <w:tc>
          <w:tcPr>
            <w:tcW w:type="dxa" w:w="35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Direction for S Kurien on the three actions committed to STL on 21 August</w:t>
            </w:r>
          </w:p>
        </w:tc>
      </w:tr>
      <w:tr>
        <w:tc>
          <w:tcPr>
            <w:tcW w:type="dxa" w:w="21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For action</w:t>
            </w:r>
          </w:p>
        </w:tc>
        <w:tc>
          <w:tcPr>
            <w:tcW w:type="dxa" w:w="34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S Kurien, Senior Consultant</w:t>
            </w:r>
          </w:p>
        </w:tc>
        <w:tc>
          <w:tcPr>
            <w:tcW w:type="dxa" w:w="35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Reference point for the work, not a finished position</w:t>
            </w:r>
          </w:p>
        </w:tc>
      </w:tr>
    </w:tbl>
    <w:p>
      <w:pPr>
        <w:spacing w:after="160"/>
      </w:pPr>
    </w:p>
    <w:p>
      <w:pPr>
        <w:pBdr>
          <w:left w:val="single" w:color="E87722" w:sz="18" w:space="8"/>
        </w:pBdr>
        <w:shd w:fill="FAF7F1" w:val="clear"/>
        <w:spacing w:after="180" w:before="60"/>
        <w:ind w:left="120" w:right="120"/>
      </w:pPr>
      <w:r>
        <w:rPr>
          <w:rFonts w:ascii="Arial" w:cs="Arial" w:eastAsia="Arial" w:hAnsi="Arial"/>
          <w:i/>
          <w:iCs/>
          <w:color w:val="1A1A1A"/>
          <w:sz w:val="19"/>
          <w:szCs w:val="19"/>
        </w:rPr>
        <w:t xml:space="preserve">Commercial in confidence. This brief is internal to Endura. It is written to be worked from, not sent on. Nothing in it is a position agreed with STL, and the cost figures are our own arithmetic at concept stage screening accuracy.</w:t>
      </w:r>
    </w:p>
    <w:p>
      <w:pPr>
        <w:pStyle w:val="Heading1"/>
        <w:pBdr>
          <w:bottom w:val="single" w:color="E87722" w:sz="12" w:space="6"/>
        </w:pBdr>
        <w:spacing w:after="140" w:before="360"/>
      </w:pPr>
      <w:r>
        <w:rPr>
          <w:rFonts w:ascii="Georgia" w:cs="Georgia" w:eastAsia="Georgia" w:hAnsi="Georgia"/>
          <w:b/>
          <w:bCs/>
          <w:color w:val="1A1A1A"/>
          <w:sz w:val="28"/>
          <w:szCs w:val="28"/>
        </w:rPr>
        <w:t xml:space="preserve">1. Where this sits</w:t>
      </w:r>
    </w:p>
    <w:p>
      <w:pPr>
        <w:spacing w:after="140"/>
      </w:pPr>
      <w:r>
        <w:rPr>
          <w:rFonts w:ascii="Arial" w:cs="Arial" w:eastAsia="Arial" w:hAnsi="Arial"/>
          <w:b w:val="false"/>
          <w:bCs w:val="false"/>
          <w:i w:val="false"/>
          <w:iCs w:val="false"/>
          <w:color w:val="1A1A1A"/>
          <w:sz w:val="20"/>
          <w:szCs w:val="20"/>
        </w:rPr>
        <w:t xml:space="preserve">The first deliverable set went to Tim on Friday 21 August: the Options Assessment Rev A, the Board Pack Rev A and the Access Options Model Rev A. Tim is reading them in detail over the weekend and coming back with feedback or markups, so his comments should land early this week.</w:t>
      </w:r>
    </w:p>
    <w:p>
      <w:pPr>
        <w:spacing w:after="140"/>
      </w:pPr>
      <w:r>
        <w:rPr>
          <w:rFonts w:ascii="Arial" w:cs="Arial" w:eastAsia="Arial" w:hAnsi="Arial"/>
          <w:b w:val="false"/>
          <w:bCs w:val="false"/>
          <w:i w:val="false"/>
          <w:iCs w:val="false"/>
          <w:color w:val="1A1A1A"/>
          <w:sz w:val="20"/>
          <w:szCs w:val="20"/>
        </w:rPr>
        <w:t xml:space="preserve">On that call you told Tim you would look further into three things. Those three, in your own words from the email of 21 August, are:</w:t>
      </w:r>
    </w:p>
    <w:p>
      <w:pPr>
        <w:pStyle w:val="ListParagraph"/>
        <w:numPr>
          <w:ilvl w:val="0"/>
          <w:numId w:val="2"/>
        </w:numPr>
        <w:spacing w:after="80"/>
      </w:pPr>
      <w:r>
        <w:rPr>
          <w:rFonts w:ascii="Arial" w:cs="Arial" w:eastAsia="Arial" w:hAnsi="Arial"/>
          <w:color w:val="1A1A1A"/>
          <w:sz w:val="20"/>
          <w:szCs w:val="20"/>
        </w:rPr>
        <w:t xml:space="preserve">The productivity and cost implications of working without a jack up barge.</w:t>
      </w:r>
    </w:p>
    <w:p>
      <w:pPr>
        <w:pStyle w:val="ListParagraph"/>
        <w:numPr>
          <w:ilvl w:val="0"/>
          <w:numId w:val="2"/>
        </w:numPr>
        <w:spacing w:after="80"/>
      </w:pPr>
      <w:r>
        <w:rPr>
          <w:rFonts w:ascii="Arial" w:cs="Arial" w:eastAsia="Arial" w:hAnsi="Arial"/>
          <w:color w:val="1A1A1A"/>
          <w:sz w:val="20"/>
          <w:szCs w:val="20"/>
        </w:rPr>
        <w:t xml:space="preserve">The connection points for the floating panels to the headstock.</w:t>
      </w:r>
    </w:p>
    <w:p>
      <w:pPr>
        <w:pStyle w:val="ListParagraph"/>
        <w:numPr>
          <w:ilvl w:val="0"/>
          <w:numId w:val="2"/>
        </w:numPr>
        <w:spacing w:after="80"/>
      </w:pPr>
      <w:r>
        <w:rPr>
          <w:rFonts w:ascii="Arial" w:cs="Arial" w:eastAsia="Arial" w:hAnsi="Arial"/>
          <w:color w:val="1A1A1A"/>
          <w:sz w:val="20"/>
          <w:szCs w:val="20"/>
        </w:rPr>
        <w:t xml:space="preserve">The engineering verification required for the proposed hook up arrangement.</w:t>
      </w:r>
    </w:p>
    <w:p>
      <w:pPr>
        <w:spacing w:after="140"/>
      </w:pPr>
      <w:r>
        <w:rPr>
          <w:rFonts w:ascii="Arial" w:cs="Arial" w:eastAsia="Arial" w:hAnsi="Arial"/>
          <w:b w:val="false"/>
          <w:bCs w:val="false"/>
          <w:i w:val="false"/>
          <w:iCs w:val="false"/>
          <w:color w:val="1A1A1A"/>
          <w:sz w:val="20"/>
          <w:szCs w:val="20"/>
        </w:rPr>
        <w:t xml:space="preserve">This brief is a reference point for each of them, plus two things that were not on the call but need to move in the same week: the trial fortnight, which is currently unpriced and unscoped, and a short list of corrections in Rev A that are better fixed by us than found by Tim.</w:t>
      </w:r>
    </w:p>
    <w:p>
      <w:pPr>
        <w:pBdr>
          <w:left w:val="single" w:color="E87722" w:sz="18" w:space="8"/>
        </w:pBdr>
        <w:shd w:fill="FAF7F1" w:val="clear"/>
        <w:spacing w:after="180" w:before="60"/>
        <w:ind w:left="120" w:right="120"/>
      </w:pPr>
      <w:r>
        <w:rPr>
          <w:rFonts w:ascii="Arial" w:cs="Arial" w:eastAsia="Arial" w:hAnsi="Arial"/>
          <w:i/>
          <w:iCs/>
          <w:color w:val="1A1A1A"/>
          <w:sz w:val="19"/>
          <w:szCs w:val="19"/>
        </w:rPr>
        <w:t xml:space="preserve">One thing to watch from the meeting record: the summary of the call has the marine access cost at "approximately 16 million dollars". That is the Option 1 number. The reported case is Option 2 at $14.22M, and Section 9 shows a credible path to $9.84M. If Tim is anchored on 16, correct it early and gently, because the whole commercial case reads differently at 14.2 than at 16.</w:t>
      </w:r>
    </w:p>
    <w:p>
      <w:pPr>
        <w:pStyle w:val="Heading1"/>
        <w:pBdr>
          <w:bottom w:val="single" w:color="E87722" w:sz="12" w:space="6"/>
        </w:pBdr>
        <w:spacing w:after="140" w:before="360"/>
      </w:pPr>
      <w:r>
        <w:rPr>
          <w:rFonts w:ascii="Georgia" w:cs="Georgia" w:eastAsia="Georgia" w:hAnsi="Georgia"/>
          <w:b/>
          <w:bCs/>
          <w:color w:val="1A1A1A"/>
          <w:sz w:val="28"/>
          <w:szCs w:val="28"/>
        </w:rPr>
        <w:t xml:space="preserve">2. Action 1. Working without the jack up barge</w:t>
      </w:r>
    </w:p>
    <w:p>
      <w:pPr>
        <w:pStyle w:val="Heading2"/>
        <w:spacing w:after="100" w:before="260"/>
      </w:pPr>
      <w:r>
        <w:rPr>
          <w:rFonts w:ascii="Georgia" w:cs="Georgia" w:eastAsia="Georgia" w:hAnsi="Georgia"/>
          <w:b/>
          <w:bCs/>
          <w:color w:val="1A1A1A"/>
          <w:sz w:val="23"/>
          <w:szCs w:val="23"/>
        </w:rPr>
        <w:t xml:space="preserve">2.1 Start from what the base actually costs</w:t>
      </w:r>
    </w:p>
    <w:p>
      <w:pPr>
        <w:spacing w:after="140"/>
      </w:pPr>
      <w:r>
        <w:rPr>
          <w:rFonts w:ascii="Arial" w:cs="Arial" w:eastAsia="Arial" w:hAnsi="Arial"/>
          <w:b w:val="false"/>
          <w:bCs w:val="false"/>
          <w:i w:val="false"/>
          <w:iCs w:val="false"/>
          <w:color w:val="1A1A1A"/>
          <w:sz w:val="20"/>
          <w:szCs w:val="20"/>
        </w:rPr>
        <w:t xml:space="preserve">Tim is chasing the right line. On the Option 2 reported case, 48.34 campaign weeks:</w:t>
      </w:r>
    </w:p>
    <w:p>
      <w:pPr>
        <w:spacing w:after="160"/>
      </w:pPr>
    </w:p>
    <w:tbl>
      <w:tblPr>
        <w:tblW w:type="dxa" w:w="9026"/>
        <w:tblBorders>
          <w:top w:val="single" w:color="8C8C8C" w:sz="4"/>
          <w:left w:val="none" w:color="FFFFFF" w:sz="0"/>
          <w:bottom w:val="single" w:color="8C8C8C" w:sz="4"/>
          <w:right w:val="none" w:color="FFFFFF" w:sz="0"/>
          <w:insideH w:val="single" w:color="8C8C8C" w:sz="2"/>
          <w:insideV w:val="none" w:color="FFFFFF" w:sz="0"/>
        </w:tblBorders>
      </w:tblPr>
      <w:tblGrid>
        <w:gridCol w:w="4626"/>
        <w:gridCol w:w="2200"/>
        <w:gridCol w:w="2200"/>
      </w:tblGrid>
      <w:tr>
        <w:trPr>
          <w:tblHeader/>
        </w:trPr>
        <w:tc>
          <w:tcPr>
            <w:tcW w:type="dxa" w:w="4626"/>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Line</w:t>
            </w:r>
          </w:p>
        </w:tc>
        <w:tc>
          <w:tcPr>
            <w:tcW w:type="dxa" w:w="22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Pre contingency</w:t>
            </w:r>
          </w:p>
        </w:tc>
        <w:tc>
          <w:tcPr>
            <w:tcW w:type="dxa" w:w="22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Incl 25 percent</w:t>
            </w:r>
          </w:p>
        </w:tc>
      </w:tr>
      <w:tr>
        <w:tc>
          <w:tcPr>
            <w:tcW w:type="dxa" w:w="46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Marine base operating, $10,000 per day, 7 days, 48.34 weeks</w:t>
            </w:r>
          </w:p>
        </w:tc>
        <w:tc>
          <w:tcPr>
            <w:tcW w:type="dxa" w:w="2200"/>
            <w:tcMar>
              <w:top w:type="dxa" w:w="80"/>
              <w:left w:type="dxa" w:w="110"/>
              <w:bottom w:type="dxa" w:w="80"/>
              <w:right w:type="dxa" w:w="110"/>
            </w:tcMar>
          </w:tcPr>
          <w:p>
            <w:pPr>
              <w:jc w:val="right"/>
            </w:pPr>
            <w:r>
              <w:rPr>
                <w:rFonts w:ascii="Arial" w:cs="Arial" w:eastAsia="Arial" w:hAnsi="Arial"/>
                <w:b w:val="false"/>
                <w:bCs w:val="false"/>
                <w:color w:val="1A1A1A"/>
                <w:sz w:val="18"/>
                <w:szCs w:val="18"/>
              </w:rPr>
              <w:t xml:space="preserve">$3,383,981</w:t>
            </w:r>
          </w:p>
        </w:tc>
        <w:tc>
          <w:tcPr>
            <w:tcW w:type="dxa" w:w="2200"/>
            <w:tcMar>
              <w:top w:type="dxa" w:w="80"/>
              <w:left w:type="dxa" w:w="110"/>
              <w:bottom w:type="dxa" w:w="80"/>
              <w:right w:type="dxa" w:w="110"/>
            </w:tcMar>
          </w:tcPr>
          <w:p>
            <w:pPr>
              <w:jc w:val="right"/>
            </w:pPr>
            <w:r>
              <w:rPr>
                <w:rFonts w:ascii="Arial" w:cs="Arial" w:eastAsia="Arial" w:hAnsi="Arial"/>
                <w:b w:val="false"/>
                <w:bCs w:val="false"/>
                <w:color w:val="1A1A1A"/>
                <w:sz w:val="18"/>
                <w:szCs w:val="18"/>
              </w:rPr>
              <w:t xml:space="preserve">$4,229,976</w:t>
            </w:r>
          </w:p>
        </w:tc>
      </w:tr>
      <w:tr>
        <w:tc>
          <w:tcPr>
            <w:tcW w:type="dxa" w:w="46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Marine standby through the wet season, 26 weeks at half rate</w:t>
            </w:r>
          </w:p>
        </w:tc>
        <w:tc>
          <w:tcPr>
            <w:tcW w:type="dxa" w:w="2200"/>
            <w:shd w:fill="FAF7F1" w:val="clear"/>
            <w:tcMar>
              <w:top w:type="dxa" w:w="80"/>
              <w:left w:type="dxa" w:w="110"/>
              <w:bottom w:type="dxa" w:w="80"/>
              <w:right w:type="dxa" w:w="110"/>
            </w:tcMar>
          </w:tcPr>
          <w:p>
            <w:pPr>
              <w:jc w:val="right"/>
            </w:pPr>
            <w:r>
              <w:rPr>
                <w:rFonts w:ascii="Arial" w:cs="Arial" w:eastAsia="Arial" w:hAnsi="Arial"/>
                <w:b w:val="false"/>
                <w:bCs w:val="false"/>
                <w:color w:val="1A1A1A"/>
                <w:sz w:val="18"/>
                <w:szCs w:val="18"/>
              </w:rPr>
              <w:t xml:space="preserve">$910,000</w:t>
            </w:r>
          </w:p>
        </w:tc>
        <w:tc>
          <w:tcPr>
            <w:tcW w:type="dxa" w:w="2200"/>
            <w:shd w:fill="FAF7F1" w:val="clear"/>
            <w:tcMar>
              <w:top w:type="dxa" w:w="80"/>
              <w:left w:type="dxa" w:w="110"/>
              <w:bottom w:type="dxa" w:w="80"/>
              <w:right w:type="dxa" w:w="110"/>
            </w:tcMar>
          </w:tcPr>
          <w:p>
            <w:pPr>
              <w:jc w:val="right"/>
            </w:pPr>
            <w:r>
              <w:rPr>
                <w:rFonts w:ascii="Arial" w:cs="Arial" w:eastAsia="Arial" w:hAnsi="Arial"/>
                <w:b w:val="false"/>
                <w:bCs w:val="false"/>
                <w:color w:val="1A1A1A"/>
                <w:sz w:val="18"/>
                <w:szCs w:val="18"/>
              </w:rPr>
              <w:t xml:space="preserve">$1,137,500</w:t>
            </w:r>
          </w:p>
        </w:tc>
      </w:tr>
      <w:tr>
        <w:tc>
          <w:tcPr>
            <w:tcW w:type="dxa" w:w="46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Manned jack up, total</w:t>
            </w:r>
          </w:p>
        </w:tc>
        <w:tc>
          <w:tcPr>
            <w:tcW w:type="dxa" w:w="2200"/>
            <w:tcMar>
              <w:top w:type="dxa" w:w="80"/>
              <w:left w:type="dxa" w:w="110"/>
              <w:bottom w:type="dxa" w:w="80"/>
              <w:right w:type="dxa" w:w="110"/>
            </w:tcMar>
          </w:tcPr>
          <w:p>
            <w:pPr>
              <w:jc w:val="right"/>
            </w:pPr>
            <w:r>
              <w:rPr>
                <w:rFonts w:ascii="Arial" w:cs="Arial" w:eastAsia="Arial" w:hAnsi="Arial"/>
                <w:b w:val="false"/>
                <w:bCs w:val="false"/>
                <w:color w:val="1A1A1A"/>
                <w:sz w:val="18"/>
                <w:szCs w:val="18"/>
              </w:rPr>
              <w:t xml:space="preserve">$4,293,981</w:t>
            </w:r>
          </w:p>
        </w:tc>
        <w:tc>
          <w:tcPr>
            <w:tcW w:type="dxa" w:w="2200"/>
            <w:tcMar>
              <w:top w:type="dxa" w:w="80"/>
              <w:left w:type="dxa" w:w="110"/>
              <w:bottom w:type="dxa" w:w="80"/>
              <w:right w:type="dxa" w:w="110"/>
            </w:tcMar>
          </w:tcPr>
          <w:p>
            <w:pPr>
              <w:jc w:val="right"/>
            </w:pPr>
            <w:r>
              <w:rPr>
                <w:rFonts w:ascii="Arial" w:cs="Arial" w:eastAsia="Arial" w:hAnsi="Arial"/>
                <w:b w:val="false"/>
                <w:bCs w:val="false"/>
                <w:color w:val="1A1A1A"/>
                <w:sz w:val="18"/>
                <w:szCs w:val="18"/>
              </w:rPr>
              <w:t xml:space="preserve">$5,367,477</w:t>
            </w:r>
          </w:p>
        </w:tc>
      </w:tr>
    </w:tbl>
    <w:p>
      <w:pPr>
        <w:spacing w:after="160"/>
      </w:pPr>
    </w:p>
    <w:p>
      <w:pPr>
        <w:spacing w:after="140"/>
      </w:pPr>
      <w:r>
        <w:rPr>
          <w:rFonts w:ascii="Arial" w:cs="Arial" w:eastAsia="Arial" w:hAnsi="Arial"/>
          <w:b/>
          <w:bCs/>
          <w:i w:val="false"/>
          <w:iCs w:val="false"/>
          <w:color w:val="1A1A1A"/>
          <w:sz w:val="20"/>
          <w:szCs w:val="20"/>
        </w:rPr>
        <w:t xml:space="preserve">That is 37.8 percent of the $14.22M access total</w:t>
      </w:r>
      <w:r>
        <w:rPr>
          <w:rFonts w:ascii="Arial" w:cs="Arial" w:eastAsia="Arial" w:hAnsi="Arial"/>
          <w:b w:val="false"/>
          <w:bCs w:val="false"/>
          <w:i w:val="false"/>
          <w:iCs w:val="false"/>
          <w:color w:val="1A1A1A"/>
          <w:sz w:val="20"/>
          <w:szCs w:val="20"/>
        </w:rPr>
        <w:t xml:space="preserve">, and the single largest cost in the study. It also carries the largest unresolved rate in the study: $10,000 per day from ABH via Tim Glenister against $32,000 per month on file from the operability review. Those two are 9.5 times apart and we still have not reconciled them in writing. Do that first, because it may move the answer more than any concept below.</w:t>
      </w:r>
    </w:p>
    <w:p>
      <w:pPr>
        <w:pStyle w:val="Heading2"/>
        <w:spacing w:after="100" w:before="260"/>
      </w:pPr>
      <w:r>
        <w:rPr>
          <w:rFonts w:ascii="Georgia" w:cs="Georgia" w:eastAsia="Georgia" w:hAnsi="Georgia"/>
          <w:b/>
          <w:bCs/>
          <w:color w:val="1A1A1A"/>
          <w:sz w:val="23"/>
          <w:szCs w:val="23"/>
        </w:rPr>
        <w:t xml:space="preserve">2.2 The base is a service load, not a cost line</w:t>
      </w:r>
    </w:p>
    <w:p>
      <w:pPr>
        <w:spacing w:after="140"/>
      </w:pPr>
      <w:r>
        <w:rPr>
          <w:rFonts w:ascii="Arial" w:cs="Arial" w:eastAsia="Arial" w:hAnsi="Arial"/>
          <w:b w:val="false"/>
          <w:bCs w:val="false"/>
          <w:i w:val="false"/>
          <w:iCs w:val="false"/>
          <w:color w:val="1A1A1A"/>
          <w:sz w:val="20"/>
          <w:szCs w:val="20"/>
        </w:rPr>
        <w:t xml:space="preserve">Section 6 of the report has the jack up hosting compressed air and welding power reticulated to the fronts, breathing air, coating stores held at temperature, a bunded fuel cell, water and waste handling, spares and equipment storage, crib, washrooms and drying space, and crew transfer by gangway so the crews stay on the water through the shift.</w:t>
      </w:r>
    </w:p>
    <w:p>
      <w:pPr>
        <w:spacing w:after="140"/>
      </w:pPr>
      <w:r>
        <w:rPr>
          <w:rFonts w:ascii="Arial" w:cs="Arial" w:eastAsia="Arial" w:hAnsi="Arial"/>
          <w:b w:val="false"/>
          <w:bCs w:val="false"/>
          <w:i w:val="false"/>
          <w:iCs w:val="false"/>
          <w:color w:val="1A1A1A"/>
          <w:sz w:val="20"/>
          <w:szCs w:val="20"/>
        </w:rPr>
        <w:t xml:space="preserve">Every one of those would otherwise queue on the single lane 8 tonne roadway. So pricing the barge out is not a deletion, it is a rehousing exercise: each service has to land somewhere else, and the honest version of the answer re derates the cycle rather than pretending the services disappear.</w:t>
      </w:r>
    </w:p>
    <w:p>
      <w:pPr>
        <w:pStyle w:val="Heading2"/>
        <w:spacing w:after="100" w:before="260"/>
      </w:pPr>
      <w:r>
        <w:rPr>
          <w:rFonts w:ascii="Georgia" w:cs="Georgia" w:eastAsia="Georgia" w:hAnsi="Georgia"/>
          <w:b/>
          <w:bCs/>
          <w:color w:val="1A1A1A"/>
          <w:sz w:val="23"/>
          <w:szCs w:val="23"/>
        </w:rPr>
        <w:t xml:space="preserve">2.3 Use Tim’s own zone descriptions, they do half the work for us</w:t>
      </w:r>
    </w:p>
    <w:p>
      <w:pPr>
        <w:spacing w:after="140"/>
      </w:pPr>
      <w:r>
        <w:rPr>
          <w:rFonts w:ascii="Arial" w:cs="Arial" w:eastAsia="Arial" w:hAnsi="Arial"/>
          <w:b w:val="false"/>
          <w:bCs w:val="false"/>
          <w:i w:val="false"/>
          <w:iCs w:val="false"/>
          <w:color w:val="1A1A1A"/>
          <w:sz w:val="20"/>
          <w:szCs w:val="20"/>
        </w:rPr>
        <w:t xml:space="preserve">From Tim’s email of 18 August:</w:t>
      </w:r>
    </w:p>
    <w:p>
      <w:pPr>
        <w:pStyle w:val="ListParagraph"/>
        <w:numPr>
          <w:ilvl w:val="0"/>
          <w:numId w:val="3"/>
        </w:numPr>
        <w:spacing w:after="70"/>
      </w:pPr>
      <w:r>
        <w:rPr>
          <w:rFonts w:ascii="Arial" w:cs="Arial" w:eastAsia="Arial" w:hAnsi="Arial"/>
          <w:color w:val="1A1A1A"/>
          <w:sz w:val="20"/>
          <w:szCs w:val="20"/>
        </w:rPr>
        <w:t xml:space="preserve">Zone 1: predominantly calmer, good protection from the southerly wind and some protection from northerly swell depending on tides.</w:t>
      </w:r>
    </w:p>
    <w:p>
      <w:pPr>
        <w:pStyle w:val="ListParagraph"/>
        <w:numPr>
          <w:ilvl w:val="0"/>
          <w:numId w:val="3"/>
        </w:numPr>
        <w:spacing w:after="70"/>
      </w:pPr>
      <w:r>
        <w:rPr>
          <w:rFonts w:ascii="Arial" w:cs="Arial" w:eastAsia="Arial" w:hAnsi="Arial"/>
          <w:color w:val="1A1A1A"/>
          <w:sz w:val="20"/>
          <w:szCs w:val="20"/>
        </w:rPr>
        <w:t xml:space="preserve">Zone 2: sandbars to the south offer some protection, dependent on tides.</w:t>
      </w:r>
    </w:p>
    <w:p>
      <w:pPr>
        <w:pStyle w:val="ListParagraph"/>
        <w:numPr>
          <w:ilvl w:val="0"/>
          <w:numId w:val="3"/>
        </w:numPr>
        <w:spacing w:after="70"/>
      </w:pPr>
      <w:r>
        <w:rPr>
          <w:rFonts w:ascii="Arial" w:cs="Arial" w:eastAsia="Arial" w:hAnsi="Arial"/>
          <w:color w:val="1A1A1A"/>
          <w:sz w:val="20"/>
          <w:szCs w:val="20"/>
        </w:rPr>
        <w:t xml:space="preserve">Zone 3: "we call this the washing machine", tidal current and wind influences from all directions with no protection from swell.</w:t>
      </w:r>
    </w:p>
    <w:p>
      <w:pPr>
        <w:spacing w:after="140"/>
      </w:pPr>
      <w:r>
        <w:rPr>
          <w:rFonts w:ascii="Arial" w:cs="Arial" w:eastAsia="Arial" w:hAnsi="Arial"/>
          <w:b w:val="false"/>
          <w:bCs w:val="false"/>
          <w:i w:val="false"/>
          <w:iCs w:val="false"/>
          <w:color w:val="1A1A1A"/>
          <w:sz w:val="20"/>
          <w:szCs w:val="20"/>
        </w:rPr>
        <w:t xml:space="preserve">That is a gift for this question, and it points straight at the concept below. The campaign already runs Zone 3 first and finishes in the shelter of Zone 1. The barge is needed most exactly where the campaign starts and least exactly where it ends. It also means our single blanket availability pair should probably become a zone by zone set, which is a better answer than a whole of campaign average and costs us nothing to build.</w:t>
      </w:r>
    </w:p>
    <w:p>
      <w:pPr>
        <w:pStyle w:val="Heading2"/>
        <w:spacing w:after="100" w:before="260"/>
      </w:pPr>
      <w:r>
        <w:rPr>
          <w:rFonts w:ascii="Georgia" w:cs="Georgia" w:eastAsia="Georgia" w:hAnsi="Georgia"/>
          <w:b/>
          <w:bCs/>
          <w:color w:val="1A1A1A"/>
          <w:sz w:val="23"/>
          <w:szCs w:val="23"/>
        </w:rPr>
        <w:t xml:space="preserve">2.4 Six concepts to price</w:t>
      </w:r>
    </w:p>
    <w:p>
      <w:pPr>
        <w:spacing w:after="140"/>
      </w:pPr>
      <w:r>
        <w:rPr>
          <w:rFonts w:ascii="Arial" w:cs="Arial" w:eastAsia="Arial" w:hAnsi="Arial"/>
          <w:b w:val="false"/>
          <w:bCs w:val="false"/>
          <w:i w:val="false"/>
          <w:iCs w:val="false"/>
          <w:color w:val="1A1A1A"/>
          <w:sz w:val="20"/>
          <w:szCs w:val="20"/>
        </w:rPr>
        <w:t xml:space="preserve">All figures are deltas against the Option 2 reported case, our arithmetic, Class 5. Price them as a menu, not as a single replacement.</w:t>
      </w:r>
    </w:p>
    <w:p>
      <w:pPr>
        <w:spacing w:after="160"/>
      </w:pPr>
    </w:p>
    <w:tbl>
      <w:tblPr>
        <w:tblW w:type="dxa" w:w="9026"/>
        <w:tblBorders>
          <w:top w:val="single" w:color="8C8C8C" w:sz="4"/>
          <w:left w:val="none" w:color="FFFFFF" w:sz="0"/>
          <w:bottom w:val="single" w:color="8C8C8C" w:sz="4"/>
          <w:right w:val="none" w:color="FFFFFF" w:sz="0"/>
          <w:insideH w:val="single" w:color="8C8C8C" w:sz="2"/>
          <w:insideV w:val="none" w:color="FFFFFF" w:sz="0"/>
        </w:tblBorders>
      </w:tblPr>
      <w:tblGrid>
        <w:gridCol w:w="2500"/>
        <w:gridCol w:w="4426"/>
        <w:gridCol w:w="2100"/>
      </w:tblGrid>
      <w:tr>
        <w:trPr>
          <w:tblHeader/>
        </w:trPr>
        <w:tc>
          <w:tcPr>
            <w:tcW w:type="dxa" w:w="25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Concept</w:t>
            </w:r>
          </w:p>
        </w:tc>
        <w:tc>
          <w:tcPr>
            <w:tcW w:type="dxa" w:w="4426"/>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What it is</w:t>
            </w:r>
          </w:p>
        </w:tc>
        <w:tc>
          <w:tcPr>
            <w:tcW w:type="dxa" w:w="21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Saving incl contingency</w:t>
            </w:r>
          </w:p>
        </w:tc>
      </w:tr>
      <w:tr>
        <w:tc>
          <w:tcPr>
            <w:tcW w:type="dxa" w:w="25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C1. Spud flat top, whole campaign</w:t>
            </w:r>
          </w:p>
        </w:tc>
        <w:tc>
          <w:tcPr>
            <w:tcW w:type="dxa" w:w="44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Moored spud flat top at about $3,000 per day in place of the manned jack up, half rate wet standby. Already a lever in the model.</w:t>
            </w:r>
          </w:p>
        </w:tc>
        <w:tc>
          <w:tcPr>
            <w:tcW w:type="dxa" w:w="21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about $3.76M</w:t>
            </w:r>
          </w:p>
        </w:tc>
      </w:tr>
      <w:tr>
        <w:tc>
          <w:tcPr>
            <w:tcW w:type="dxa" w:w="25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C2. Zone phased base</w:t>
            </w:r>
          </w:p>
        </w:tc>
        <w:tc>
          <w:tcPr>
            <w:tcW w:type="dxa" w:w="44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Jack up serves Zone 3 and the outer end through season one, then demobilises. Inshore fronts in season two are serviced from the wharf deck where the haul from the shore end is short.</w:t>
            </w:r>
          </w:p>
        </w:tc>
        <w:tc>
          <w:tcPr>
            <w:tcW w:type="dxa" w:w="21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about $3.09M</w:t>
            </w:r>
          </w:p>
        </w:tc>
      </w:tr>
      <w:tr>
        <w:tc>
          <w:tcPr>
            <w:tcW w:type="dxa" w:w="25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C2a. Zone phased on a spud</w:t>
            </w:r>
          </w:p>
        </w:tc>
        <w:tc>
          <w:tcPr>
            <w:tcW w:type="dxa" w:w="44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As C2 but season one runs on a spud rather than a jack up.</w:t>
            </w:r>
          </w:p>
        </w:tc>
        <w:tc>
          <w:tcPr>
            <w:tcW w:type="dxa" w:w="21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about $4.68M</w:t>
            </w:r>
          </w:p>
        </w:tc>
      </w:tr>
      <w:tr>
        <w:tc>
          <w:tcPr>
            <w:tcW w:type="dxa" w:w="25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C3. Self sufficient fronts</w:t>
            </w:r>
          </w:p>
        </w:tc>
        <w:tc>
          <w:tcPr>
            <w:tcW w:type="dxa" w:w="44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Compressor, welding genset and airprep on each platform at contract rates 4.2.4, 4.2.2 and 4.2.6. Removes the reticulation function only.</w:t>
            </w:r>
          </w:p>
        </w:tc>
        <w:tc>
          <w:tcPr>
            <w:tcW w:type="dxa" w:w="21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costs about $1.59M to add</w:t>
            </w:r>
          </w:p>
        </w:tc>
      </w:tr>
      <w:tr>
        <w:tc>
          <w:tcPr>
            <w:tcW w:type="dxa" w:w="25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C4. Wharf deck service train</w:t>
            </w:r>
          </w:p>
        </w:tc>
        <w:tc>
          <w:tcPr>
            <w:tcW w:type="dxa" w:w="44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Trailer mounted service module inside the 8 tonne limit, moved along the deck with the fronts. Pairs with C2 as the season two replacement.</w:t>
            </w:r>
          </w:p>
        </w:tc>
        <w:tc>
          <w:tcPr>
            <w:tcW w:type="dxa" w:w="21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to be priced</w:t>
            </w:r>
          </w:p>
        </w:tc>
      </w:tr>
      <w:tr>
        <w:tc>
          <w:tcPr>
            <w:tcW w:type="dxa" w:w="25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C5. Dry hire the deck</w:t>
            </w:r>
          </w:p>
        </w:tc>
        <w:tc>
          <w:tcPr>
            <w:tcW w:type="dxa" w:w="44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The bargemaster requirement in the operability review attaches to a jack up. A moored, non propelled flat top may not carry it. Verify, do not assume.</w:t>
            </w:r>
          </w:p>
        </w:tc>
        <w:tc>
          <w:tcPr>
            <w:tcW w:type="dxa" w:w="21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to be priced</w:t>
            </w:r>
          </w:p>
        </w:tc>
      </w:tr>
      <w:tr>
        <w:tc>
          <w:tcPr>
            <w:tcW w:type="dxa" w:w="25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C6. No base at all</w:t>
            </w:r>
          </w:p>
        </w:tc>
        <w:tc>
          <w:tcPr>
            <w:tcW w:type="dxa" w:w="44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Workboat service runs, welfare at the shore end, services per front. Cheapest on paper and the one that most needs a re derate.</w:t>
            </w:r>
          </w:p>
        </w:tc>
        <w:tc>
          <w:tcPr>
            <w:tcW w:type="dxa" w:w="21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up to $3.78M net</w:t>
            </w:r>
          </w:p>
        </w:tc>
      </w:tr>
    </w:tbl>
    <w:p>
      <w:pPr>
        <w:spacing w:after="160"/>
      </w:pPr>
    </w:p>
    <w:p>
      <w:pPr>
        <w:spacing w:after="140"/>
      </w:pPr>
      <w:r>
        <w:rPr>
          <w:rFonts w:ascii="Arial" w:cs="Arial" w:eastAsia="Arial" w:hAnsi="Arial"/>
          <w:b w:val="false"/>
          <w:bCs w:val="false"/>
          <w:i w:val="false"/>
          <w:iCs w:val="false"/>
          <w:color w:val="1A1A1A"/>
          <w:sz w:val="20"/>
          <w:szCs w:val="20"/>
        </w:rPr>
        <w:t xml:space="preserve">C2 is the one I want developed properly, because it is the only one that answers Tim’s question without weakening the method. The jack up stays where it earns its keep, in the washing machine, and peels off as the work comes into shelter. It also lines up with the operability review, which needs more than four metres of draft for jack up locations, so a jack up is probably not viable inshore anyway. That turns a cost cut into a method refinement, which is a much better conversation to have with the board.</w:t>
      </w:r>
    </w:p>
    <w:p>
      <w:pPr>
        <w:pStyle w:val="Heading2"/>
        <w:spacing w:after="100" w:before="260"/>
      </w:pPr>
      <w:r>
        <w:rPr>
          <w:rFonts w:ascii="Georgia" w:cs="Georgia" w:eastAsia="Georgia" w:hAnsi="Georgia"/>
          <w:b/>
          <w:bCs/>
          <w:color w:val="1A1A1A"/>
          <w:sz w:val="23"/>
          <w:szCs w:val="23"/>
        </w:rPr>
        <w:t xml:space="preserve">2.5 The counter argument, which we have to make ourselves</w:t>
      </w:r>
    </w:p>
    <w:p>
      <w:pPr>
        <w:spacing w:after="140"/>
      </w:pPr>
      <w:r>
        <w:rPr>
          <w:rFonts w:ascii="Arial" w:cs="Arial" w:eastAsia="Arial" w:hAnsi="Arial"/>
          <w:b w:val="false"/>
          <w:bCs w:val="false"/>
          <w:i w:val="false"/>
          <w:iCs w:val="false"/>
          <w:color w:val="1A1A1A"/>
          <w:sz w:val="20"/>
          <w:szCs w:val="20"/>
        </w:rPr>
        <w:t xml:space="preserve">One front is worth roughly $266,000 pre contingency in kit and crane share over the campaign, plus fabrication against the $320,000 per front buy versus hire breakeven. So one extra front bought back through lost productivity costs $0.3M to $0.6M, and two wipes out most of a $3M saving.</w:t>
      </w:r>
    </w:p>
    <w:p>
      <w:pPr>
        <w:spacing w:after="140"/>
      </w:pPr>
      <w:r>
        <w:rPr>
          <w:rFonts w:ascii="Arial" w:cs="Arial" w:eastAsia="Arial" w:hAnsi="Arial"/>
          <w:b/>
          <w:bCs/>
          <w:i w:val="false"/>
          <w:iCs w:val="false"/>
          <w:color w:val="1A1A1A"/>
          <w:sz w:val="20"/>
          <w:szCs w:val="20"/>
        </w:rPr>
        <w:t xml:space="preserve">Stripping the base is only real money if the cycle holds.</w:t>
      </w:r>
      <w:r>
        <w:rPr>
          <w:rFonts w:ascii="Arial" w:cs="Arial" w:eastAsia="Arial" w:hAnsi="Arial"/>
          <w:b w:val="false"/>
          <w:bCs w:val="false"/>
          <w:i w:val="false"/>
          <w:iCs w:val="false"/>
          <w:color w:val="1A1A1A"/>
          <w:sz w:val="20"/>
          <w:szCs w:val="20"/>
        </w:rPr>
        <w:t xml:space="preserve"> The 0.94 bents per week per front assumes a front that never waits on air, power, a crib break or a fuel run. If we hand Tim a cheaper number that does not survive the proving campaign, we own it. So every concept above needs its own availability and cycle assumption stated next to the saving, not just the saving.</w:t>
      </w:r>
    </w:p>
    <w:p>
      <w:pPr>
        <w:pStyle w:val="Heading2"/>
        <w:spacing w:after="100" w:before="260"/>
      </w:pPr>
      <w:r>
        <w:rPr>
          <w:rFonts w:ascii="Georgia" w:cs="Georgia" w:eastAsia="Georgia" w:hAnsi="Georgia"/>
          <w:b/>
          <w:bCs/>
          <w:color w:val="1A1A1A"/>
          <w:sz w:val="23"/>
          <w:szCs w:val="23"/>
        </w:rPr>
        <w:t xml:space="preserve">2.6 What to build</w:t>
      </w:r>
    </w:p>
    <w:p>
      <w:pPr>
        <w:pStyle w:val="ListParagraph"/>
        <w:numPr>
          <w:ilvl w:val="0"/>
          <w:numId w:val="3"/>
        </w:numPr>
        <w:spacing w:after="70"/>
      </w:pPr>
      <w:r>
        <w:rPr>
          <w:rFonts w:ascii="Arial" w:cs="Arial" w:eastAsia="Arial" w:hAnsi="Arial"/>
          <w:color w:val="1A1A1A"/>
          <w:sz w:val="20"/>
          <w:szCs w:val="20"/>
        </w:rPr>
        <w:t xml:space="preserve">A marine base sheet in ED-018-2026-06 with the six concepts as switchable cases, each carrying its own cycle and availability assumption, not just a rate.</w:t>
      </w:r>
    </w:p>
    <w:p>
      <w:pPr>
        <w:pStyle w:val="ListParagraph"/>
        <w:numPr>
          <w:ilvl w:val="0"/>
          <w:numId w:val="3"/>
        </w:numPr>
        <w:spacing w:after="70"/>
      </w:pPr>
      <w:r>
        <w:rPr>
          <w:rFonts w:ascii="Arial" w:cs="Arial" w:eastAsia="Arial" w:hAnsi="Arial"/>
          <w:color w:val="1A1A1A"/>
          <w:sz w:val="20"/>
          <w:szCs w:val="20"/>
        </w:rPr>
        <w:t xml:space="preserve">Zone split availability inputs (Zone 1, 2 and 3) replacing the single floating and fixed pair, using Tim’s descriptions as the qualitative basis and flagged as operator judgement pending metocean at HP6.</w:t>
      </w:r>
    </w:p>
    <w:p>
      <w:pPr>
        <w:pStyle w:val="ListParagraph"/>
        <w:numPr>
          <w:ilvl w:val="0"/>
          <w:numId w:val="3"/>
        </w:numPr>
        <w:spacing w:after="70"/>
      </w:pPr>
      <w:r>
        <w:rPr>
          <w:rFonts w:ascii="Arial" w:cs="Arial" w:eastAsia="Arial" w:hAnsi="Arial"/>
          <w:color w:val="1A1A1A"/>
          <w:sz w:val="20"/>
          <w:szCs w:val="20"/>
        </w:rPr>
        <w:t xml:space="preserve">A one page summary for Tim: the base as a menu with a recommended case, not a single number.</w:t>
      </w:r>
    </w:p>
    <w:p>
      <w:pPr>
        <w:pStyle w:val="ListParagraph"/>
        <w:numPr>
          <w:ilvl w:val="0"/>
          <w:numId w:val="3"/>
        </w:numPr>
        <w:spacing w:after="70"/>
      </w:pPr>
      <w:r>
        <w:rPr>
          <w:rFonts w:ascii="Arial" w:cs="Arial" w:eastAsia="Arial" w:hAnsi="Arial"/>
          <w:color w:val="1A1A1A"/>
          <w:sz w:val="20"/>
          <w:szCs w:val="20"/>
        </w:rPr>
        <w:t xml:space="preserve">The ABH rate reconciled in writing before any of it is quoted.</w:t>
      </w:r>
    </w:p>
    <w:p>
      <w:pPr>
        <w:pStyle w:val="Heading1"/>
        <w:pBdr>
          <w:bottom w:val="single" w:color="E87722" w:sz="12" w:space="6"/>
        </w:pBdr>
        <w:spacing w:after="140" w:before="360"/>
      </w:pPr>
      <w:r>
        <w:rPr>
          <w:rFonts w:ascii="Georgia" w:cs="Georgia" w:eastAsia="Georgia" w:hAnsi="Georgia"/>
          <w:b/>
          <w:bCs/>
          <w:color w:val="1A1A1A"/>
          <w:sz w:val="28"/>
          <w:szCs w:val="28"/>
        </w:rPr>
        <w:t xml:space="preserve">3. Action 2. Connection points to the headstock</w:t>
      </w:r>
    </w:p>
    <w:p>
      <w:pPr>
        <w:spacing w:after="140"/>
      </w:pPr>
      <w:r>
        <w:rPr>
          <w:rFonts w:ascii="Arial" w:cs="Arial" w:eastAsia="Arial" w:hAnsi="Arial"/>
          <w:b w:val="false"/>
          <w:bCs w:val="false"/>
          <w:i w:val="false"/>
          <w:iCs w:val="false"/>
          <w:color w:val="1A1A1A"/>
          <w:sz w:val="20"/>
          <w:szCs w:val="20"/>
        </w:rPr>
        <w:t xml:space="preserve">This is hold point HP1 and it is the item that decides whether the method is buildable, so it deserves more care than the cost work. It is also the item where we are most exposed on scope, so read the boundary paragraph at the end of this section before you start.</w:t>
      </w:r>
    </w:p>
    <w:p>
      <w:pPr>
        <w:pStyle w:val="Heading2"/>
        <w:spacing w:after="100" w:before="260"/>
      </w:pPr>
      <w:r>
        <w:rPr>
          <w:rFonts w:ascii="Georgia" w:cs="Georgia" w:eastAsia="Georgia" w:hAnsi="Georgia"/>
          <w:b/>
          <w:bCs/>
          <w:color w:val="1A1A1A"/>
          <w:sz w:val="23"/>
          <w:szCs w:val="23"/>
        </w:rPr>
        <w:t xml:space="preserve">3.1 The question, stated properly</w:t>
      </w:r>
    </w:p>
    <w:p>
      <w:pPr>
        <w:spacing w:after="140"/>
      </w:pPr>
      <w:r>
        <w:rPr>
          <w:rFonts w:ascii="Arial" w:cs="Arial" w:eastAsia="Arial" w:hAnsi="Arial"/>
          <w:b w:val="false"/>
          <w:bCs w:val="false"/>
          <w:i w:val="false"/>
          <w:iCs w:val="false"/>
          <w:color w:val="1A1A1A"/>
          <w:sz w:val="20"/>
          <w:szCs w:val="20"/>
        </w:rPr>
        <w:t xml:space="preserve">Not "how do we hang the panels" but: what is the certified load path from four two tonne chain blocks into a corroded headstock member, what capacity does that member actually have in its current condition, and what has to be proven before anyone stands on the stage.</w:t>
      </w:r>
    </w:p>
    <w:p>
      <w:pPr>
        <w:pStyle w:val="Heading2"/>
        <w:spacing w:after="100" w:before="260"/>
      </w:pPr>
      <w:r>
        <w:rPr>
          <w:rFonts w:ascii="Georgia" w:cs="Georgia" w:eastAsia="Georgia" w:hAnsi="Georgia"/>
          <w:b/>
          <w:bCs/>
          <w:color w:val="1A1A1A"/>
          <w:sz w:val="23"/>
          <w:szCs w:val="23"/>
        </w:rPr>
        <w:t xml:space="preserve">3.2 What to gather before proposing anything</w:t>
      </w:r>
    </w:p>
    <w:p>
      <w:pPr>
        <w:pStyle w:val="ListParagraph"/>
        <w:numPr>
          <w:ilvl w:val="0"/>
          <w:numId w:val="3"/>
        </w:numPr>
        <w:spacing w:after="70"/>
      </w:pPr>
      <w:r>
        <w:rPr>
          <w:rFonts w:ascii="Arial" w:cs="Arial" w:eastAsia="Arial" w:hAnsi="Arial"/>
          <w:color w:val="1A1A1A"/>
          <w:sz w:val="20"/>
          <w:szCs w:val="20"/>
        </w:rPr>
        <w:t xml:space="preserve">Drawings QSL2501 JPHR G01 to G04, headstock sections, member sizes and original design capacities.</w:t>
      </w:r>
    </w:p>
    <w:p>
      <w:pPr>
        <w:pStyle w:val="ListParagraph"/>
        <w:numPr>
          <w:ilvl w:val="0"/>
          <w:numId w:val="3"/>
        </w:numPr>
        <w:spacing w:after="70"/>
      </w:pPr>
      <w:r>
        <w:rPr>
          <w:rFonts w:ascii="Arial" w:cs="Arial" w:eastAsia="Arial" w:hAnsi="Arial"/>
          <w:color w:val="1A1A1A"/>
          <w:sz w:val="20"/>
          <w:szCs w:val="20"/>
        </w:rPr>
        <w:t xml:space="preserve">The July 2026 inspection reports, filtered for headstock and deck edge corrosion rather than pile corrosion. Section loss at the hanging zone is the number that matters.</w:t>
      </w:r>
    </w:p>
    <w:p>
      <w:pPr>
        <w:pStyle w:val="ListParagraph"/>
        <w:numPr>
          <w:ilvl w:val="0"/>
          <w:numId w:val="3"/>
        </w:numPr>
        <w:spacing w:after="70"/>
      </w:pPr>
      <w:r>
        <w:rPr>
          <w:rFonts w:ascii="Arial" w:cs="Arial" w:eastAsia="Arial" w:hAnsi="Arial"/>
          <w:color w:val="1A1A1A"/>
          <w:sz w:val="20"/>
          <w:szCs w:val="20"/>
        </w:rPr>
        <w:t xml:space="preserve">GGC’s standard bracket, clamp and suspension details, and the third party man riding certification they hold on other projects, so we know what they are actually proposing rather than what we have assumed.</w:t>
      </w:r>
    </w:p>
    <w:p>
      <w:pPr>
        <w:pStyle w:val="ListParagraph"/>
        <w:numPr>
          <w:ilvl w:val="0"/>
          <w:numId w:val="3"/>
        </w:numPr>
        <w:spacing w:after="70"/>
      </w:pPr>
      <w:r>
        <w:rPr>
          <w:rFonts w:ascii="Arial" w:cs="Arial" w:eastAsia="Arial" w:hAnsi="Arial"/>
          <w:color w:val="1A1A1A"/>
          <w:sz w:val="20"/>
          <w:szCs w:val="20"/>
        </w:rPr>
        <w:t xml:space="preserve">The certified mass schedule for the stage, habitat and crew, including the horseshoe half shell habitat mass raised in the Rev C concept update.</w:t>
      </w:r>
    </w:p>
    <w:p>
      <w:pPr>
        <w:pStyle w:val="ListParagraph"/>
        <w:numPr>
          <w:ilvl w:val="0"/>
          <w:numId w:val="3"/>
        </w:numPr>
        <w:spacing w:after="70"/>
      </w:pPr>
      <w:r>
        <w:rPr>
          <w:rFonts w:ascii="Arial" w:cs="Arial" w:eastAsia="Arial" w:hAnsi="Arial"/>
          <w:color w:val="1A1A1A"/>
          <w:sz w:val="20"/>
          <w:szCs w:val="20"/>
        </w:rPr>
        <w:t xml:space="preserve">STL’s drawings for the temporary platforms at the ramp end that Tim sent on 16 August. Those are an existing STL sanctioned attachment to the same structure and are a useful precedent for what the asset owner has already accepted.</w:t>
      </w:r>
    </w:p>
    <w:p>
      <w:pPr>
        <w:pStyle w:val="Heading2"/>
        <w:spacing w:after="100" w:before="260"/>
      </w:pPr>
      <w:r>
        <w:rPr>
          <w:rFonts w:ascii="Georgia" w:cs="Georgia" w:eastAsia="Georgia" w:hAnsi="Georgia"/>
          <w:b/>
          <w:bCs/>
          <w:color w:val="1A1A1A"/>
          <w:sz w:val="23"/>
          <w:szCs w:val="23"/>
        </w:rPr>
        <w:t xml:space="preserve">3.3 The arrangement options to put side by side</w:t>
      </w:r>
    </w:p>
    <w:p>
      <w:pPr>
        <w:spacing w:after="160"/>
      </w:pPr>
    </w:p>
    <w:tbl>
      <w:tblPr>
        <w:tblW w:type="dxa" w:w="9026"/>
        <w:tblBorders>
          <w:top w:val="single" w:color="8C8C8C" w:sz="4"/>
          <w:left w:val="none" w:color="FFFFFF" w:sz="0"/>
          <w:bottom w:val="single" w:color="8C8C8C" w:sz="4"/>
          <w:right w:val="none" w:color="FFFFFF" w:sz="0"/>
          <w:insideH w:val="single" w:color="8C8C8C" w:sz="2"/>
          <w:insideV w:val="none" w:color="FFFFFF" w:sz="0"/>
        </w:tblBorders>
      </w:tblPr>
      <w:tblGrid>
        <w:gridCol w:w="2600"/>
        <w:gridCol w:w="6426"/>
      </w:tblGrid>
      <w:tr>
        <w:trPr>
          <w:tblHeader/>
        </w:trPr>
        <w:tc>
          <w:tcPr>
            <w:tcW w:type="dxa" w:w="26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Arrangement</w:t>
            </w:r>
          </w:p>
        </w:tc>
        <w:tc>
          <w:tcPr>
            <w:tcW w:type="dxa" w:w="6426"/>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What it needs to be true</w:t>
            </w:r>
          </w:p>
        </w:tc>
      </w:tr>
      <w:tr>
        <w:tc>
          <w:tcPr>
            <w:tcW w:type="dxa" w:w="26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Bolted clamp around the headstock</w:t>
            </w:r>
          </w:p>
        </w:tc>
        <w:tc>
          <w:tcPr>
            <w:tcW w:type="dxa" w:w="64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Sound steel at the clamping band, friction or bearing capacity assessed on the corroded section, no coating damage that reopens the corrosion problem we are there to fix</w:t>
            </w:r>
          </w:p>
        </w:tc>
      </w:tr>
      <w:tr>
        <w:tc>
          <w:tcPr>
            <w:tcW w:type="dxa" w:w="26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Through bolted bracket</w:t>
            </w:r>
          </w:p>
        </w:tc>
        <w:tc>
          <w:tcPr>
            <w:tcW w:type="dxa" w:w="64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Drilling a corroded primary member, hole capacity and edge distance, permanent modification requires STL and the reviewing engineer</w:t>
            </w:r>
          </w:p>
        </w:tc>
      </w:tr>
      <w:tr>
        <w:tc>
          <w:tcPr>
            <w:tcW w:type="dxa" w:w="26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Welded lug</w:t>
            </w:r>
          </w:p>
        </w:tc>
        <w:tc>
          <w:tcPr>
            <w:tcW w:type="dxa" w:w="64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Welding to a corroded in service member, procedure and NDT, and it becomes permanent work on the asset</w:t>
            </w:r>
          </w:p>
        </w:tc>
      </w:tr>
      <w:tr>
        <w:tc>
          <w:tcPr>
            <w:tcW w:type="dxa" w:w="26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Deck edge kerb hanging, as the current scaffold</w:t>
            </w:r>
          </w:p>
        </w:tc>
        <w:tc>
          <w:tcPr>
            <w:tcW w:type="dxa" w:w="64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The existing method already hangs from the kerb, so the precedent and the loads are known. Worth testing whether the stage can use the same load path at higher load</w:t>
            </w:r>
          </w:p>
        </w:tc>
      </w:tr>
      <w:tr>
        <w:tc>
          <w:tcPr>
            <w:tcW w:type="dxa" w:w="26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Pile clamp rather than headstock</w:t>
            </w:r>
          </w:p>
        </w:tc>
        <w:tc>
          <w:tcPr>
            <w:tcW w:type="dxa" w:w="64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Moves the load off the corroded headstock onto the 850 and 920 mm raked piles. Changes the geometry and the habitat sealing problem, but may be the cleaner load path</w:t>
            </w:r>
          </w:p>
        </w:tc>
      </w:tr>
    </w:tbl>
    <w:p>
      <w:pPr>
        <w:spacing w:after="160"/>
      </w:pPr>
    </w:p>
    <w:p>
      <w:pPr>
        <w:spacing w:after="140"/>
      </w:pPr>
      <w:r>
        <w:rPr>
          <w:rFonts w:ascii="Arial" w:cs="Arial" w:eastAsia="Arial" w:hAnsi="Arial"/>
          <w:b w:val="false"/>
          <w:bCs w:val="false"/>
          <w:i w:val="false"/>
          <w:iCs w:val="false"/>
          <w:color w:val="1A1A1A"/>
          <w:sz w:val="20"/>
          <w:szCs w:val="20"/>
        </w:rPr>
        <w:t xml:space="preserve">For each one: capacity, what proof test is required, what it does to the coating system, whether it leaves anything behind on the asset, and what happens at a bent where the member fails the check. That last one matters, because a reserve arrangement for the bad bents is part of a credible method and we do not have one.</w:t>
      </w:r>
    </w:p>
    <w:p>
      <w:pPr>
        <w:pStyle w:val="Heading2"/>
        <w:spacing w:after="100" w:before="260"/>
      </w:pPr>
      <w:r>
        <w:rPr>
          <w:rFonts w:ascii="Georgia" w:cs="Georgia" w:eastAsia="Georgia" w:hAnsi="Georgia"/>
          <w:b/>
          <w:bCs/>
          <w:color w:val="1A1A1A"/>
          <w:sz w:val="23"/>
          <w:szCs w:val="23"/>
        </w:rPr>
        <w:t xml:space="preserve">3.4 The scope boundary, and please hold it</w:t>
      </w:r>
    </w:p>
    <w:p>
      <w:pPr>
        <w:pBdr>
          <w:left w:val="single" w:color="E87722" w:sz="18" w:space="8"/>
        </w:pBdr>
        <w:shd w:fill="FAF7F1" w:val="clear"/>
        <w:spacing w:after="180" w:before="60"/>
        <w:ind w:left="120" w:right="120"/>
      </w:pPr>
      <w:r>
        <w:rPr>
          <w:rFonts w:ascii="Arial" w:cs="Arial" w:eastAsia="Arial" w:hAnsi="Arial"/>
          <w:i/>
          <w:iCs/>
          <w:color w:val="1A1A1A"/>
          <w:sz w:val="19"/>
          <w:szCs w:val="19"/>
        </w:rPr>
        <w:t xml:space="preserve">We are engaged on methodology, programme and procurement. We are not the designer and we do not carry design duty, and the acceptance block in Rev A says so in terms. So the output here is a reference concept plus the verification route: what has to be designed, by whom, checked by whom, and cleared at which gate. It is not a connection design, and it must not read like one. If it starts turning into design, that is a separately instructed scope, not something we absorb into the 68 hours.</w:t>
      </w:r>
    </w:p>
    <w:p>
      <w:pPr>
        <w:pStyle w:val="Heading1"/>
        <w:pBdr>
          <w:bottom w:val="single" w:color="E87722" w:sz="12" w:space="6"/>
        </w:pBdr>
        <w:spacing w:after="140" w:before="360"/>
      </w:pPr>
      <w:r>
        <w:rPr>
          <w:rFonts w:ascii="Georgia" w:cs="Georgia" w:eastAsia="Georgia" w:hAnsi="Georgia"/>
          <w:b/>
          <w:bCs/>
          <w:color w:val="1A1A1A"/>
          <w:sz w:val="28"/>
          <w:szCs w:val="28"/>
        </w:rPr>
        <w:t xml:space="preserve">4. Action 3. Engineering verification of the hook up</w:t>
      </w:r>
    </w:p>
    <w:p>
      <w:pPr>
        <w:spacing w:after="140"/>
      </w:pPr>
      <w:r>
        <w:rPr>
          <w:rFonts w:ascii="Arial" w:cs="Arial" w:eastAsia="Arial" w:hAnsi="Arial"/>
          <w:b w:val="false"/>
          <w:bCs w:val="false"/>
          <w:i w:val="false"/>
          <w:iCs w:val="false"/>
          <w:color w:val="1A1A1A"/>
          <w:sz w:val="20"/>
          <w:szCs w:val="20"/>
        </w:rPr>
        <w:t xml:space="preserve">Same discipline as above: define the verification route, do not perform the engineering. What Tim needs is a clear statement of who signs what and when.</w:t>
      </w:r>
    </w:p>
    <w:p>
      <w:pPr>
        <w:spacing w:after="160"/>
      </w:pPr>
    </w:p>
    <w:tbl>
      <w:tblPr>
        <w:tblW w:type="dxa" w:w="9026"/>
        <w:tblBorders>
          <w:top w:val="single" w:color="8C8C8C" w:sz="4"/>
          <w:left w:val="none" w:color="FFFFFF" w:sz="0"/>
          <w:bottom w:val="single" w:color="8C8C8C" w:sz="4"/>
          <w:right w:val="none" w:color="FFFFFF" w:sz="0"/>
          <w:insideH w:val="single" w:color="8C8C8C" w:sz="2"/>
          <w:insideV w:val="none" w:color="FFFFFF" w:sz="0"/>
        </w:tblBorders>
      </w:tblPr>
      <w:tblGrid>
        <w:gridCol w:w="3400"/>
        <w:gridCol w:w="2600"/>
        <w:gridCol w:w="3026"/>
      </w:tblGrid>
      <w:tr>
        <w:trPr>
          <w:tblHeader/>
        </w:trPr>
        <w:tc>
          <w:tcPr>
            <w:tcW w:type="dxa" w:w="34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What must be verified</w:t>
            </w:r>
          </w:p>
        </w:tc>
        <w:tc>
          <w:tcPr>
            <w:tcW w:type="dxa" w:w="26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By whom</w:t>
            </w:r>
          </w:p>
        </w:tc>
        <w:tc>
          <w:tcPr>
            <w:tcW w:type="dxa" w:w="3026"/>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By when</w:t>
            </w:r>
          </w:p>
        </w:tc>
      </w:tr>
      <w:tr>
        <w:tc>
          <w:tcPr>
            <w:tcW w:type="dxa" w:w="34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Hanging point capacity on corroded members</w:t>
            </w:r>
          </w:p>
        </w:tc>
        <w:tc>
          <w:tcPr>
            <w:tcW w:type="dxa" w:w="26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RPEQ concept design plus independent check</w:t>
            </w:r>
          </w:p>
        </w:tc>
        <w:tc>
          <w:tcPr>
            <w:tcW w:type="dxa" w:w="30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Before the trial, not before the fleet order</w:t>
            </w:r>
          </w:p>
        </w:tc>
      </w:tr>
      <w:tr>
        <w:tc>
          <w:tcPr>
            <w:tcW w:type="dxa" w:w="34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Synchronised multiple hoisting under the Australian standard, four blocks per stage</w:t>
            </w:r>
          </w:p>
        </w:tc>
        <w:tc>
          <w:tcPr>
            <w:tcW w:type="dxa" w:w="26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Supplier engineering, third party certification</w:t>
            </w:r>
          </w:p>
        </w:tc>
        <w:tc>
          <w:tcPr>
            <w:tcW w:type="dxa" w:w="30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Before any man riding</w:t>
            </w:r>
          </w:p>
        </w:tc>
      </w:tr>
      <w:tr>
        <w:tc>
          <w:tcPr>
            <w:tcW w:type="dxa" w:w="34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Man riding certification of the stage and hoists</w:t>
            </w:r>
          </w:p>
        </w:tc>
        <w:tc>
          <w:tcPr>
            <w:tcW w:type="dxa" w:w="26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Third party, as GGC hold on other projects</w:t>
            </w:r>
          </w:p>
        </w:tc>
        <w:tc>
          <w:tcPr>
            <w:tcW w:type="dxa" w:w="30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Before the trial</w:t>
            </w:r>
          </w:p>
        </w:tc>
      </w:tr>
      <w:tr>
        <w:tc>
          <w:tcPr>
            <w:tcW w:type="dxa" w:w="34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Linked deck load cases: articulation, unequal load, one deck lowering while linked</w:t>
            </w:r>
          </w:p>
        </w:tc>
        <w:tc>
          <w:tcPr>
            <w:tcW w:type="dxa" w:w="26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RPEQ, from the Rev C tandem pair arrangement</w:t>
            </w:r>
          </w:p>
        </w:tc>
        <w:tc>
          <w:tcPr>
            <w:tcW w:type="dxa" w:w="30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Before the arrangement is fixed</w:t>
            </w:r>
          </w:p>
        </w:tc>
      </w:tr>
      <w:tr>
        <w:tc>
          <w:tcPr>
            <w:tcW w:type="dxa" w:w="34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Certified mass schedule including habitat and crew</w:t>
            </w:r>
          </w:p>
        </w:tc>
        <w:tc>
          <w:tcPr>
            <w:tcW w:type="dxa" w:w="26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Supplier, checked by us against the load path</w:t>
            </w:r>
          </w:p>
        </w:tc>
        <w:tc>
          <w:tcPr>
            <w:tcW w:type="dxa" w:w="30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Feeds every item above</w:t>
            </w:r>
          </w:p>
        </w:tc>
      </w:tr>
      <w:tr>
        <w:tc>
          <w:tcPr>
            <w:tcW w:type="dxa" w:w="34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Lift plans, proof test regime and rescue arrangement</w:t>
            </w:r>
          </w:p>
        </w:tc>
        <w:tc>
          <w:tcPr>
            <w:tcW w:type="dxa" w:w="26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Supplier, accepted by STL Superintendent</w:t>
            </w:r>
          </w:p>
        </w:tc>
        <w:tc>
          <w:tcPr>
            <w:tcW w:type="dxa" w:w="30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Before the trial</w:t>
            </w:r>
          </w:p>
        </w:tc>
      </w:tr>
    </w:tbl>
    <w:p>
      <w:pPr>
        <w:spacing w:after="160"/>
      </w:pPr>
    </w:p>
    <w:p>
      <w:pPr>
        <w:spacing w:after="140"/>
      </w:pPr>
      <w:r>
        <w:rPr>
          <w:rFonts w:ascii="Arial" w:cs="Arial" w:eastAsia="Arial" w:hAnsi="Arial"/>
          <w:b w:val="false"/>
          <w:bCs w:val="false"/>
          <w:i w:val="false"/>
          <w:iCs w:val="false"/>
          <w:color w:val="1A1A1A"/>
          <w:sz w:val="20"/>
          <w:szCs w:val="20"/>
        </w:rPr>
        <w:t xml:space="preserve">The point to make to Tim is the sequencing one. The verification chain has to close before the trial, not before the fleet order, because the trial is the thing that puts people on the stage. That pulls the RPEQ work forward into September and it is not on any programme yet.</w:t>
      </w:r>
    </w:p>
    <w:p>
      <w:pPr>
        <w:pStyle w:val="Heading1"/>
        <w:pBdr>
          <w:bottom w:val="single" w:color="E87722" w:sz="12" w:space="6"/>
        </w:pBdr>
        <w:spacing w:after="140" w:before="360"/>
      </w:pPr>
      <w:r>
        <w:rPr>
          <w:rFonts w:ascii="Georgia" w:cs="Georgia" w:eastAsia="Georgia" w:hAnsi="Georgia"/>
          <w:b/>
          <w:bCs/>
          <w:color w:val="1A1A1A"/>
          <w:sz w:val="28"/>
          <w:szCs w:val="28"/>
        </w:rPr>
        <w:t xml:space="preserve">5. The trial fortnight, which needs work before Tim can instruct it</w:t>
      </w:r>
    </w:p>
    <w:p>
      <w:pPr>
        <w:spacing w:after="140"/>
      </w:pPr>
      <w:r>
        <w:rPr>
          <w:rFonts w:ascii="Arial" w:cs="Arial" w:eastAsia="Arial" w:hAnsi="Arial"/>
          <w:b w:val="false"/>
          <w:bCs w:val="false"/>
          <w:i w:val="false"/>
          <w:iCs w:val="false"/>
          <w:color w:val="1A1A1A"/>
          <w:sz w:val="20"/>
          <w:szCs w:val="20"/>
        </w:rPr>
        <w:t xml:space="preserve">Rev A asks the board to approve a paid trial fortnight in three places and the board pack has it as step one of the commit ladder. The concept is right and it is the strongest thing in the pack. But as written Tim cannot act on it.</w:t>
      </w:r>
    </w:p>
    <w:p>
      <w:pPr>
        <w:pStyle w:val="ListParagraph"/>
        <w:numPr>
          <w:ilvl w:val="0"/>
          <w:numId w:val="4"/>
        </w:numPr>
        <w:spacing w:after="80"/>
      </w:pPr>
      <w:r>
        <w:rPr>
          <w:rFonts w:ascii="Arial" w:cs="Arial" w:eastAsia="Arial" w:hAnsi="Arial"/>
          <w:color w:val="1A1A1A"/>
          <w:sz w:val="20"/>
          <w:szCs w:val="20"/>
        </w:rPr>
        <w:t xml:space="preserve">It has no price anywhere. The board pack says "a fraction of one season". My order of magnitude for a fortnight on real bents with one front is $350,000 to $600,000, Class 5. Put a number on it.</w:t>
      </w:r>
    </w:p>
    <w:p>
      <w:pPr>
        <w:pStyle w:val="ListParagraph"/>
        <w:numPr>
          <w:ilvl w:val="0"/>
          <w:numId w:val="4"/>
        </w:numPr>
        <w:spacing w:after="80"/>
      </w:pPr>
      <w:r>
        <w:rPr>
          <w:rFonts w:ascii="Arial" w:cs="Arial" w:eastAsia="Arial" w:hAnsi="Arial"/>
          <w:color w:val="1A1A1A"/>
          <w:sz w:val="20"/>
          <w:szCs w:val="20"/>
        </w:rPr>
        <w:t xml:space="preserve">Three different things share the name: the late 2026 trial fortnight, the 2027 proving campaign as the award gate, and the "trial bent proven to the Superintendent" line sitting in the fixed costs at $155,400. Name and define them separately.</w:t>
      </w:r>
    </w:p>
    <w:p>
      <w:pPr>
        <w:pStyle w:val="ListParagraph"/>
        <w:numPr>
          <w:ilvl w:val="0"/>
          <w:numId w:val="4"/>
        </w:numPr>
        <w:spacing w:after="80"/>
      </w:pPr>
      <w:r>
        <w:rPr>
          <w:rFonts w:ascii="Arial" w:cs="Arial" w:eastAsia="Arial" w:hAnsi="Arial"/>
          <w:color w:val="1A1A1A"/>
          <w:sz w:val="20"/>
          <w:szCs w:val="20"/>
        </w:rPr>
        <w:t xml:space="preserve">Location is ambiguous. Section 8 reads as off site on the supplier’s platforms; Section 11 says it calibrates the numbers on real bents. Only the Lucinda version measures tide, swell, clamping to corroded steel, containment and roadway interaction.</w:t>
      </w:r>
    </w:p>
    <w:p>
      <w:pPr>
        <w:pStyle w:val="ListParagraph"/>
        <w:numPr>
          <w:ilvl w:val="0"/>
          <w:numId w:val="4"/>
        </w:numPr>
        <w:spacing w:after="80"/>
      </w:pPr>
      <w:r>
        <w:rPr>
          <w:rFonts w:ascii="Arial" w:cs="Arial" w:eastAsia="Arial" w:hAnsi="Arial"/>
          <w:color w:val="1A1A1A"/>
          <w:sz w:val="20"/>
          <w:szCs w:val="20"/>
        </w:rPr>
        <w:t xml:space="preserve">The timing clashes with our own constraint. We put the trial in late 2026 and we also state the closed season as 1 November to 30 April. That leaves October, which needs instruction within weeks and an approvals position, or it slides to the April 2027 shoulder and is too late to inform the fleet order. This is the one to resolve before the workshop.</w:t>
      </w:r>
    </w:p>
    <w:p>
      <w:pPr>
        <w:pStyle w:val="ListParagraph"/>
        <w:numPr>
          <w:ilvl w:val="0"/>
          <w:numId w:val="4"/>
        </w:numPr>
        <w:spacing w:after="80"/>
      </w:pPr>
      <w:r>
        <w:rPr>
          <w:rFonts w:ascii="Arial" w:cs="Arial" w:eastAsia="Arial" w:hAnsi="Arial"/>
          <w:color w:val="1A1A1A"/>
          <w:sz w:val="20"/>
          <w:szCs w:val="20"/>
        </w:rPr>
        <w:t xml:space="preserve">There is no measured set and no pass criteria, no deliverable defined out of it, no approvals allowance for the trial itself under HP5, and no named commercial instrument.</w:t>
      </w:r>
    </w:p>
    <w:p>
      <w:pPr>
        <w:spacing w:after="140"/>
      </w:pPr>
      <w:r>
        <w:rPr>
          <w:rFonts w:ascii="Arial" w:cs="Arial" w:eastAsia="Arial" w:hAnsi="Arial"/>
          <w:b w:val="false"/>
          <w:bCs w:val="false"/>
          <w:i w:val="false"/>
          <w:iCs w:val="false"/>
          <w:color w:val="1A1A1A"/>
          <w:sz w:val="20"/>
          <w:szCs w:val="20"/>
        </w:rPr>
        <w:t xml:space="preserve">Suggested measured set, which also does double duty on Action 1: move on and move off cycle times, lift and transfer time, clamp install and proof test rate on real corroded members, containment set up and roll time with extraction and noise, achieved trade hours per platform day, weather standdown against forecast, service demand per front for air, power, breathing air, water, waste and fuel, crew transfer time, and a rescue drill.</w:t>
      </w:r>
    </w:p>
    <w:p>
      <w:pPr>
        <w:pBdr>
          <w:left w:val="single" w:color="E87722" w:sz="18" w:space="8"/>
        </w:pBdr>
        <w:shd w:fill="FAF7F1" w:val="clear"/>
        <w:spacing w:after="180" w:before="60"/>
        <w:ind w:left="120" w:right="120"/>
      </w:pPr>
      <w:r>
        <w:rPr>
          <w:rFonts w:ascii="Arial" w:cs="Arial" w:eastAsia="Arial" w:hAnsi="Arial"/>
          <w:i/>
          <w:iCs/>
          <w:color w:val="1A1A1A"/>
          <w:sz w:val="19"/>
          <w:szCs w:val="19"/>
        </w:rPr>
        <w:t xml:space="preserve">Run the trial one week with the marine base and one week without it, and Action 1 stops being an argument and becomes a measurement. That is the neatest thing we can offer Tim this week, and it costs nothing to propose.</w:t>
      </w:r>
    </w:p>
    <w:p>
      <w:pPr>
        <w:pStyle w:val="Heading1"/>
        <w:pBdr>
          <w:bottom w:val="single" w:color="E87722" w:sz="12" w:space="6"/>
        </w:pBdr>
        <w:spacing w:after="140" w:before="360"/>
      </w:pPr>
      <w:r>
        <w:rPr>
          <w:rFonts w:ascii="Georgia" w:cs="Georgia" w:eastAsia="Georgia" w:hAnsi="Georgia"/>
          <w:b/>
          <w:bCs/>
          <w:color w:val="1A1A1A"/>
          <w:sz w:val="28"/>
          <w:szCs w:val="28"/>
        </w:rPr>
        <w:t xml:space="preserve">6. Rev A fix list</w:t>
      </w:r>
    </w:p>
    <w:p>
      <w:pPr>
        <w:spacing w:after="140"/>
      </w:pPr>
      <w:r>
        <w:rPr>
          <w:rFonts w:ascii="Arial" w:cs="Arial" w:eastAsia="Arial" w:hAnsi="Arial"/>
          <w:b w:val="false"/>
          <w:bCs w:val="false"/>
          <w:i w:val="false"/>
          <w:iCs w:val="false"/>
          <w:color w:val="1A1A1A"/>
          <w:sz w:val="20"/>
          <w:szCs w:val="20"/>
        </w:rPr>
        <w:t xml:space="preserve">Housekeeping, and better found by us than by Tim over the weekend. None of it changes the findings.</w:t>
      </w:r>
    </w:p>
    <w:p>
      <w:pPr>
        <w:spacing w:after="160"/>
      </w:pPr>
    </w:p>
    <w:tbl>
      <w:tblPr>
        <w:tblW w:type="dxa" w:w="9026"/>
        <w:tblBorders>
          <w:top w:val="single" w:color="8C8C8C" w:sz="4"/>
          <w:left w:val="none" w:color="FFFFFF" w:sz="0"/>
          <w:bottom w:val="single" w:color="8C8C8C" w:sz="4"/>
          <w:right w:val="none" w:color="FFFFFF" w:sz="0"/>
          <w:insideH w:val="single" w:color="8C8C8C" w:sz="2"/>
          <w:insideV w:val="none" w:color="FFFFFF" w:sz="0"/>
        </w:tblBorders>
      </w:tblPr>
      <w:tblGrid>
        <w:gridCol w:w="500"/>
        <w:gridCol w:w="2500"/>
        <w:gridCol w:w="6026"/>
      </w:tblGrid>
      <w:tr>
        <w:trPr>
          <w:tblHeader/>
        </w:trPr>
        <w:tc>
          <w:tcPr>
            <w:tcW w:type="dxa" w:w="5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w:t>
            </w:r>
          </w:p>
        </w:tc>
        <w:tc>
          <w:tcPr>
            <w:tcW w:type="dxa" w:w="25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Where</w:t>
            </w:r>
          </w:p>
        </w:tc>
        <w:tc>
          <w:tcPr>
            <w:tcW w:type="dxa" w:w="6026"/>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Issue</w:t>
            </w:r>
          </w:p>
        </w:tc>
      </w:tr>
      <w:tr>
        <w:tc>
          <w:tcPr>
            <w:tcW w:type="dxa" w:w="5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1</w:t>
            </w:r>
          </w:p>
        </w:tc>
        <w:tc>
          <w:tcPr>
            <w:tcW w:type="dxa" w:w="25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Board Pack slide 6</w:t>
            </w:r>
          </w:p>
        </w:tc>
        <w:tc>
          <w:tcPr>
            <w:tcW w:type="dxa" w:w="60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Still shows 9 and 6 platforms. The report and model now say 8 and 5. The costs on the slide match the new run, so the front counts are stale.</w:t>
            </w:r>
          </w:p>
        </w:tc>
      </w:tr>
      <w:tr>
        <w:tc>
          <w:tcPr>
            <w:tcW w:type="dxa" w:w="5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2</w:t>
            </w:r>
          </w:p>
        </w:tc>
        <w:tc>
          <w:tcPr>
            <w:tcW w:type="dxa" w:w="25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Report exec summary and Section 9</w:t>
            </w:r>
          </w:p>
        </w:tc>
        <w:tc>
          <w:tcPr>
            <w:tcW w:type="dxa" w:w="60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"$15.2M" carried in two places against a reported $14.22M.</w:t>
            </w:r>
          </w:p>
        </w:tc>
      </w:tr>
      <w:tr>
        <w:tc>
          <w:tcPr>
            <w:tcW w:type="dxa" w:w="5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3</w:t>
            </w:r>
          </w:p>
        </w:tc>
        <w:tc>
          <w:tcPr>
            <w:tcW w:type="dxa" w:w="25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Report exec summary</w:t>
            </w:r>
          </w:p>
        </w:tc>
        <w:tc>
          <w:tcPr>
            <w:tcW w:type="dxa" w:w="60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Says eighteen stage halves reducing to twelve. The table on the same page says 16 and 10.</w:t>
            </w:r>
          </w:p>
        </w:tc>
      </w:tr>
      <w:tr>
        <w:tc>
          <w:tcPr>
            <w:tcW w:type="dxa" w:w="5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4</w:t>
            </w:r>
          </w:p>
        </w:tc>
        <w:tc>
          <w:tcPr>
            <w:tcW w:type="dxa" w:w="25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Exec summary and Section 9</w:t>
            </w:r>
          </w:p>
        </w:tc>
        <w:tc>
          <w:tcPr>
            <w:tcW w:type="dxa" w:w="60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1.5 times in one place, 1.6 times in the other.</w:t>
            </w:r>
          </w:p>
        </w:tc>
      </w:tr>
      <w:tr>
        <w:tc>
          <w:tcPr>
            <w:tcW w:type="dxa" w:w="5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5</w:t>
            </w:r>
          </w:p>
        </w:tc>
        <w:tc>
          <w:tcPr>
            <w:tcW w:type="dxa" w:w="25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Report Section 2</w:t>
            </w:r>
          </w:p>
        </w:tc>
        <w:tc>
          <w:tcPr>
            <w:tcW w:type="dxa" w:w="60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Typo: "Two limitations are declare.."</w:t>
            </w:r>
          </w:p>
        </w:tc>
      </w:tr>
      <w:tr>
        <w:tc>
          <w:tcPr>
            <w:tcW w:type="dxa" w:w="5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6</w:t>
            </w:r>
          </w:p>
        </w:tc>
        <w:tc>
          <w:tcPr>
            <w:tcW w:type="dxa" w:w="25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Report Section 3</w:t>
            </w:r>
          </w:p>
        </w:tc>
        <w:tc>
          <w:tcPr>
            <w:tcW w:type="dxa" w:w="60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Double full stop after "requiring permanent supervision".</w:t>
            </w:r>
          </w:p>
        </w:tc>
      </w:tr>
      <w:tr>
        <w:tc>
          <w:tcPr>
            <w:tcW w:type="dxa" w:w="5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7</w:t>
            </w:r>
          </w:p>
        </w:tc>
        <w:tc>
          <w:tcPr>
            <w:tcW w:type="dxa" w:w="25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Report Section 12</w:t>
            </w:r>
          </w:p>
        </w:tc>
        <w:tc>
          <w:tcPr>
            <w:tcW w:type="dxa" w:w="60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Only 12.1, 12.2 and 12.3 made it in. The proving campaign as the award gate and the implementation roadmap survive only in the board pack. They were in the Section 13 note and should be numbered subsections in the report.</w:t>
            </w:r>
          </w:p>
        </w:tc>
      </w:tr>
      <w:tr>
        <w:tc>
          <w:tcPr>
            <w:tcW w:type="dxa" w:w="5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8</w:t>
            </w:r>
          </w:p>
        </w:tc>
        <w:tc>
          <w:tcPr>
            <w:tcW w:type="dxa" w:w="25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Model, Levers sheet</w:t>
            </w:r>
          </w:p>
        </w:tc>
        <w:tc>
          <w:tcPr>
            <w:tcW w:type="dxa" w:w="60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The report lever table quotes the spud swap at "up to $3.5M" while the package table uses $2.96M. Pick one assumption.</w:t>
            </w:r>
          </w:p>
        </w:tc>
      </w:tr>
    </w:tbl>
    <w:p>
      <w:pPr>
        <w:pStyle w:val="Heading1"/>
        <w:pBdr>
          <w:bottom w:val="single" w:color="E87722" w:sz="12" w:space="6"/>
        </w:pBdr>
        <w:spacing w:after="140" w:before="360"/>
      </w:pPr>
      <w:r>
        <w:rPr>
          <w:rFonts w:ascii="Georgia" w:cs="Georgia" w:eastAsia="Georgia" w:hAnsi="Georgia"/>
          <w:b/>
          <w:bCs/>
          <w:color w:val="1A1A1A"/>
          <w:sz w:val="28"/>
          <w:szCs w:val="28"/>
        </w:rPr>
        <w:t xml:space="preserve">7. Suggested order this week</w:t>
      </w:r>
    </w:p>
    <w:p>
      <w:pPr>
        <w:spacing w:after="160"/>
      </w:pPr>
    </w:p>
    <w:tbl>
      <w:tblPr>
        <w:tblW w:type="dxa" w:w="9026"/>
        <w:tblBorders>
          <w:top w:val="single" w:color="8C8C8C" w:sz="4"/>
          <w:left w:val="none" w:color="FFFFFF" w:sz="0"/>
          <w:bottom w:val="single" w:color="8C8C8C" w:sz="4"/>
          <w:right w:val="none" w:color="FFFFFF" w:sz="0"/>
          <w:insideH w:val="single" w:color="8C8C8C" w:sz="2"/>
          <w:insideV w:val="none" w:color="FFFFFF" w:sz="0"/>
        </w:tblBorders>
      </w:tblPr>
      <w:tblGrid>
        <w:gridCol w:w="1200"/>
        <w:gridCol w:w="5626"/>
        <w:gridCol w:w="2200"/>
      </w:tblGrid>
      <w:tr>
        <w:trPr>
          <w:tblHeader/>
        </w:trPr>
        <w:tc>
          <w:tcPr>
            <w:tcW w:type="dxa" w:w="12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Priority</w:t>
            </w:r>
          </w:p>
        </w:tc>
        <w:tc>
          <w:tcPr>
            <w:tcW w:type="dxa" w:w="5626"/>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Item</w:t>
            </w:r>
          </w:p>
        </w:tc>
        <w:tc>
          <w:tcPr>
            <w:tcW w:type="dxa" w:w="2200"/>
            <w:shd w:fill="1A1A1A" w:val="clear"/>
            <w:tcMar>
              <w:top w:type="dxa" w:w="80"/>
              <w:left w:type="dxa" w:w="110"/>
              <w:bottom w:type="dxa" w:w="80"/>
              <w:right w:type="dxa" w:w="110"/>
            </w:tcMar>
          </w:tcPr>
          <w:p>
            <w:pPr>
              <w:jc w:val="left"/>
            </w:pPr>
            <w:r>
              <w:rPr>
                <w:rFonts w:ascii="Arial" w:cs="Arial" w:eastAsia="Arial" w:hAnsi="Arial"/>
                <w:b/>
                <w:bCs/>
                <w:color w:val="FFFFFF"/>
                <w:sz w:val="18"/>
                <w:szCs w:val="18"/>
              </w:rPr>
              <w:t xml:space="preserve">Note</w:t>
            </w:r>
          </w:p>
        </w:tc>
      </w:tr>
      <w:tr>
        <w:tc>
          <w:tcPr>
            <w:tcW w:type="dxa" w:w="12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1</w:t>
            </w:r>
          </w:p>
        </w:tc>
        <w:tc>
          <w:tcPr>
            <w:tcW w:type="dxa" w:w="56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Reconcile the ABH marine base rate in writing</w:t>
            </w:r>
          </w:p>
        </w:tc>
        <w:tc>
          <w:tcPr>
            <w:tcW w:type="dxa" w:w="22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Gates all of Action 1</w:t>
            </w:r>
          </w:p>
        </w:tc>
      </w:tr>
      <w:tr>
        <w:tc>
          <w:tcPr>
            <w:tcW w:type="dxa" w:w="12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2</w:t>
            </w:r>
          </w:p>
        </w:tc>
        <w:tc>
          <w:tcPr>
            <w:tcW w:type="dxa" w:w="56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Marine base menu in the model, C1 to C6, with C2 developed</w:t>
            </w:r>
          </w:p>
        </w:tc>
        <w:tc>
          <w:tcPr>
            <w:tcW w:type="dxa" w:w="22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The answer Tim asked for</w:t>
            </w:r>
          </w:p>
        </w:tc>
      </w:tr>
      <w:tr>
        <w:tc>
          <w:tcPr>
            <w:tcW w:type="dxa" w:w="12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3</w:t>
            </w:r>
          </w:p>
        </w:tc>
        <w:tc>
          <w:tcPr>
            <w:tcW w:type="dxa" w:w="56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Price and scope the trial fortnight, resolve the October versus April timing</w:t>
            </w:r>
          </w:p>
        </w:tc>
        <w:tc>
          <w:tcPr>
            <w:tcW w:type="dxa" w:w="22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Blocks the workshop</w:t>
            </w:r>
          </w:p>
        </w:tc>
      </w:tr>
      <w:tr>
        <w:tc>
          <w:tcPr>
            <w:tcW w:type="dxa" w:w="12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4</w:t>
            </w:r>
          </w:p>
        </w:tc>
        <w:tc>
          <w:tcPr>
            <w:tcW w:type="dxa" w:w="5626"/>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Gather the HP1 inputs and set out the verification route</w:t>
            </w:r>
          </w:p>
        </w:tc>
        <w:tc>
          <w:tcPr>
            <w:tcW w:type="dxa" w:w="2200"/>
            <w:shd w:fill="FAF7F1" w:val="clear"/>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Actions 2 and 3 together</w:t>
            </w:r>
          </w:p>
        </w:tc>
      </w:tr>
      <w:tr>
        <w:tc>
          <w:tcPr>
            <w:tcW w:type="dxa" w:w="12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5</w:t>
            </w:r>
          </w:p>
        </w:tc>
        <w:tc>
          <w:tcPr>
            <w:tcW w:type="dxa" w:w="5626"/>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Rev A fix list</w:t>
            </w:r>
          </w:p>
        </w:tc>
        <w:tc>
          <w:tcPr>
            <w:tcW w:type="dxa" w:w="2200"/>
            <w:tcMar>
              <w:top w:type="dxa" w:w="80"/>
              <w:left w:type="dxa" w:w="110"/>
              <w:bottom w:type="dxa" w:w="80"/>
              <w:right w:type="dxa" w:w="110"/>
            </w:tcMar>
          </w:tcPr>
          <w:p>
            <w:pPr>
              <w:jc w:val="left"/>
            </w:pPr>
            <w:r>
              <w:rPr>
                <w:rFonts w:ascii="Arial" w:cs="Arial" w:eastAsia="Arial" w:hAnsi="Arial"/>
                <w:b w:val="false"/>
                <w:bCs w:val="false"/>
                <w:color w:val="1A1A1A"/>
                <w:sz w:val="18"/>
                <w:szCs w:val="18"/>
              </w:rPr>
              <w:t xml:space="preserve">Before Tim’s markups land, if possible</w:t>
            </w:r>
          </w:p>
        </w:tc>
      </w:tr>
    </w:tbl>
    <w:p>
      <w:pPr>
        <w:spacing w:after="160"/>
      </w:pPr>
    </w:p>
    <w:p>
      <w:pPr>
        <w:spacing w:after="140"/>
      </w:pPr>
      <w:r>
        <w:rPr>
          <w:rFonts w:ascii="Arial" w:cs="Arial" w:eastAsia="Arial" w:hAnsi="Arial"/>
          <w:b w:val="false"/>
          <w:bCs w:val="false"/>
          <w:i w:val="false"/>
          <w:iCs w:val="false"/>
          <w:color w:val="1A1A1A"/>
          <w:sz w:val="20"/>
          <w:szCs w:val="20"/>
        </w:rPr>
        <w:t xml:space="preserve">Come back to me before anything goes to Tim. Happy to take any of the above off you if the week gets away.</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8C8C" w:sz="4" w:space="6"/>
      </w:pBdr>
      <w:jc w:val="right"/>
    </w:pPr>
    <w:r>
      <w:rPr>
        <w:rFonts w:ascii="Arial" w:cs="Arial" w:eastAsia="Arial" w:hAnsi="Arial"/>
        <w:color w:val="8C8C8C"/>
        <w:sz w:val="15"/>
        <w:szCs w:val="15"/>
      </w:rPr>
      <w:t xml:space="preserve">Endura Decommissioning  |  Lucinda access methodology  |  Page </w:t>
    </w:r>
    <w:r>
      <w:rPr>
        <w:rFonts w:ascii="Arial" w:cs="Arial" w:eastAsia="Arial" w:hAnsi="Arial"/>
        <w:color w:val="8C8C8C"/>
        <w:sz w:val="15"/>
        <w:szCs w:val="15"/>
      </w:rPr>
      <w:fldChar w:fldCharType="begin"/>
      <w:instrText xml:space="preserve">PAGE</w:instrText>
      <w:fldChar w:fldCharType="separate"/>
      <w:fldChar w:fldCharType="end"/>
    </w:r>
    <w:r>
      <w:rPr>
        <w:rFonts w:ascii="Arial" w:cs="Arial" w:eastAsia="Arial" w:hAnsi="Arial"/>
        <w:color w:val="8C8C8C"/>
        <w:sz w:val="15"/>
        <w:szCs w:val="15"/>
      </w:rPr>
      <w:t xml:space="preserve"> of </w:t>
    </w:r>
    <w:r>
      <w:rPr>
        <w:rFonts w:ascii="Arial" w:cs="Arial" w:eastAsia="Arial" w:hAnsi="Arial"/>
        <w:color w:val="8C8C8C"/>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8C8C8C"/>
        <w:sz w:val="15"/>
        <w:szCs w:val="15"/>
      </w:rPr>
      <w:t xml:space="preserve">ED-018-2026-08  |  Rev A  |  Internal  |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E87722"/>
      </w:rPr>
    </w:lvl>
    <w:lvl w:ilvl="1" w15:tentative="1">
      <w:start w:val="1"/>
      <w:numFmt w:val="bullet"/>
      <w:lvlText w:val="◦"/>
      <w:lvlJc w:val="left"/>
      <w:pPr>
        <w:ind w:left="900" w:hanging="240"/>
      </w:pPr>
      <w:rPr>
        <w:color w:val="E87722"/>
      </w:rPr>
    </w:lvl>
  </w:abstractNum>
  <w:abstractNum w:abstractNumId="3" w15:restartNumberingAfterBreak="0">
    <w:multiLevelType w:val="hybridMultilevel"/>
    <w:lvl w:ilvl="0" w15:tentative="1">
      <w:start w:val="1"/>
      <w:numFmt w:val="decimal"/>
      <w:lvlText w:val="%1."/>
      <w:lvlJc w:val="left"/>
      <w:pPr>
        <w:ind w:left="460" w:hanging="240"/>
      </w:pPr>
      <w:rPr>
        <w:b/>
        <w:bCs/>
        <w:color w:val="E87722"/>
      </w:rPr>
    </w:lvl>
  </w:abstractNum>
  <w:abstractNum w:abstractNumId="4" w15:restartNumberingAfterBreak="0">
    <w:multiLevelType w:val="hybridMultilevel"/>
    <w:lvl w:ilvl="0" w15:tentative="1">
      <w:start w:val="1"/>
      <w:numFmt w:val="decimal"/>
      <w:lvlText w:val="%1."/>
      <w:lvlJc w:val="left"/>
      <w:pPr>
        <w:ind w:left="460" w:hanging="240"/>
      </w:pPr>
      <w:rPr>
        <w:b/>
        <w:bCs/>
        <w:color w:val="E877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ED-018-2026-08 Working Brief Rev A</dc:title>
  <dc:creator>Endura Decommissioning</dc:creator>
  <dc:description>Internal working brief, Lucinda jetty access methodology</dc:description>
  <cp:lastModifiedBy>Un-named</cp:lastModifiedBy>
  <cp:revision>1</cp:revision>
  <dcterms:created xsi:type="dcterms:W3CDTF">2026-08-23T21:26:04.270Z</dcterms:created>
  <dcterms:modified xsi:type="dcterms:W3CDTF">2026-08-23T21:26:04.271Z</dcterms:modified>
</cp:coreProperties>
</file>

<file path=docProps/custom.xml><?xml version="1.0" encoding="utf-8"?>
<Properties xmlns="http://schemas.openxmlformats.org/officeDocument/2006/custom-properties" xmlns:vt="http://schemas.openxmlformats.org/officeDocument/2006/docPropsVTypes"/>
</file>