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E87722"/>
          <w:sz w:val="24"/>
        </w:rPr>
        <w:t>SUGAR TERMINALS LIMITED</w:t>
      </w:r>
    </w:p>
    <w:p>
      <w:pPr>
        <w:jc w:val="center"/>
      </w:pPr>
      <w:r>
        <w:rPr>
          <w:rFonts w:ascii="Arial" w:hAnsi="Arial"/>
          <w:b/>
          <w:sz w:val="36"/>
        </w:rPr>
        <w:t>Lucinda Bulk Sugar Terminal</w:t>
      </w:r>
    </w:p>
    <w:p>
      <w:pPr>
        <w:spacing w:before="240"/>
        <w:jc w:val="center"/>
      </w:pPr>
      <w:r>
        <w:rPr>
          <w:rFonts w:ascii="Arial" w:hAnsi="Arial"/>
          <w:b/>
          <w:color w:val="1A1A1A"/>
          <w:sz w:val="44"/>
        </w:rPr>
        <w:t>Jetty Pile and Headstock Remediation</w:t>
      </w:r>
    </w:p>
    <w:p>
      <w:pPr>
        <w:jc w:val="center"/>
      </w:pPr>
      <w:r>
        <w:rPr>
          <w:rFonts w:ascii="Arial" w:hAnsi="Arial"/>
          <w:b/>
          <w:color w:val="E87722"/>
          <w:sz w:val="36"/>
        </w:rPr>
        <w:t>Stage 1 Access Methodology Options Assessment</w:t>
      </w:r>
    </w:p>
    <w:p>
      <w:pPr>
        <w:jc w:val="center"/>
      </w:pPr>
      <w:r>
        <w:rPr>
          <w:rFonts w:ascii="Arial" w:hAnsi="Arial"/>
          <w:i/>
          <w:color w:val="646464"/>
          <w:sz w:val="24"/>
        </w:rPr>
        <w:t>Draft for internal review</w:t>
      </w:r>
    </w:p>
    <w:p/>
    <w:tbl>
      <w:tblPr>
        <w:tblStyle w:val="TableGrid"/>
        <w:tblW w:type="auto" w:w="0"/>
        <w:jc w:val="center"/>
        <w:tblLook w:firstColumn="1" w:firstRow="1" w:lastColumn="0" w:lastRow="0" w:noHBand="0" w:noVBand="1" w:val="04A0"/>
      </w:tblPr>
      <w:tblGrid>
        <w:gridCol w:w="4986"/>
        <w:gridCol w:w="4986"/>
      </w:tblGrid>
      <w:tr>
        <w:tc>
          <w:tcPr>
            <w:tcW w:type="dxa" w:w="4986"/>
            <w:shd w:fill="E7E5E0"/>
            <w:vAlign w:val="center"/>
          </w:tcPr>
          <w:p>
            <w:pPr>
              <w:spacing w:after="0"/>
            </w:pPr>
            <w:r/>
            <w:r>
              <w:rPr>
                <w:rFonts w:ascii="Arial" w:hAnsi="Arial" w:eastAsia="Arial"/>
                <w:b/>
                <w:color w:val="1A1A1A"/>
                <w:sz w:val="18"/>
              </w:rPr>
              <w:t>Prepared for</w:t>
            </w:r>
          </w:p>
        </w:tc>
        <w:tc>
          <w:tcPr>
            <w:tcW w:type="dxa" w:w="4986"/>
            <w:vAlign w:val="center"/>
          </w:tcPr>
          <w:p>
            <w:pPr>
              <w:spacing w:after="0"/>
            </w:pPr>
            <w:r/>
            <w:r>
              <w:rPr>
                <w:rFonts w:ascii="Arial" w:hAnsi="Arial" w:eastAsia="Arial"/>
                <w:b w:val="0"/>
                <w:color w:val="1A1A1A"/>
                <w:sz w:val="18"/>
              </w:rPr>
              <w:t>Sugar Terminals Limited</w:t>
            </w:r>
          </w:p>
        </w:tc>
      </w:tr>
      <w:tr>
        <w:tc>
          <w:tcPr>
            <w:tcW w:type="dxa" w:w="4986"/>
            <w:shd w:fill="E7E5E0"/>
            <w:vAlign w:val="center"/>
          </w:tcPr>
          <w:p>
            <w:pPr>
              <w:spacing w:after="0"/>
            </w:pPr>
            <w:r/>
            <w:r>
              <w:rPr>
                <w:rFonts w:ascii="Arial" w:hAnsi="Arial" w:eastAsia="Arial"/>
                <w:b/>
                <w:color w:val="1A1A1A"/>
                <w:sz w:val="18"/>
              </w:rPr>
              <w:t>Prepared by</w:t>
            </w:r>
          </w:p>
        </w:tc>
        <w:tc>
          <w:tcPr>
            <w:tcW w:type="dxa" w:w="4986"/>
            <w:vAlign w:val="center"/>
          </w:tcPr>
          <w:p>
            <w:pPr>
              <w:spacing w:after="0"/>
            </w:pPr>
            <w:r/>
            <w:r>
              <w:rPr>
                <w:rFonts w:ascii="Arial" w:hAnsi="Arial" w:eastAsia="Arial"/>
                <w:b w:val="0"/>
                <w:color w:val="1A1A1A"/>
                <w:sz w:val="18"/>
              </w:rPr>
              <w:t>Endura Decommissioning (Van Iersel Projects Pty Ltd)</w:t>
            </w:r>
          </w:p>
        </w:tc>
      </w:tr>
      <w:tr>
        <w:tc>
          <w:tcPr>
            <w:tcW w:type="dxa" w:w="4986"/>
            <w:shd w:fill="E7E5E0"/>
            <w:vAlign w:val="center"/>
          </w:tcPr>
          <w:p>
            <w:pPr>
              <w:spacing w:after="0"/>
            </w:pPr>
            <w:r/>
            <w:r>
              <w:rPr>
                <w:rFonts w:ascii="Arial" w:hAnsi="Arial" w:eastAsia="Arial"/>
                <w:b/>
                <w:color w:val="1A1A1A"/>
                <w:sz w:val="18"/>
              </w:rPr>
              <w:t>Engagement</w:t>
            </w:r>
          </w:p>
        </w:tc>
        <w:tc>
          <w:tcPr>
            <w:tcW w:type="dxa" w:w="4986"/>
            <w:vAlign w:val="center"/>
          </w:tcPr>
          <w:p>
            <w:pPr>
              <w:spacing w:after="0"/>
            </w:pPr>
            <w:r/>
            <w:r>
              <w:rPr>
                <w:rFonts w:ascii="Arial" w:hAnsi="Arial" w:eastAsia="Arial"/>
                <w:b w:val="0"/>
                <w:color w:val="1A1A1A"/>
                <w:sz w:val="18"/>
              </w:rPr>
              <w:t>ED-018-2026-01, Access Methodology Options Assessment</w:t>
            </w:r>
          </w:p>
        </w:tc>
      </w:tr>
      <w:tr>
        <w:tc>
          <w:tcPr>
            <w:tcW w:type="dxa" w:w="4986"/>
            <w:shd w:fill="E7E5E0"/>
            <w:vAlign w:val="center"/>
          </w:tcPr>
          <w:p>
            <w:pPr>
              <w:spacing w:after="0"/>
            </w:pPr>
            <w:r/>
            <w:r>
              <w:rPr>
                <w:rFonts w:ascii="Arial" w:hAnsi="Arial" w:eastAsia="Arial"/>
                <w:b/>
                <w:color w:val="1A1A1A"/>
                <w:sz w:val="18"/>
              </w:rPr>
              <w:t>Document number</w:t>
            </w:r>
          </w:p>
        </w:tc>
        <w:tc>
          <w:tcPr>
            <w:tcW w:type="dxa" w:w="4986"/>
            <w:vAlign w:val="center"/>
          </w:tcPr>
          <w:p>
            <w:pPr>
              <w:spacing w:after="0"/>
            </w:pPr>
            <w:r/>
            <w:r>
              <w:rPr>
                <w:rFonts w:ascii="Arial" w:hAnsi="Arial" w:eastAsia="Arial"/>
                <w:b w:val="0"/>
                <w:color w:val="1A1A1A"/>
                <w:sz w:val="18"/>
              </w:rPr>
              <w:t>To be assigned by Endura</w:t>
            </w:r>
          </w:p>
        </w:tc>
      </w:tr>
      <w:tr>
        <w:tc>
          <w:tcPr>
            <w:tcW w:type="dxa" w:w="4986"/>
            <w:shd w:fill="E7E5E0"/>
            <w:vAlign w:val="center"/>
          </w:tcPr>
          <w:p>
            <w:pPr>
              <w:spacing w:after="0"/>
            </w:pPr>
            <w:r/>
            <w:r>
              <w:rPr>
                <w:rFonts w:ascii="Arial" w:hAnsi="Arial" w:eastAsia="Arial"/>
                <w:b/>
                <w:color w:val="1A1A1A"/>
                <w:sz w:val="18"/>
              </w:rPr>
              <w:t>Revision</w:t>
            </w:r>
          </w:p>
        </w:tc>
        <w:tc>
          <w:tcPr>
            <w:tcW w:type="dxa" w:w="4986"/>
            <w:vAlign w:val="center"/>
          </w:tcPr>
          <w:p>
            <w:pPr>
              <w:spacing w:after="0"/>
            </w:pPr>
            <w:r/>
            <w:r>
              <w:rPr>
                <w:rFonts w:ascii="Arial" w:hAnsi="Arial" w:eastAsia="Arial"/>
                <w:b w:val="0"/>
                <w:color w:val="1A1A1A"/>
                <w:sz w:val="18"/>
              </w:rPr>
              <w:t>Working Draft A</w:t>
            </w:r>
          </w:p>
        </w:tc>
      </w:tr>
      <w:tr>
        <w:tc>
          <w:tcPr>
            <w:tcW w:type="dxa" w:w="4986"/>
            <w:shd w:fill="E7E5E0"/>
            <w:vAlign w:val="center"/>
          </w:tcPr>
          <w:p>
            <w:pPr>
              <w:spacing w:after="0"/>
            </w:pPr>
            <w:r/>
            <w:r>
              <w:rPr>
                <w:rFonts w:ascii="Arial" w:hAnsi="Arial" w:eastAsia="Arial"/>
                <w:b/>
                <w:color w:val="1A1A1A"/>
                <w:sz w:val="18"/>
              </w:rPr>
              <w:t>Date</w:t>
            </w:r>
          </w:p>
        </w:tc>
        <w:tc>
          <w:tcPr>
            <w:tcW w:type="dxa" w:w="4986"/>
            <w:vAlign w:val="center"/>
          </w:tcPr>
          <w:p>
            <w:pPr>
              <w:spacing w:after="0"/>
            </w:pPr>
            <w:r/>
            <w:r>
              <w:rPr>
                <w:rFonts w:ascii="Arial" w:hAnsi="Arial" w:eastAsia="Arial"/>
                <w:b w:val="0"/>
                <w:color w:val="1A1A1A"/>
                <w:sz w:val="18"/>
              </w:rPr>
              <w:t>20 August 2026</w:t>
            </w:r>
          </w:p>
        </w:tc>
      </w:tr>
      <w:tr>
        <w:tc>
          <w:tcPr>
            <w:tcW w:type="dxa" w:w="4986"/>
            <w:shd w:fill="E7E5E0"/>
            <w:vAlign w:val="center"/>
          </w:tcPr>
          <w:p>
            <w:pPr>
              <w:spacing w:after="0"/>
            </w:pPr>
            <w:r/>
            <w:r>
              <w:rPr>
                <w:rFonts w:ascii="Arial" w:hAnsi="Arial" w:eastAsia="Arial"/>
                <w:b/>
                <w:color w:val="1A1A1A"/>
                <w:sz w:val="18"/>
              </w:rPr>
              <w:t>Status</w:t>
            </w:r>
          </w:p>
        </w:tc>
        <w:tc>
          <w:tcPr>
            <w:tcW w:type="dxa" w:w="4986"/>
            <w:vAlign w:val="center"/>
          </w:tcPr>
          <w:p>
            <w:pPr>
              <w:spacing w:after="0"/>
            </w:pPr>
            <w:r/>
            <w:r>
              <w:rPr>
                <w:rFonts w:ascii="Arial" w:hAnsi="Arial" w:eastAsia="Arial"/>
                <w:b w:val="0"/>
                <w:color w:val="1A1A1A"/>
                <w:sz w:val="18"/>
              </w:rPr>
              <w:t>Not for construction, procurement or contractual reliance</w:t>
            </w:r>
          </w:p>
        </w:tc>
      </w:tr>
    </w:tbl>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Important</w:t>
            </w:r>
          </w:p>
        </w:tc>
        <w:tc>
          <w:tcPr>
            <w:tcW w:type="dxa" w:w="4986"/>
            <w:shd w:fill="FAF7F1"/>
            <w:vAlign w:val="center"/>
          </w:tcPr>
          <w:p>
            <w:pPr>
              <w:spacing w:after="0"/>
            </w:pPr>
            <w:r/>
            <w:r>
              <w:rPr>
                <w:rFonts w:ascii="Arial" w:hAnsi="Arial" w:eastAsia="Arial"/>
                <w:b w:val="0"/>
                <w:color w:val="1A1A1A"/>
                <w:sz w:val="17"/>
              </w:rPr>
              <w:t>This report is an options assessment. It does not certify the proposed temporary works and does not recommend contractual action against the incumbent contractor. Detailed engineering, supplier selection, bathymetry, regulatory approvals and commercial quotations remain separate gates.</w:t>
            </w:r>
          </w:p>
        </w:tc>
      </w:tr>
    </w:tbl>
    <w:p>
      <w:pPr>
        <w:spacing w:after="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701"/>
            <w:shd w:fill="E87722"/>
            <w:vAlign w:val="center"/>
          </w:tcPr>
          <w:p>
            <w:pPr>
              <w:spacing w:after="0"/>
            </w:pPr>
            <w:r/>
            <w:r>
              <w:rPr>
                <w:rFonts w:ascii="Arial" w:hAnsi="Arial" w:eastAsia="Arial"/>
                <w:b/>
                <w:color w:val="FFFFFF"/>
                <w:sz w:val="16"/>
              </w:rPr>
              <w:t>Revision</w:t>
            </w:r>
          </w:p>
        </w:tc>
        <w:tc>
          <w:tcPr>
            <w:tcW w:type="dxa" w:w="1701"/>
            <w:shd w:fill="E87722"/>
            <w:vAlign w:val="center"/>
          </w:tcPr>
          <w:p>
            <w:pPr>
              <w:spacing w:after="0"/>
            </w:pPr>
            <w:r/>
            <w:r>
              <w:rPr>
                <w:rFonts w:ascii="Arial" w:hAnsi="Arial" w:eastAsia="Arial"/>
                <w:b/>
                <w:color w:val="FFFFFF"/>
                <w:sz w:val="16"/>
              </w:rPr>
              <w:t>Date</w:t>
            </w:r>
          </w:p>
        </w:tc>
        <w:tc>
          <w:tcPr>
            <w:tcW w:type="dxa" w:w="3969"/>
            <w:shd w:fill="E87722"/>
            <w:vAlign w:val="center"/>
          </w:tcPr>
          <w:p>
            <w:pPr>
              <w:spacing w:after="0"/>
            </w:pPr>
            <w:r/>
            <w:r>
              <w:rPr>
                <w:rFonts w:ascii="Arial" w:hAnsi="Arial" w:eastAsia="Arial"/>
                <w:b/>
                <w:color w:val="FFFFFF"/>
                <w:sz w:val="16"/>
              </w:rPr>
              <w:t>Description</w:t>
            </w:r>
          </w:p>
        </w:tc>
        <w:tc>
          <w:tcPr>
            <w:tcW w:type="dxa" w:w="1701"/>
            <w:shd w:fill="E87722"/>
            <w:vAlign w:val="center"/>
          </w:tcPr>
          <w:p>
            <w:pPr>
              <w:spacing w:after="0"/>
            </w:pPr>
            <w:r/>
            <w:r>
              <w:rPr>
                <w:rFonts w:ascii="Arial" w:hAnsi="Arial" w:eastAsia="Arial"/>
                <w:b/>
                <w:color w:val="FFFFFF"/>
                <w:sz w:val="16"/>
              </w:rPr>
              <w:t>Prepared by</w:t>
            </w:r>
          </w:p>
        </w:tc>
        <w:tc>
          <w:tcPr>
            <w:tcW w:type="dxa" w:w="2268"/>
            <w:shd w:fill="E87722"/>
            <w:vAlign w:val="center"/>
          </w:tcPr>
          <w:p>
            <w:pPr>
              <w:spacing w:after="0"/>
            </w:pPr>
            <w:r/>
            <w:r>
              <w:rPr>
                <w:rFonts w:ascii="Arial" w:hAnsi="Arial" w:eastAsia="Arial"/>
                <w:b/>
                <w:color w:val="FFFFFF"/>
                <w:sz w:val="16"/>
              </w:rPr>
              <w:t>Checked by</w:t>
            </w:r>
          </w:p>
        </w:tc>
        <w:tc>
          <w:tcPr>
            <w:tcW w:type="dxa" w:w="2268"/>
            <w:shd w:fill="E87722"/>
            <w:vAlign w:val="center"/>
          </w:tcPr>
          <w:p>
            <w:pPr>
              <w:spacing w:after="0"/>
            </w:pPr>
            <w:r/>
            <w:r>
              <w:rPr>
                <w:rFonts w:ascii="Arial" w:hAnsi="Arial" w:eastAsia="Arial"/>
                <w:b/>
                <w:color w:val="FFFFFF"/>
                <w:sz w:val="16"/>
              </w:rPr>
              <w:t>Approved by</w:t>
            </w:r>
          </w:p>
        </w:tc>
      </w:tr>
      <w:tr>
        <w:tc>
          <w:tcPr>
            <w:tcW w:type="dxa" w:w="1701"/>
            <w:vAlign w:val="center"/>
          </w:tcPr>
          <w:p>
            <w:pPr>
              <w:spacing w:after="0"/>
            </w:pPr>
            <w:r/>
            <w:r>
              <w:rPr>
                <w:rFonts w:ascii="Arial" w:hAnsi="Arial" w:eastAsia="Arial"/>
                <w:b w:val="0"/>
                <w:color w:val="1A1A1A"/>
                <w:sz w:val="16"/>
              </w:rPr>
              <w:t>Working Draft A</w:t>
            </w:r>
          </w:p>
        </w:tc>
        <w:tc>
          <w:tcPr>
            <w:tcW w:type="dxa" w:w="1701"/>
            <w:vAlign w:val="center"/>
          </w:tcPr>
          <w:p>
            <w:pPr>
              <w:spacing w:after="0"/>
            </w:pPr>
            <w:r/>
            <w:r>
              <w:rPr>
                <w:rFonts w:ascii="Arial" w:hAnsi="Arial" w:eastAsia="Arial"/>
                <w:b w:val="0"/>
                <w:color w:val="1A1A1A"/>
                <w:sz w:val="16"/>
              </w:rPr>
              <w:t>20 August 2026</w:t>
            </w:r>
          </w:p>
        </w:tc>
        <w:tc>
          <w:tcPr>
            <w:tcW w:type="dxa" w:w="3969"/>
            <w:vAlign w:val="center"/>
          </w:tcPr>
          <w:p>
            <w:pPr>
              <w:spacing w:after="0"/>
            </w:pPr>
            <w:r/>
            <w:r>
              <w:rPr>
                <w:rFonts w:ascii="Arial" w:hAnsi="Arial" w:eastAsia="Arial"/>
                <w:b w:val="0"/>
                <w:color w:val="1A1A1A"/>
                <w:sz w:val="16"/>
              </w:rPr>
              <w:t>Stage 1 options assessment draft</w:t>
            </w:r>
          </w:p>
        </w:tc>
        <w:tc>
          <w:tcPr>
            <w:tcW w:type="dxa" w:w="1701"/>
            <w:vAlign w:val="center"/>
          </w:tcPr>
          <w:p>
            <w:pPr>
              <w:spacing w:after="0"/>
            </w:pPr>
            <w:r/>
            <w:r>
              <w:rPr>
                <w:rFonts w:ascii="Arial" w:hAnsi="Arial" w:eastAsia="Arial"/>
                <w:b w:val="0"/>
                <w:color w:val="1A1A1A"/>
                <w:sz w:val="16"/>
              </w:rPr>
              <w:t>Endura</w:t>
            </w:r>
          </w:p>
        </w:tc>
        <w:tc>
          <w:tcPr>
            <w:tcW w:type="dxa" w:w="2268"/>
            <w:vAlign w:val="center"/>
          </w:tcPr>
          <w:p>
            <w:pPr>
              <w:spacing w:after="0"/>
            </w:pPr>
            <w:r/>
            <w:r>
              <w:rPr>
                <w:rFonts w:ascii="Arial" w:hAnsi="Arial" w:eastAsia="Arial"/>
                <w:b w:val="0"/>
                <w:color w:val="1A1A1A"/>
                <w:sz w:val="16"/>
              </w:rPr>
              <w:t>Independent assurance pending</w:t>
            </w:r>
          </w:p>
        </w:tc>
        <w:tc>
          <w:tcPr>
            <w:tcW w:type="dxa" w:w="2268"/>
            <w:vAlign w:val="center"/>
          </w:tcPr>
          <w:p>
            <w:pPr>
              <w:spacing w:after="0"/>
            </w:pPr>
            <w:r/>
            <w:r>
              <w:rPr>
                <w:rFonts w:ascii="Arial" w:hAnsi="Arial" w:eastAsia="Arial"/>
                <w:b w:val="0"/>
                <w:color w:val="1A1A1A"/>
                <w:sz w:val="16"/>
              </w:rPr>
              <w:t>Shaun / Jed</w:t>
            </w:r>
          </w:p>
        </w:tc>
      </w:tr>
    </w:tbl>
    <w:p>
      <w:pPr>
        <w:spacing w:after="0"/>
      </w:pPr>
    </w:p>
    <w:p>
      <w:pPr>
        <w:pStyle w:val="Heading1"/>
      </w:pPr>
      <w:r>
        <w:t>Contents</w:t>
      </w:r>
    </w:p>
    <w:p>
      <w:pPr>
        <w:pStyle w:val="ListBullet"/>
        <w:spacing w:after="40"/>
      </w:pPr>
      <w:r>
        <w:t>1. Executive summary</w:t>
      </w:r>
    </w:p>
    <w:p>
      <w:pPr>
        <w:pStyle w:val="ListBullet"/>
        <w:spacing w:after="40"/>
      </w:pPr>
      <w:r>
        <w:t>2. Appointment and purpose</w:t>
      </w:r>
    </w:p>
    <w:p>
      <w:pPr>
        <w:pStyle w:val="ListBullet"/>
        <w:spacing w:after="40"/>
      </w:pPr>
      <w:r>
        <w:t>3. Deliverable compliance</w:t>
      </w:r>
    </w:p>
    <w:p>
      <w:pPr>
        <w:pStyle w:val="ListBullet"/>
        <w:spacing w:after="40"/>
      </w:pPr>
      <w:r>
        <w:t>4. Evidence basis and limitations</w:t>
      </w:r>
    </w:p>
    <w:p>
      <w:pPr>
        <w:pStyle w:val="ListBullet"/>
        <w:spacing w:after="40"/>
      </w:pPr>
      <w:r>
        <w:t>5. Asset, scope and constraint envelope</w:t>
      </w:r>
    </w:p>
    <w:p>
      <w:pPr>
        <w:pStyle w:val="ListBullet"/>
        <w:spacing w:after="40"/>
      </w:pPr>
      <w:r>
        <w:t>6. Current delivery method and demonstrated performance</w:t>
      </w:r>
    </w:p>
    <w:p>
      <w:pPr>
        <w:pStyle w:val="ListBullet"/>
        <w:spacing w:after="40"/>
      </w:pPr>
      <w:r>
        <w:t>7. Options considered and screening</w:t>
      </w:r>
    </w:p>
    <w:p>
      <w:pPr>
        <w:pStyle w:val="ListBullet"/>
        <w:spacing w:after="40"/>
      </w:pPr>
      <w:r>
        <w:t>8. Preferred concept</w:t>
      </w:r>
    </w:p>
    <w:p>
      <w:pPr>
        <w:pStyle w:val="ListBullet"/>
        <w:spacing w:after="40"/>
      </w:pPr>
      <w:r>
        <w:t>9. Detailed execution methodology</w:t>
      </w:r>
    </w:p>
    <w:p>
      <w:pPr>
        <w:pStyle w:val="ListBullet"/>
        <w:spacing w:after="40"/>
      </w:pPr>
      <w:r>
        <w:t>10. Marine logistics and access</w:t>
      </w:r>
    </w:p>
    <w:p>
      <w:pPr>
        <w:pStyle w:val="ListBullet"/>
        <w:spacing w:after="40"/>
      </w:pPr>
      <w:r>
        <w:t>11. Containment, coating, waste and environmental controls</w:t>
      </w:r>
    </w:p>
    <w:p>
      <w:pPr>
        <w:pStyle w:val="ListBullet"/>
        <w:spacing w:after="40"/>
      </w:pPr>
      <w:r>
        <w:t>12. Temporary works, HSE and operability</w:t>
      </w:r>
    </w:p>
    <w:p>
      <w:pPr>
        <w:pStyle w:val="ListBullet"/>
        <w:spacing w:after="40"/>
      </w:pPr>
      <w:r>
        <w:t>13. Productivity model and schedule comparison</w:t>
      </w:r>
    </w:p>
    <w:p>
      <w:pPr>
        <w:pStyle w:val="ListBullet"/>
        <w:spacing w:after="40"/>
      </w:pPr>
      <w:r>
        <w:t>14. Indicative programme</w:t>
      </w:r>
    </w:p>
    <w:p>
      <w:pPr>
        <w:pStyle w:val="ListBullet"/>
        <w:spacing w:after="40"/>
      </w:pPr>
      <w:r>
        <w:t>15. Cost and commercial comparison</w:t>
      </w:r>
    </w:p>
    <w:p>
      <w:pPr>
        <w:pStyle w:val="ListBullet"/>
        <w:spacing w:after="40"/>
      </w:pPr>
      <w:r>
        <w:t>16. Multi-criteria assessment</w:t>
      </w:r>
    </w:p>
    <w:p>
      <w:pPr>
        <w:pStyle w:val="ListBullet"/>
        <w:spacing w:after="40"/>
      </w:pPr>
      <w:r>
        <w:t>17. Market sounding and supplier position</w:t>
      </w:r>
    </w:p>
    <w:p>
      <w:pPr>
        <w:pStyle w:val="ListBullet"/>
        <w:spacing w:after="40"/>
      </w:pPr>
      <w:r>
        <w:t>18. Proving campaign and acceptance gates</w:t>
      </w:r>
    </w:p>
    <w:p>
      <w:pPr>
        <w:pStyle w:val="ListBullet"/>
        <w:spacing w:after="40"/>
      </w:pPr>
      <w:r>
        <w:t>19. Implementation roadmap</w:t>
      </w:r>
    </w:p>
    <w:p>
      <w:pPr>
        <w:pStyle w:val="ListBullet"/>
        <w:spacing w:after="40"/>
      </w:pPr>
      <w:r>
        <w:t>20. Recommendation and decision required</w:t>
      </w:r>
    </w:p>
    <w:p>
      <w:pPr>
        <w:pStyle w:val="ListBullet"/>
        <w:spacing w:after="40"/>
      </w:pPr>
      <w:r>
        <w:t>Appendix A. Proposal deliverable matrix</w:t>
      </w:r>
    </w:p>
    <w:p>
      <w:pPr>
        <w:pStyle w:val="ListBullet"/>
        <w:spacing w:after="40"/>
      </w:pPr>
      <w:r>
        <w:t>Appendix B. Assumptions and open items</w:t>
      </w:r>
    </w:p>
    <w:p>
      <w:pPr>
        <w:pStyle w:val="ListBullet"/>
        <w:spacing w:after="40"/>
      </w:pPr>
      <w:r>
        <w:t>Appendix C. Source register</w:t>
      </w:r>
    </w:p>
    <w:p>
      <w:r>
        <w:br w:type="page"/>
      </w:r>
    </w:p>
    <w:p>
      <w:pPr>
        <w:pStyle w:val="Heading1"/>
      </w:pPr>
      <w:r>
        <w:t>1. Executive summary</w:t>
      </w:r>
    </w:p>
    <w:p>
      <w:r>
        <w:rPr>
          <w:b/>
        </w:rPr>
        <w:t xml:space="preserve">Purpose. </w:t>
      </w:r>
      <w:r>
        <w:t>Sugar Terminals Limited engaged Endura to assess credible alternatives to the current landside scaffold delivery method and provide a quantified basis for methodology selection, programme recovery and procurement planning.</w:t>
      </w:r>
    </w:p>
    <w:p>
      <w:r>
        <w:rPr>
          <w:b/>
        </w:rPr>
        <w:t xml:space="preserve">Current position. </w:t>
      </w:r>
      <w:r>
        <w:t>The contractor programme contains 257 bent activities and, after the major shutdown periods are removed, represents approximately 2.46 completed bents per production week. The conservative whole-scope stress test requires 3.783 QA-closed bents per week. The current programme therefore does not meet the stress target. Claimed safe-access production from March to July 2026 is approximately 0.36 stage equivalents per calendar week. That figure is not a completed-bent rate and is not divided into the proposed model to claim a false uplift.</w:t>
      </w:r>
    </w:p>
    <w:p>
      <w:r>
        <w:rPr>
          <w:b/>
        </w:rPr>
        <w:t xml:space="preserve">Preferred direction. </w:t>
      </w:r>
      <w:r>
        <w:t>The preferred concept for detailed development is a suspended floating-platform system for typical bents, supported by an adjacent jack-up or equivalent marine services base. Two long platforms work the opposite long faces of each headstock. Traversing decks connect them for 360-degree pile access. Portable half-shell containment encloses the active pile work zone. The platform set stays at the bent through inspection, diagnostic blasting, repair, coating, wrapping and QA, then is lowered, floated and reconnected at the next pre-rigged bent.</w:t>
      </w:r>
    </w:p>
    <w:p>
      <w:r>
        <w:rPr>
          <w:b/>
        </w:rPr>
        <w:t xml:space="preserve">Programme conclusion. </w:t>
      </w:r>
      <w:r>
        <w:t>The concept directly removes repeated scaffold erection and dismantling, bulk roadway logistics and much of the tide dependence above the waterline. It does not, by itself, prove the required completion rate. The incomplete model requires 11 complete access sets in the conservative base case and six sets in the strongest diagnostic sensitivity. Headstock containment, coating elapsed time, below-LAT jacket work, clean-out/rework and the dated operating calendar remain incomplete. Fleet size is therefore an output of the proving campaign, not a current recommendation.</w:t>
      </w:r>
    </w:p>
    <w:p>
      <w:r>
        <w:rPr>
          <w:b/>
        </w:rPr>
        <w:t xml:space="preserve">Commercial conclusion. </w:t>
      </w:r>
      <w:r>
        <w:t>The executed contract contains an access basis of approximately AUD 9.275 million ex GST when the base access value and bespoke tooling are combined. That value is not the remaining avoidable cost. The proposed cost model is activity based and complete in structure, but uses editable Endura working allowances because a structured supplier quotation was not verified in the supplied folder. No cost advantage is claimed at this stage.</w:t>
      </w:r>
    </w:p>
    <w:p>
      <w:r>
        <w:rPr>
          <w:b/>
        </w:rPr>
        <w:t xml:space="preserve">Recommendation. </w:t>
      </w:r>
      <w:r>
        <w:t>Advance the preferred concept through supplier development, RPEQ temporary-works design and a controlled proving campaign on representative typical bents. Retain conventional or hybrid access for non-typical bent families until separate concept plates are accepted. Do not commit to a fleet, completion date or procurement recommendation until the gates in Section 18 are closed.</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programme_rate_comparison.png"/>
                    <pic:cNvPicPr/>
                  </pic:nvPicPr>
                  <pic:blipFill>
                    <a:blip r:embed="rId11"/>
                    <a:stretch>
                      <a:fillRect/>
                    </a:stretch>
                  </pic:blipFill>
                  <pic:spPr>
                    <a:xfrm>
                      <a:off x="0" y="0"/>
                      <a:ext cx="5852160" cy="3291840"/>
                    </a:xfrm>
                    <a:prstGeom prst="rect"/>
                  </pic:spPr>
                </pic:pic>
              </a:graphicData>
            </a:graphic>
          </wp:inline>
        </w:drawing>
      </w:r>
    </w:p>
    <w:p>
      <w:pPr>
        <w:pStyle w:val="FigureCaption"/>
        <w:jc w:val="center"/>
      </w:pPr>
      <w:r>
        <w:t>Figure 1. Programme rate comparison. The claimed 0.36/week figure is a stage equivalent and is shown separately in the note.</w:t>
      </w:r>
    </w:p>
    <w:p>
      <w:pPr>
        <w:spacing w:before="0" w:after="120"/>
      </w:pPr>
      <w:r>
        <w:rPr>
          <w:rFonts w:ascii="Arial" w:hAnsi="Arial"/>
          <w:i/>
          <w:color w:val="646464"/>
          <w:sz w:val="16"/>
        </w:rPr>
        <w:t>Source basis: [S01], [S02], [S03], [S04], [S05], [S06]</w:t>
      </w:r>
    </w:p>
    <w:p>
      <w:pPr>
        <w:pStyle w:val="Heading1"/>
      </w:pPr>
      <w:r>
        <w:t>2. Appointment and purpose</w:t>
      </w:r>
    </w:p>
    <w:p>
      <w:r>
        <w:t>The engagement requires an independent assessment of alternative access methodologies for the remaining pile and headstock remediation works. The assessment is intended to support STL’s owner-side decision making. It is not detailed design and does not replace the contractor’s execution planning, RPEQ certification or legal advice.</w:t>
      </w:r>
    </w:p>
    <w:p>
      <w:pPr>
        <w:pStyle w:val="ListBullet"/>
        <w:spacing w:after="40"/>
      </w:pPr>
      <w:r>
        <w:t>Review the contract scope, specification, methodology, programme and available execution evidence.</w:t>
      </w:r>
    </w:p>
    <w:p>
      <w:pPr>
        <w:pStyle w:val="ListBullet"/>
        <w:spacing w:after="40"/>
      </w:pPr>
      <w:r>
        <w:t>Confirm the physical, operational, environmental and commercial constraint envelope.</w:t>
      </w:r>
    </w:p>
    <w:p>
      <w:pPr>
        <w:pStyle w:val="ListBullet"/>
        <w:spacing w:after="40"/>
      </w:pPr>
      <w:r>
        <w:t>Screen credible access options and develop the leading concepts.</w:t>
      </w:r>
    </w:p>
    <w:p>
      <w:pPr>
        <w:pStyle w:val="ListBullet"/>
        <w:spacing w:after="40"/>
      </w:pPr>
      <w:r>
        <w:t>Compare productivity, programme, cost and risk on a consistent basis.</w:t>
      </w:r>
    </w:p>
    <w:p>
      <w:pPr>
        <w:pStyle w:val="ListBullet"/>
        <w:spacing w:after="40"/>
      </w:pPr>
      <w:r>
        <w:t>Undertake supplier and contractor market soundings.</w:t>
      </w:r>
    </w:p>
    <w:p>
      <w:pPr>
        <w:pStyle w:val="ListBullet"/>
        <w:spacing w:after="40"/>
      </w:pPr>
      <w:r>
        <w:t>Recommend a methodology direction and implementation roadmap.</w:t>
      </w:r>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Boundary</w:t>
            </w:r>
          </w:p>
        </w:tc>
        <w:tc>
          <w:tcPr>
            <w:tcW w:type="dxa" w:w="4986"/>
            <w:shd w:fill="FAF7F1"/>
            <w:vAlign w:val="center"/>
          </w:tcPr>
          <w:p>
            <w:pPr>
              <w:spacing w:after="0"/>
            </w:pPr>
            <w:r/>
            <w:r>
              <w:rPr>
                <w:rFonts w:ascii="Arial" w:hAnsi="Arial" w:eastAsia="Arial"/>
                <w:b w:val="0"/>
                <w:color w:val="1A1A1A"/>
                <w:sz w:val="17"/>
              </w:rPr>
              <w:t>The assessment compares delivery methods. It does not assess the incumbent contractor’s legal or contractual position.</w:t>
            </w:r>
          </w:p>
        </w:tc>
      </w:tr>
    </w:tbl>
    <w:p>
      <w:pPr>
        <w:spacing w:after="0"/>
      </w:pPr>
    </w:p>
    <w:p>
      <w:pPr>
        <w:spacing w:before="0" w:after="120"/>
      </w:pPr>
      <w:r>
        <w:rPr>
          <w:rFonts w:ascii="Arial" w:hAnsi="Arial"/>
          <w:i/>
          <w:color w:val="646464"/>
          <w:sz w:val="16"/>
        </w:rPr>
        <w:t>Source basis: [S01], [S02]</w:t>
      </w:r>
    </w:p>
    <w:p>
      <w:pPr>
        <w:pStyle w:val="Heading1"/>
      </w:pPr>
      <w:r>
        <w:t>3. Deliverable compliance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835"/>
            <w:shd w:fill="E87722"/>
            <w:vAlign w:val="center"/>
          </w:tcPr>
          <w:p>
            <w:pPr>
              <w:spacing w:after="0"/>
            </w:pPr>
            <w:r/>
            <w:r>
              <w:rPr>
                <w:rFonts w:ascii="Arial" w:hAnsi="Arial" w:eastAsia="Arial"/>
                <w:b/>
                <w:color w:val="FFFFFF"/>
                <w:sz w:val="16"/>
              </w:rPr>
              <w:t>Proposal deliverable</w:t>
            </w:r>
          </w:p>
        </w:tc>
        <w:tc>
          <w:tcPr>
            <w:tcW w:type="dxa" w:w="2835"/>
            <w:shd w:fill="E87722"/>
            <w:vAlign w:val="center"/>
          </w:tcPr>
          <w:p>
            <w:pPr>
              <w:spacing w:after="0"/>
            </w:pPr>
            <w:r/>
            <w:r>
              <w:rPr>
                <w:rFonts w:ascii="Arial" w:hAnsi="Arial" w:eastAsia="Arial"/>
                <w:b/>
                <w:color w:val="FFFFFF"/>
                <w:sz w:val="16"/>
              </w:rPr>
              <w:t>Report response</w:t>
            </w:r>
          </w:p>
        </w:tc>
        <w:tc>
          <w:tcPr>
            <w:tcW w:type="dxa" w:w="2268"/>
            <w:shd w:fill="E87722"/>
            <w:vAlign w:val="center"/>
          </w:tcPr>
          <w:p>
            <w:pPr>
              <w:spacing w:after="0"/>
            </w:pPr>
            <w:r/>
            <w:r>
              <w:rPr>
                <w:rFonts w:ascii="Arial" w:hAnsi="Arial" w:eastAsia="Arial"/>
                <w:b/>
                <w:color w:val="FFFFFF"/>
                <w:sz w:val="16"/>
              </w:rPr>
              <w:t>Status</w:t>
            </w:r>
          </w:p>
        </w:tc>
        <w:tc>
          <w:tcPr>
            <w:tcW w:type="dxa" w:w="3969"/>
            <w:shd w:fill="E87722"/>
            <w:vAlign w:val="center"/>
          </w:tcPr>
          <w:p>
            <w:pPr>
              <w:spacing w:after="0"/>
            </w:pPr>
            <w:r/>
            <w:r>
              <w:rPr>
                <w:rFonts w:ascii="Arial" w:hAnsi="Arial" w:eastAsia="Arial"/>
                <w:b/>
                <w:color w:val="FFFFFF"/>
                <w:sz w:val="16"/>
              </w:rPr>
              <w:t>Remaining action</w:t>
            </w:r>
          </w:p>
        </w:tc>
      </w:tr>
      <w:tr>
        <w:tc>
          <w:tcPr>
            <w:tcW w:type="dxa" w:w="2835"/>
            <w:vAlign w:val="center"/>
          </w:tcPr>
          <w:p>
            <w:pPr>
              <w:spacing w:after="0"/>
            </w:pPr>
            <w:r/>
            <w:r>
              <w:rPr>
                <w:rFonts w:ascii="Arial" w:hAnsi="Arial" w:eastAsia="Arial"/>
                <w:b w:val="0"/>
                <w:color w:val="1A1A1A"/>
                <w:sz w:val="16"/>
              </w:rPr>
              <w:t>Constraint envelope</w:t>
            </w:r>
          </w:p>
        </w:tc>
        <w:tc>
          <w:tcPr>
            <w:tcW w:type="dxa" w:w="2835"/>
            <w:vAlign w:val="center"/>
          </w:tcPr>
          <w:p>
            <w:pPr>
              <w:spacing w:after="0"/>
            </w:pPr>
            <w:r/>
            <w:r>
              <w:rPr>
                <w:rFonts w:ascii="Arial" w:hAnsi="Arial" w:eastAsia="Arial"/>
                <w:b w:val="0"/>
                <w:color w:val="1A1A1A"/>
                <w:sz w:val="16"/>
              </w:rPr>
              <w:t>Sections 5, 10-12</w:t>
            </w:r>
          </w:p>
        </w:tc>
        <w:tc>
          <w:tcPr>
            <w:tcW w:type="dxa" w:w="2268"/>
            <w:vAlign w:val="center"/>
          </w:tcPr>
          <w:p>
            <w:pPr>
              <w:spacing w:after="0"/>
            </w:pPr>
            <w:r/>
            <w:r>
              <w:rPr>
                <w:rFonts w:ascii="Arial" w:hAnsi="Arial" w:eastAsia="Arial"/>
                <w:b w:val="0"/>
                <w:color w:val="1A1A1A"/>
                <w:sz w:val="16"/>
              </w:rPr>
              <w:t>Partially complete</w:t>
            </w:r>
          </w:p>
        </w:tc>
        <w:tc>
          <w:tcPr>
            <w:tcW w:type="dxa" w:w="3969"/>
            <w:vAlign w:val="center"/>
          </w:tcPr>
          <w:p>
            <w:pPr>
              <w:spacing w:after="0"/>
            </w:pPr>
            <w:r/>
            <w:r>
              <w:rPr>
                <w:rFonts w:ascii="Arial" w:hAnsi="Arial" w:eastAsia="Arial"/>
                <w:b w:val="0"/>
                <w:color w:val="1A1A1A"/>
                <w:sz w:val="16"/>
              </w:rPr>
              <w:t>Bathymetry, metocean and approvals remain open</w:t>
            </w:r>
          </w:p>
        </w:tc>
      </w:tr>
      <w:tr>
        <w:tc>
          <w:tcPr>
            <w:tcW w:type="dxa" w:w="2835"/>
            <w:vAlign w:val="center"/>
          </w:tcPr>
          <w:p>
            <w:pPr>
              <w:spacing w:after="0"/>
            </w:pPr>
            <w:r/>
            <w:r>
              <w:rPr>
                <w:rFonts w:ascii="Arial" w:hAnsi="Arial" w:eastAsia="Arial"/>
                <w:b w:val="0"/>
                <w:color w:val="1A1A1A"/>
                <w:sz w:val="16"/>
              </w:rPr>
              <w:t>Option screening</w:t>
            </w:r>
          </w:p>
        </w:tc>
        <w:tc>
          <w:tcPr>
            <w:tcW w:type="dxa" w:w="2835"/>
            <w:vAlign w:val="center"/>
          </w:tcPr>
          <w:p>
            <w:pPr>
              <w:spacing w:after="0"/>
            </w:pPr>
            <w:r/>
            <w:r>
              <w:rPr>
                <w:rFonts w:ascii="Arial" w:hAnsi="Arial" w:eastAsia="Arial"/>
                <w:b w:val="0"/>
                <w:color w:val="1A1A1A"/>
                <w:sz w:val="16"/>
              </w:rPr>
              <w:t>Sections 7 and 16</w:t>
            </w:r>
          </w:p>
        </w:tc>
        <w:tc>
          <w:tcPr>
            <w:tcW w:type="dxa" w:w="2268"/>
            <w:vAlign w:val="center"/>
          </w:tcPr>
          <w:p>
            <w:pPr>
              <w:spacing w:after="0"/>
            </w:pPr>
            <w:r/>
            <w:r>
              <w:rPr>
                <w:rFonts w:ascii="Arial" w:hAnsi="Arial" w:eastAsia="Arial"/>
                <w:b w:val="0"/>
                <w:color w:val="1A1A1A"/>
                <w:sz w:val="16"/>
              </w:rPr>
              <w:t>Complete for workshop</w:t>
            </w:r>
          </w:p>
        </w:tc>
        <w:tc>
          <w:tcPr>
            <w:tcW w:type="dxa" w:w="3969"/>
            <w:vAlign w:val="center"/>
          </w:tcPr>
          <w:p>
            <w:pPr>
              <w:spacing w:after="0"/>
            </w:pPr>
            <w:r/>
            <w:r>
              <w:rPr>
                <w:rFonts w:ascii="Arial" w:hAnsi="Arial" w:eastAsia="Arial"/>
                <w:b w:val="0"/>
                <w:color w:val="1A1A1A"/>
                <w:sz w:val="16"/>
              </w:rPr>
              <w:t>Scores require STL confirmation</w:t>
            </w:r>
          </w:p>
        </w:tc>
      </w:tr>
      <w:tr>
        <w:tc>
          <w:tcPr>
            <w:tcW w:type="dxa" w:w="2835"/>
            <w:vAlign w:val="center"/>
          </w:tcPr>
          <w:p>
            <w:pPr>
              <w:spacing w:after="0"/>
            </w:pPr>
            <w:r/>
            <w:r>
              <w:rPr>
                <w:rFonts w:ascii="Arial" w:hAnsi="Arial" w:eastAsia="Arial"/>
                <w:b w:val="0"/>
                <w:color w:val="1A1A1A"/>
                <w:sz w:val="16"/>
              </w:rPr>
              <w:t>Concept development</w:t>
            </w:r>
          </w:p>
        </w:tc>
        <w:tc>
          <w:tcPr>
            <w:tcW w:type="dxa" w:w="2835"/>
            <w:vAlign w:val="center"/>
          </w:tcPr>
          <w:p>
            <w:pPr>
              <w:spacing w:after="0"/>
            </w:pPr>
            <w:r/>
            <w:r>
              <w:rPr>
                <w:rFonts w:ascii="Arial" w:hAnsi="Arial" w:eastAsia="Arial"/>
                <w:b w:val="0"/>
                <w:color w:val="1A1A1A"/>
                <w:sz w:val="16"/>
              </w:rPr>
              <w:t>Sections 8-12</w:t>
            </w:r>
          </w:p>
        </w:tc>
        <w:tc>
          <w:tcPr>
            <w:tcW w:type="dxa" w:w="2268"/>
            <w:vAlign w:val="center"/>
          </w:tcPr>
          <w:p>
            <w:pPr>
              <w:spacing w:after="0"/>
            </w:pPr>
            <w:r/>
            <w:r>
              <w:rPr>
                <w:rFonts w:ascii="Arial" w:hAnsi="Arial" w:eastAsia="Arial"/>
                <w:b w:val="0"/>
                <w:color w:val="1A1A1A"/>
                <w:sz w:val="16"/>
              </w:rPr>
              <w:t>Complete at concept level</w:t>
            </w:r>
          </w:p>
        </w:tc>
        <w:tc>
          <w:tcPr>
            <w:tcW w:type="dxa" w:w="3969"/>
            <w:vAlign w:val="center"/>
          </w:tcPr>
          <w:p>
            <w:pPr>
              <w:spacing w:after="0"/>
            </w:pPr>
            <w:r/>
            <w:r>
              <w:rPr>
                <w:rFonts w:ascii="Arial" w:hAnsi="Arial" w:eastAsia="Arial"/>
                <w:b w:val="0"/>
                <w:color w:val="1A1A1A"/>
                <w:sz w:val="16"/>
              </w:rPr>
              <w:t>Supplier design and bent-family plates remain</w:t>
            </w:r>
          </w:p>
        </w:tc>
      </w:tr>
      <w:tr>
        <w:tc>
          <w:tcPr>
            <w:tcW w:type="dxa" w:w="2835"/>
            <w:vAlign w:val="center"/>
          </w:tcPr>
          <w:p>
            <w:pPr>
              <w:spacing w:after="0"/>
            </w:pPr>
            <w:r/>
            <w:r>
              <w:rPr>
                <w:rFonts w:ascii="Arial" w:hAnsi="Arial" w:eastAsia="Arial"/>
                <w:b w:val="0"/>
                <w:color w:val="1A1A1A"/>
                <w:sz w:val="16"/>
              </w:rPr>
              <w:t>Deployment and relocation cycle</w:t>
            </w:r>
          </w:p>
        </w:tc>
        <w:tc>
          <w:tcPr>
            <w:tcW w:type="dxa" w:w="2835"/>
            <w:vAlign w:val="center"/>
          </w:tcPr>
          <w:p>
            <w:pPr>
              <w:spacing w:after="0"/>
            </w:pPr>
            <w:r/>
            <w:r>
              <w:rPr>
                <w:rFonts w:ascii="Arial" w:hAnsi="Arial" w:eastAsia="Arial"/>
                <w:b w:val="0"/>
                <w:color w:val="1A1A1A"/>
                <w:sz w:val="16"/>
              </w:rPr>
              <w:t>Section 9</w:t>
            </w:r>
          </w:p>
        </w:tc>
        <w:tc>
          <w:tcPr>
            <w:tcW w:type="dxa" w:w="2268"/>
            <w:vAlign w:val="center"/>
          </w:tcPr>
          <w:p>
            <w:pPr>
              <w:spacing w:after="0"/>
            </w:pPr>
            <w:r/>
            <w:r>
              <w:rPr>
                <w:rFonts w:ascii="Arial" w:hAnsi="Arial" w:eastAsia="Arial"/>
                <w:b w:val="0"/>
                <w:color w:val="1A1A1A"/>
                <w:sz w:val="16"/>
              </w:rPr>
              <w:t>Working basis established</w:t>
            </w:r>
          </w:p>
        </w:tc>
        <w:tc>
          <w:tcPr>
            <w:tcW w:type="dxa" w:w="3969"/>
            <w:vAlign w:val="center"/>
          </w:tcPr>
          <w:p>
            <w:pPr>
              <w:spacing w:after="0"/>
            </w:pPr>
            <w:r/>
            <w:r>
              <w:rPr>
                <w:rFonts w:ascii="Arial" w:hAnsi="Arial" w:eastAsia="Arial"/>
                <w:b w:val="0"/>
                <w:color w:val="1A1A1A"/>
                <w:sz w:val="16"/>
              </w:rPr>
              <w:t>Timed proving required</w:t>
            </w:r>
          </w:p>
        </w:tc>
      </w:tr>
      <w:tr>
        <w:tc>
          <w:tcPr>
            <w:tcW w:type="dxa" w:w="2835"/>
            <w:vAlign w:val="center"/>
          </w:tcPr>
          <w:p>
            <w:pPr>
              <w:spacing w:after="0"/>
            </w:pPr>
            <w:r/>
            <w:r>
              <w:rPr>
                <w:rFonts w:ascii="Arial" w:hAnsi="Arial" w:eastAsia="Arial"/>
                <w:b w:val="0"/>
                <w:color w:val="1A1A1A"/>
                <w:sz w:val="16"/>
              </w:rPr>
              <w:t>Operability</w:t>
            </w:r>
          </w:p>
        </w:tc>
        <w:tc>
          <w:tcPr>
            <w:tcW w:type="dxa" w:w="2835"/>
            <w:vAlign w:val="center"/>
          </w:tcPr>
          <w:p>
            <w:pPr>
              <w:spacing w:after="0"/>
            </w:pPr>
            <w:r/>
            <w:r>
              <w:rPr>
                <w:rFonts w:ascii="Arial" w:hAnsi="Arial" w:eastAsia="Arial"/>
                <w:b w:val="0"/>
                <w:color w:val="1A1A1A"/>
                <w:sz w:val="16"/>
              </w:rPr>
              <w:t>Sections 10 and 12</w:t>
            </w:r>
          </w:p>
        </w:tc>
        <w:tc>
          <w:tcPr>
            <w:tcW w:type="dxa" w:w="2268"/>
            <w:vAlign w:val="center"/>
          </w:tcPr>
          <w:p>
            <w:pPr>
              <w:spacing w:after="0"/>
            </w:pPr>
            <w:r/>
            <w:r>
              <w:rPr>
                <w:rFonts w:ascii="Arial" w:hAnsi="Arial" w:eastAsia="Arial"/>
                <w:b w:val="0"/>
                <w:color w:val="1A1A1A"/>
                <w:sz w:val="16"/>
              </w:rPr>
              <w:t>Conditional</w:t>
            </w:r>
          </w:p>
        </w:tc>
        <w:tc>
          <w:tcPr>
            <w:tcW w:type="dxa" w:w="3969"/>
            <w:vAlign w:val="center"/>
          </w:tcPr>
          <w:p>
            <w:pPr>
              <w:spacing w:after="0"/>
            </w:pPr>
            <w:r/>
            <w:r>
              <w:rPr>
                <w:rFonts w:ascii="Arial" w:hAnsi="Arial" w:eastAsia="Arial"/>
                <w:b w:val="0"/>
                <w:color w:val="1A1A1A"/>
                <w:sz w:val="16"/>
              </w:rPr>
              <w:t>Site data and activity limits required</w:t>
            </w:r>
          </w:p>
        </w:tc>
      </w:tr>
      <w:tr>
        <w:tc>
          <w:tcPr>
            <w:tcW w:type="dxa" w:w="2835"/>
            <w:vAlign w:val="center"/>
          </w:tcPr>
          <w:p>
            <w:pPr>
              <w:spacing w:after="0"/>
            </w:pPr>
            <w:r/>
            <w:r>
              <w:rPr>
                <w:rFonts w:ascii="Arial" w:hAnsi="Arial" w:eastAsia="Arial"/>
                <w:b w:val="0"/>
                <w:color w:val="1A1A1A"/>
                <w:sz w:val="16"/>
              </w:rPr>
              <w:t>Containment and waste</w:t>
            </w:r>
          </w:p>
        </w:tc>
        <w:tc>
          <w:tcPr>
            <w:tcW w:type="dxa" w:w="2835"/>
            <w:vAlign w:val="center"/>
          </w:tcPr>
          <w:p>
            <w:pPr>
              <w:spacing w:after="0"/>
            </w:pPr>
            <w:r/>
            <w:r>
              <w:rPr>
                <w:rFonts w:ascii="Arial" w:hAnsi="Arial" w:eastAsia="Arial"/>
                <w:b w:val="0"/>
                <w:color w:val="1A1A1A"/>
                <w:sz w:val="16"/>
              </w:rPr>
              <w:t>Section 11</w:t>
            </w:r>
          </w:p>
        </w:tc>
        <w:tc>
          <w:tcPr>
            <w:tcW w:type="dxa" w:w="2268"/>
            <w:vAlign w:val="center"/>
          </w:tcPr>
          <w:p>
            <w:pPr>
              <w:spacing w:after="0"/>
            </w:pPr>
            <w:r/>
            <w:r>
              <w:rPr>
                <w:rFonts w:ascii="Arial" w:hAnsi="Arial" w:eastAsia="Arial"/>
                <w:b w:val="0"/>
                <w:color w:val="1A1A1A"/>
                <w:sz w:val="16"/>
              </w:rPr>
              <w:t>Conditional</w:t>
            </w:r>
          </w:p>
        </w:tc>
        <w:tc>
          <w:tcPr>
            <w:tcW w:type="dxa" w:w="3969"/>
            <w:vAlign w:val="center"/>
          </w:tcPr>
          <w:p>
            <w:pPr>
              <w:spacing w:after="0"/>
            </w:pPr>
            <w:r/>
            <w:r>
              <w:rPr>
                <w:rFonts w:ascii="Arial" w:hAnsi="Arial" w:eastAsia="Arial"/>
                <w:b w:val="0"/>
                <w:color w:val="1A1A1A"/>
                <w:sz w:val="16"/>
              </w:rPr>
              <w:t>Headstock enclosure and mass balance open</w:t>
            </w:r>
          </w:p>
        </w:tc>
      </w:tr>
      <w:tr>
        <w:tc>
          <w:tcPr>
            <w:tcW w:type="dxa" w:w="2835"/>
            <w:vAlign w:val="center"/>
          </w:tcPr>
          <w:p>
            <w:pPr>
              <w:spacing w:after="0"/>
            </w:pPr>
            <w:r/>
            <w:r>
              <w:rPr>
                <w:rFonts w:ascii="Arial" w:hAnsi="Arial" w:eastAsia="Arial"/>
                <w:b w:val="0"/>
                <w:color w:val="1A1A1A"/>
                <w:sz w:val="16"/>
              </w:rPr>
              <w:t>Marine logistics</w:t>
            </w:r>
          </w:p>
        </w:tc>
        <w:tc>
          <w:tcPr>
            <w:tcW w:type="dxa" w:w="2835"/>
            <w:vAlign w:val="center"/>
          </w:tcPr>
          <w:p>
            <w:pPr>
              <w:spacing w:after="0"/>
            </w:pPr>
            <w:r/>
            <w:r>
              <w:rPr>
                <w:rFonts w:ascii="Arial" w:hAnsi="Arial" w:eastAsia="Arial"/>
                <w:b w:val="0"/>
                <w:color w:val="1A1A1A"/>
                <w:sz w:val="16"/>
              </w:rPr>
              <w:t>Section 10</w:t>
            </w:r>
          </w:p>
        </w:tc>
        <w:tc>
          <w:tcPr>
            <w:tcW w:type="dxa" w:w="2268"/>
            <w:vAlign w:val="center"/>
          </w:tcPr>
          <w:p>
            <w:pPr>
              <w:spacing w:after="0"/>
            </w:pPr>
            <w:r/>
            <w:r>
              <w:rPr>
                <w:rFonts w:ascii="Arial" w:hAnsi="Arial" w:eastAsia="Arial"/>
                <w:b w:val="0"/>
                <w:color w:val="1A1A1A"/>
                <w:sz w:val="16"/>
              </w:rPr>
              <w:t>Concept established</w:t>
            </w:r>
          </w:p>
        </w:tc>
        <w:tc>
          <w:tcPr>
            <w:tcW w:type="dxa" w:w="3969"/>
            <w:vAlign w:val="center"/>
          </w:tcPr>
          <w:p>
            <w:pPr>
              <w:spacing w:after="0"/>
            </w:pPr>
            <w:r/>
            <w:r>
              <w:rPr>
                <w:rFonts w:ascii="Arial" w:hAnsi="Arial" w:eastAsia="Arial"/>
                <w:b w:val="0"/>
                <w:color w:val="1A1A1A"/>
                <w:sz w:val="16"/>
              </w:rPr>
              <w:t>JUB layout and umbilicals open</w:t>
            </w:r>
          </w:p>
        </w:tc>
      </w:tr>
      <w:tr>
        <w:tc>
          <w:tcPr>
            <w:tcW w:type="dxa" w:w="2835"/>
            <w:vAlign w:val="center"/>
          </w:tcPr>
          <w:p>
            <w:pPr>
              <w:spacing w:after="0"/>
            </w:pPr>
            <w:r/>
            <w:r>
              <w:rPr>
                <w:rFonts w:ascii="Arial" w:hAnsi="Arial" w:eastAsia="Arial"/>
                <w:b w:val="0"/>
                <w:color w:val="1A1A1A"/>
                <w:sz w:val="16"/>
              </w:rPr>
              <w:t>Structural interfaces</w:t>
            </w:r>
          </w:p>
        </w:tc>
        <w:tc>
          <w:tcPr>
            <w:tcW w:type="dxa" w:w="2835"/>
            <w:vAlign w:val="center"/>
          </w:tcPr>
          <w:p>
            <w:pPr>
              <w:spacing w:after="0"/>
            </w:pPr>
            <w:r/>
            <w:r>
              <w:rPr>
                <w:rFonts w:ascii="Arial" w:hAnsi="Arial" w:eastAsia="Arial"/>
                <w:b w:val="0"/>
                <w:color w:val="1A1A1A"/>
                <w:sz w:val="16"/>
              </w:rPr>
              <w:t>Section 12</w:t>
            </w:r>
          </w:p>
        </w:tc>
        <w:tc>
          <w:tcPr>
            <w:tcW w:type="dxa" w:w="2268"/>
            <w:vAlign w:val="center"/>
          </w:tcPr>
          <w:p>
            <w:pPr>
              <w:spacing w:after="0"/>
            </w:pPr>
            <w:r/>
            <w:r>
              <w:rPr>
                <w:rFonts w:ascii="Arial" w:hAnsi="Arial" w:eastAsia="Arial"/>
                <w:b w:val="0"/>
                <w:color w:val="1A1A1A"/>
                <w:sz w:val="16"/>
              </w:rPr>
              <w:t>Gate identified</w:t>
            </w:r>
          </w:p>
        </w:tc>
        <w:tc>
          <w:tcPr>
            <w:tcW w:type="dxa" w:w="3969"/>
            <w:vAlign w:val="center"/>
          </w:tcPr>
          <w:p>
            <w:pPr>
              <w:spacing w:after="0"/>
            </w:pPr>
            <w:r/>
            <w:r>
              <w:rPr>
                <w:rFonts w:ascii="Arial" w:hAnsi="Arial" w:eastAsia="Arial"/>
                <w:b w:val="0"/>
                <w:color w:val="1A1A1A"/>
                <w:sz w:val="16"/>
              </w:rPr>
              <w:t>RPEQ design not performed</w:t>
            </w:r>
          </w:p>
        </w:tc>
      </w:tr>
      <w:tr>
        <w:tc>
          <w:tcPr>
            <w:tcW w:type="dxa" w:w="2835"/>
            <w:vAlign w:val="center"/>
          </w:tcPr>
          <w:p>
            <w:pPr>
              <w:spacing w:after="0"/>
            </w:pPr>
            <w:r/>
            <w:r>
              <w:rPr>
                <w:rFonts w:ascii="Arial" w:hAnsi="Arial" w:eastAsia="Arial"/>
                <w:b w:val="0"/>
                <w:color w:val="1A1A1A"/>
                <w:sz w:val="16"/>
              </w:rPr>
              <w:t>Cyclone and shipping response</w:t>
            </w:r>
          </w:p>
        </w:tc>
        <w:tc>
          <w:tcPr>
            <w:tcW w:type="dxa" w:w="2835"/>
            <w:vAlign w:val="center"/>
          </w:tcPr>
          <w:p>
            <w:pPr>
              <w:spacing w:after="0"/>
            </w:pPr>
            <w:r/>
            <w:r>
              <w:rPr>
                <w:rFonts w:ascii="Arial" w:hAnsi="Arial" w:eastAsia="Arial"/>
                <w:b w:val="0"/>
                <w:color w:val="1A1A1A"/>
                <w:sz w:val="16"/>
              </w:rPr>
              <w:t>Section 12</w:t>
            </w:r>
          </w:p>
        </w:tc>
        <w:tc>
          <w:tcPr>
            <w:tcW w:type="dxa" w:w="2268"/>
            <w:vAlign w:val="center"/>
          </w:tcPr>
          <w:p>
            <w:pPr>
              <w:spacing w:after="0"/>
            </w:pPr>
            <w:r/>
            <w:r>
              <w:rPr>
                <w:rFonts w:ascii="Arial" w:hAnsi="Arial" w:eastAsia="Arial"/>
                <w:b w:val="0"/>
                <w:color w:val="1A1A1A"/>
                <w:sz w:val="16"/>
              </w:rPr>
              <w:t>Concept established</w:t>
            </w:r>
          </w:p>
        </w:tc>
        <w:tc>
          <w:tcPr>
            <w:tcW w:type="dxa" w:w="3969"/>
            <w:vAlign w:val="center"/>
          </w:tcPr>
          <w:p>
            <w:pPr>
              <w:spacing w:after="0"/>
            </w:pPr>
            <w:r/>
            <w:r>
              <w:rPr>
                <w:rFonts w:ascii="Arial" w:hAnsi="Arial" w:eastAsia="Arial"/>
                <w:b w:val="0"/>
                <w:color w:val="1A1A1A"/>
                <w:sz w:val="16"/>
              </w:rPr>
              <w:t>Timed recovery and dated calls open</w:t>
            </w:r>
          </w:p>
        </w:tc>
      </w:tr>
      <w:tr>
        <w:tc>
          <w:tcPr>
            <w:tcW w:type="dxa" w:w="2835"/>
            <w:vAlign w:val="center"/>
          </w:tcPr>
          <w:p>
            <w:pPr>
              <w:spacing w:after="0"/>
            </w:pPr>
            <w:r/>
            <w:r>
              <w:rPr>
                <w:rFonts w:ascii="Arial" w:hAnsi="Arial" w:eastAsia="Arial"/>
                <w:b w:val="0"/>
                <w:color w:val="1A1A1A"/>
                <w:sz w:val="16"/>
              </w:rPr>
              <w:t>Programme comparison</w:t>
            </w:r>
          </w:p>
        </w:tc>
        <w:tc>
          <w:tcPr>
            <w:tcW w:type="dxa" w:w="2835"/>
            <w:vAlign w:val="center"/>
          </w:tcPr>
          <w:p>
            <w:pPr>
              <w:spacing w:after="0"/>
            </w:pPr>
            <w:r/>
            <w:r>
              <w:rPr>
                <w:rFonts w:ascii="Arial" w:hAnsi="Arial" w:eastAsia="Arial"/>
                <w:b w:val="0"/>
                <w:color w:val="1A1A1A"/>
                <w:sz w:val="16"/>
              </w:rPr>
              <w:t>Sections 13-14</w:t>
            </w:r>
          </w:p>
        </w:tc>
        <w:tc>
          <w:tcPr>
            <w:tcW w:type="dxa" w:w="2268"/>
            <w:vAlign w:val="center"/>
          </w:tcPr>
          <w:p>
            <w:pPr>
              <w:spacing w:after="0"/>
            </w:pPr>
            <w:r/>
            <w:r>
              <w:rPr>
                <w:rFonts w:ascii="Arial" w:hAnsi="Arial" w:eastAsia="Arial"/>
                <w:b w:val="0"/>
                <w:color w:val="1A1A1A"/>
                <w:sz w:val="16"/>
              </w:rPr>
              <w:t>Completed with qualifications</w:t>
            </w:r>
          </w:p>
        </w:tc>
        <w:tc>
          <w:tcPr>
            <w:tcW w:type="dxa" w:w="3969"/>
            <w:vAlign w:val="center"/>
          </w:tcPr>
          <w:p>
            <w:pPr>
              <w:spacing w:after="0"/>
            </w:pPr>
            <w:r/>
            <w:r>
              <w:rPr>
                <w:rFonts w:ascii="Arial" w:hAnsi="Arial" w:eastAsia="Arial"/>
                <w:b w:val="0"/>
                <w:color w:val="1A1A1A"/>
                <w:sz w:val="16"/>
              </w:rPr>
              <w:t>Dated bent-level line of balance open</w:t>
            </w:r>
          </w:p>
        </w:tc>
      </w:tr>
      <w:tr>
        <w:tc>
          <w:tcPr>
            <w:tcW w:type="dxa" w:w="2835"/>
            <w:vAlign w:val="center"/>
          </w:tcPr>
          <w:p>
            <w:pPr>
              <w:spacing w:after="0"/>
            </w:pPr>
            <w:r/>
            <w:r>
              <w:rPr>
                <w:rFonts w:ascii="Arial" w:hAnsi="Arial" w:eastAsia="Arial"/>
                <w:b w:val="0"/>
                <w:color w:val="1A1A1A"/>
                <w:sz w:val="16"/>
              </w:rPr>
              <w:t>Cost comparison</w:t>
            </w:r>
          </w:p>
        </w:tc>
        <w:tc>
          <w:tcPr>
            <w:tcW w:type="dxa" w:w="2835"/>
            <w:vAlign w:val="center"/>
          </w:tcPr>
          <w:p>
            <w:pPr>
              <w:spacing w:after="0"/>
            </w:pPr>
            <w:r/>
            <w:r>
              <w:rPr>
                <w:rFonts w:ascii="Arial" w:hAnsi="Arial" w:eastAsia="Arial"/>
                <w:b w:val="0"/>
                <w:color w:val="1A1A1A"/>
                <w:sz w:val="16"/>
              </w:rPr>
              <w:t>Section 15</w:t>
            </w:r>
          </w:p>
        </w:tc>
        <w:tc>
          <w:tcPr>
            <w:tcW w:type="dxa" w:w="2268"/>
            <w:vAlign w:val="center"/>
          </w:tcPr>
          <w:p>
            <w:pPr>
              <w:spacing w:after="0"/>
            </w:pPr>
            <w:r/>
            <w:r>
              <w:rPr>
                <w:rFonts w:ascii="Arial" w:hAnsi="Arial" w:eastAsia="Arial"/>
                <w:b w:val="0"/>
                <w:color w:val="1A1A1A"/>
                <w:sz w:val="16"/>
              </w:rPr>
              <w:t>Structured, not commercially closed</w:t>
            </w:r>
          </w:p>
        </w:tc>
        <w:tc>
          <w:tcPr>
            <w:tcW w:type="dxa" w:w="3969"/>
            <w:vAlign w:val="center"/>
          </w:tcPr>
          <w:p>
            <w:pPr>
              <w:spacing w:after="0"/>
            </w:pPr>
            <w:r/>
            <w:r>
              <w:rPr>
                <w:rFonts w:ascii="Arial" w:hAnsi="Arial" w:eastAsia="Arial"/>
                <w:b w:val="0"/>
                <w:color w:val="1A1A1A"/>
                <w:sz w:val="16"/>
              </w:rPr>
              <w:t>Supplier quotations and remaining scope required</w:t>
            </w:r>
          </w:p>
        </w:tc>
      </w:tr>
      <w:tr>
        <w:tc>
          <w:tcPr>
            <w:tcW w:type="dxa" w:w="2835"/>
            <w:vAlign w:val="center"/>
          </w:tcPr>
          <w:p>
            <w:pPr>
              <w:spacing w:after="0"/>
            </w:pPr>
            <w:r/>
            <w:r>
              <w:rPr>
                <w:rFonts w:ascii="Arial" w:hAnsi="Arial" w:eastAsia="Arial"/>
                <w:b w:val="0"/>
                <w:color w:val="1A1A1A"/>
                <w:sz w:val="16"/>
              </w:rPr>
              <w:t>Market soundings</w:t>
            </w:r>
          </w:p>
        </w:tc>
        <w:tc>
          <w:tcPr>
            <w:tcW w:type="dxa" w:w="2835"/>
            <w:vAlign w:val="center"/>
          </w:tcPr>
          <w:p>
            <w:pPr>
              <w:spacing w:after="0"/>
            </w:pPr>
            <w:r/>
            <w:r>
              <w:rPr>
                <w:rFonts w:ascii="Arial" w:hAnsi="Arial" w:eastAsia="Arial"/>
                <w:b w:val="0"/>
                <w:color w:val="1A1A1A"/>
                <w:sz w:val="16"/>
              </w:rPr>
              <w:t>Section 17</w:t>
            </w:r>
          </w:p>
        </w:tc>
        <w:tc>
          <w:tcPr>
            <w:tcW w:type="dxa" w:w="2268"/>
            <w:vAlign w:val="center"/>
          </w:tcPr>
          <w:p>
            <w:pPr>
              <w:spacing w:after="0"/>
            </w:pPr>
            <w:r/>
            <w:r>
              <w:rPr>
                <w:rFonts w:ascii="Arial" w:hAnsi="Arial" w:eastAsia="Arial"/>
                <w:b w:val="0"/>
                <w:color w:val="1A1A1A"/>
                <w:sz w:val="16"/>
              </w:rPr>
              <w:t>In progress</w:t>
            </w:r>
          </w:p>
        </w:tc>
        <w:tc>
          <w:tcPr>
            <w:tcW w:type="dxa" w:w="3969"/>
            <w:vAlign w:val="center"/>
          </w:tcPr>
          <w:p>
            <w:pPr>
              <w:spacing w:after="0"/>
            </w:pPr>
            <w:r/>
            <w:r>
              <w:rPr>
                <w:rFonts w:ascii="Arial" w:hAnsi="Arial" w:eastAsia="Arial"/>
                <w:b w:val="0"/>
                <w:color w:val="1A1A1A"/>
                <w:sz w:val="16"/>
              </w:rPr>
              <w:t>GGC evidence received; quotations pending</w:t>
            </w:r>
          </w:p>
        </w:tc>
      </w:tr>
      <w:tr>
        <w:tc>
          <w:tcPr>
            <w:tcW w:type="dxa" w:w="2835"/>
            <w:vAlign w:val="center"/>
          </w:tcPr>
          <w:p>
            <w:pPr>
              <w:spacing w:after="0"/>
            </w:pPr>
            <w:r/>
            <w:r>
              <w:rPr>
                <w:rFonts w:ascii="Arial" w:hAnsi="Arial" w:eastAsia="Arial"/>
                <w:b w:val="0"/>
                <w:color w:val="1A1A1A"/>
                <w:sz w:val="16"/>
              </w:rPr>
              <w:t>Implementation roadmap</w:t>
            </w:r>
          </w:p>
        </w:tc>
        <w:tc>
          <w:tcPr>
            <w:tcW w:type="dxa" w:w="2835"/>
            <w:vAlign w:val="center"/>
          </w:tcPr>
          <w:p>
            <w:pPr>
              <w:spacing w:after="0"/>
            </w:pPr>
            <w:r/>
            <w:r>
              <w:rPr>
                <w:rFonts w:ascii="Arial" w:hAnsi="Arial" w:eastAsia="Arial"/>
                <w:b w:val="0"/>
                <w:color w:val="1A1A1A"/>
                <w:sz w:val="16"/>
              </w:rPr>
              <w:t>Sections 18-19</w:t>
            </w:r>
          </w:p>
        </w:tc>
        <w:tc>
          <w:tcPr>
            <w:tcW w:type="dxa" w:w="2268"/>
            <w:vAlign w:val="center"/>
          </w:tcPr>
          <w:p>
            <w:pPr>
              <w:spacing w:after="0"/>
            </w:pPr>
            <w:r/>
            <w:r>
              <w:rPr>
                <w:rFonts w:ascii="Arial" w:hAnsi="Arial" w:eastAsia="Arial"/>
                <w:b w:val="0"/>
                <w:color w:val="1A1A1A"/>
                <w:sz w:val="16"/>
              </w:rPr>
              <w:t>Complete at concept level</w:t>
            </w:r>
          </w:p>
        </w:tc>
        <w:tc>
          <w:tcPr>
            <w:tcW w:type="dxa" w:w="3969"/>
            <w:vAlign w:val="center"/>
          </w:tcPr>
          <w:p>
            <w:pPr>
              <w:spacing w:after="0"/>
            </w:pPr>
            <w:r/>
            <w:r>
              <w:rPr>
                <w:rFonts w:ascii="Arial" w:hAnsi="Arial" w:eastAsia="Arial"/>
                <w:b w:val="0"/>
                <w:color w:val="1A1A1A"/>
                <w:sz w:val="16"/>
              </w:rPr>
              <w:t>Dates subject to supplier lead times</w:t>
            </w:r>
          </w:p>
        </w:tc>
      </w:tr>
    </w:tbl>
    <w:p>
      <w:pPr>
        <w:spacing w:after="0"/>
      </w:pPr>
    </w:p>
    <w:p>
      <w:pPr>
        <w:spacing w:before="0" w:after="120"/>
      </w:pPr>
      <w:r>
        <w:rPr>
          <w:rFonts w:ascii="Arial" w:hAnsi="Arial"/>
          <w:i/>
          <w:color w:val="646464"/>
          <w:sz w:val="16"/>
        </w:rPr>
        <w:t>Source basis: [S01]</w:t>
      </w:r>
    </w:p>
    <w:p>
      <w:pPr>
        <w:pStyle w:val="Heading1"/>
      </w:pPr>
      <w:r>
        <w:t>4. Evidence basis and limitations</w:t>
      </w:r>
    </w:p>
    <w:p>
      <w:r>
        <w:t>The review uses project evidence as the primary basis. Values are classified as project fact, client-provided basis, supplier precedent, engineering assumption or open item. The principal limitations are listed below.</w:t>
      </w:r>
    </w:p>
    <w:p>
      <w:pPr>
        <w:pStyle w:val="ListBullet"/>
        <w:spacing w:after="40"/>
      </w:pPr>
      <w:r>
        <w:t>The current STL bent closeout, preservation and priority register was not supplied. The 227-bent quantity remains a whole-scope stress case.</w:t>
      </w:r>
    </w:p>
    <w:p>
      <w:pPr>
        <w:pStyle w:val="ListBullet"/>
        <w:spacing w:after="40"/>
      </w:pPr>
      <w:r>
        <w:t>The native Microsoft Project logic, calendars, constraints, resources, float and critical path were not independently verified. The schedule analysis uses the supplied Schedule.pdf and validated extracted values.</w:t>
      </w:r>
    </w:p>
    <w:p>
      <w:pPr>
        <w:pStyle w:val="ListBullet"/>
        <w:spacing w:after="40"/>
      </w:pPr>
      <w:r>
        <w:t>The claim workbook contains cached payment-stage values, but the parent progress workbook and certification trail were not supplied.</w:t>
      </w:r>
    </w:p>
    <w:p>
      <w:pPr>
        <w:pStyle w:val="ListBullet"/>
        <w:spacing w:after="40"/>
      </w:pPr>
      <w:r>
        <w:t>GGC platform and workboat evidence demonstrates relevant precedent. It does not certify the proposed Lucinda configuration, capacity or commercial rate.</w:t>
      </w:r>
    </w:p>
    <w:p>
      <w:pPr>
        <w:pStyle w:val="ListBullet"/>
        <w:spacing w:after="40"/>
      </w:pPr>
      <w:r>
        <w:t>Bathymetry, seabed, current metocean records, regulator positions and final shipping dates remain open.</w:t>
      </w:r>
    </w:p>
    <w:p>
      <w:pPr>
        <w:pStyle w:val="ListBullet"/>
        <w:spacing w:after="40"/>
      </w:pPr>
      <w:r>
        <w:t>The commercial model contains editable working allowances where supplier quotations are absent. Those allowances are not commitments.</w:t>
      </w:r>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Evidence rule</w:t>
            </w:r>
          </w:p>
        </w:tc>
        <w:tc>
          <w:tcPr>
            <w:tcW w:type="dxa" w:w="4986"/>
            <w:shd w:fill="FAF7F1"/>
            <w:vAlign w:val="center"/>
          </w:tcPr>
          <w:p>
            <w:pPr>
              <w:spacing w:after="0"/>
            </w:pPr>
            <w:r/>
            <w:r>
              <w:rPr>
                <w:rFonts w:ascii="Arial" w:hAnsi="Arial" w:eastAsia="Arial"/>
                <w:b w:val="0"/>
                <w:color w:val="1A1A1A"/>
                <w:sz w:val="17"/>
              </w:rPr>
              <w:t>No document should convert these limitations into certainty through confident wording. Every decision-driving open item is carried into the verification-gate register.</w:t>
            </w:r>
          </w:p>
        </w:tc>
      </w:tr>
    </w:tbl>
    <w:p>
      <w:pPr>
        <w:spacing w:after="0"/>
      </w:pPr>
    </w:p>
    <w:p>
      <w:r>
        <w:br w:type="page"/>
      </w:r>
    </w:p>
    <w:p>
      <w:pPr>
        <w:pStyle w:val="Heading1"/>
      </w:pPr>
      <w:r>
        <w:t>5. Asset, scope and constraint envelope</w:t>
      </w:r>
    </w:p>
    <w:p>
      <w:pPr>
        <w:pStyle w:val="Heading2"/>
      </w:pPr>
      <w:r>
        <w:t>5.1 Asset and work scope</w:t>
      </w:r>
    </w:p>
    <w:p>
      <w:r>
        <w:t>The Lucinda jetty extends approximately 5.7 km and is supported by 284 pile bents comprising approximately 670 steel piles. The conveyor gallery is on the northern side and the single-lane roadway is on the southern side. A typical bent is a welded box headstock approximately 900 mm deep on two 850 mm or 920 mm diameter raked steel piles. The typical pile rake is approximately 1 horizontal to 4 vertical.</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835"/>
            <w:shd w:fill="E87722"/>
            <w:vAlign w:val="center"/>
          </w:tcPr>
          <w:p>
            <w:pPr>
              <w:spacing w:after="0"/>
            </w:pPr>
            <w:r/>
            <w:r>
              <w:rPr>
                <w:rFonts w:ascii="Arial" w:hAnsi="Arial" w:eastAsia="Arial"/>
                <w:b/>
                <w:color w:val="FFFFFF"/>
                <w:sz w:val="16"/>
              </w:rPr>
              <w:t>Item</w:t>
            </w:r>
          </w:p>
        </w:tc>
        <w:tc>
          <w:tcPr>
            <w:tcW w:type="dxa" w:w="2835"/>
            <w:shd w:fill="E87722"/>
            <w:vAlign w:val="center"/>
          </w:tcPr>
          <w:p>
            <w:pPr>
              <w:spacing w:after="0"/>
            </w:pPr>
            <w:r/>
            <w:r>
              <w:rPr>
                <w:rFonts w:ascii="Arial" w:hAnsi="Arial" w:eastAsia="Arial"/>
                <w:b/>
                <w:color w:val="FFFFFF"/>
                <w:sz w:val="16"/>
              </w:rPr>
              <w:t>Current basis</w:t>
            </w:r>
          </w:p>
        </w:tc>
        <w:tc>
          <w:tcPr>
            <w:tcW w:type="dxa" w:w="4535"/>
            <w:shd w:fill="E87722"/>
            <w:vAlign w:val="center"/>
          </w:tcPr>
          <w:p>
            <w:pPr>
              <w:spacing w:after="0"/>
            </w:pPr>
            <w:r/>
            <w:r>
              <w:rPr>
                <w:rFonts w:ascii="Arial" w:hAnsi="Arial" w:eastAsia="Arial"/>
                <w:b/>
                <w:color w:val="FFFFFF"/>
                <w:sz w:val="16"/>
              </w:rPr>
              <w:t>Assurance position</w:t>
            </w:r>
          </w:p>
        </w:tc>
      </w:tr>
      <w:tr>
        <w:tc>
          <w:tcPr>
            <w:tcW w:type="dxa" w:w="2835"/>
            <w:vAlign w:val="center"/>
          </w:tcPr>
          <w:p>
            <w:pPr>
              <w:spacing w:after="0"/>
            </w:pPr>
            <w:r/>
            <w:r>
              <w:rPr>
                <w:rFonts w:ascii="Arial" w:hAnsi="Arial" w:eastAsia="Arial"/>
                <w:b w:val="0"/>
                <w:color w:val="1A1A1A"/>
                <w:sz w:val="16"/>
              </w:rPr>
              <w:t>Firm contract bents</w:t>
            </w:r>
          </w:p>
        </w:tc>
        <w:tc>
          <w:tcPr>
            <w:tcW w:type="dxa" w:w="2835"/>
            <w:vAlign w:val="center"/>
          </w:tcPr>
          <w:p>
            <w:pPr>
              <w:spacing w:after="0"/>
            </w:pPr>
            <w:r/>
            <w:r>
              <w:rPr>
                <w:rFonts w:ascii="Arial" w:hAnsi="Arial" w:eastAsia="Arial"/>
                <w:b w:val="0"/>
                <w:color w:val="1A1A1A"/>
                <w:sz w:val="16"/>
              </w:rPr>
              <w:t>237</w:t>
            </w:r>
          </w:p>
        </w:tc>
        <w:tc>
          <w:tcPr>
            <w:tcW w:type="dxa" w:w="4535"/>
            <w:vAlign w:val="center"/>
          </w:tcPr>
          <w:p>
            <w:pPr>
              <w:spacing w:after="0"/>
            </w:pPr>
            <w:r/>
            <w:r>
              <w:rPr>
                <w:rFonts w:ascii="Arial" w:hAnsi="Arial" w:eastAsia="Arial"/>
                <w:b w:val="0"/>
                <w:color w:val="1A1A1A"/>
                <w:sz w:val="16"/>
              </w:rPr>
              <w:t>212 typical, 13 anchored, 10 passing-bay variants and 2 specials</w:t>
            </w:r>
          </w:p>
        </w:tc>
      </w:tr>
      <w:tr>
        <w:tc>
          <w:tcPr>
            <w:tcW w:type="dxa" w:w="2835"/>
            <w:vAlign w:val="center"/>
          </w:tcPr>
          <w:p>
            <w:pPr>
              <w:spacing w:after="0"/>
            </w:pPr>
            <w:r/>
            <w:r>
              <w:rPr>
                <w:rFonts w:ascii="Arial" w:hAnsi="Arial" w:eastAsia="Arial"/>
                <w:b w:val="0"/>
                <w:color w:val="1A1A1A"/>
                <w:sz w:val="16"/>
              </w:rPr>
              <w:t>Optional expansion-joint bents</w:t>
            </w:r>
          </w:p>
        </w:tc>
        <w:tc>
          <w:tcPr>
            <w:tcW w:type="dxa" w:w="2835"/>
            <w:vAlign w:val="center"/>
          </w:tcPr>
          <w:p>
            <w:pPr>
              <w:spacing w:after="0"/>
            </w:pPr>
            <w:r/>
            <w:r>
              <w:rPr>
                <w:rFonts w:ascii="Arial" w:hAnsi="Arial" w:eastAsia="Arial"/>
                <w:b w:val="0"/>
                <w:color w:val="1A1A1A"/>
                <w:sz w:val="16"/>
              </w:rPr>
              <w:t>20</w:t>
            </w:r>
          </w:p>
        </w:tc>
        <w:tc>
          <w:tcPr>
            <w:tcW w:type="dxa" w:w="4535"/>
            <w:vAlign w:val="center"/>
          </w:tcPr>
          <w:p>
            <w:pPr>
              <w:spacing w:after="0"/>
            </w:pPr>
            <w:r/>
            <w:r>
              <w:rPr>
                <w:rFonts w:ascii="Arial" w:hAnsi="Arial" w:eastAsia="Arial"/>
                <w:b w:val="0"/>
                <w:color w:val="1A1A1A"/>
                <w:sz w:val="16"/>
              </w:rPr>
              <w:t>Separate option and access method</w:t>
            </w:r>
          </w:p>
        </w:tc>
      </w:tr>
      <w:tr>
        <w:tc>
          <w:tcPr>
            <w:tcW w:type="dxa" w:w="2835"/>
            <w:vAlign w:val="center"/>
          </w:tcPr>
          <w:p>
            <w:pPr>
              <w:spacing w:after="0"/>
            </w:pPr>
            <w:r/>
            <w:r>
              <w:rPr>
                <w:rFonts w:ascii="Arial" w:hAnsi="Arial" w:eastAsia="Arial"/>
                <w:b w:val="0"/>
                <w:color w:val="1A1A1A"/>
                <w:sz w:val="16"/>
              </w:rPr>
              <w:t>Excluded bents</w:t>
            </w:r>
          </w:p>
        </w:tc>
        <w:tc>
          <w:tcPr>
            <w:tcW w:type="dxa" w:w="2835"/>
            <w:vAlign w:val="center"/>
          </w:tcPr>
          <w:p>
            <w:pPr>
              <w:spacing w:after="0"/>
            </w:pPr>
            <w:r/>
            <w:r>
              <w:rPr>
                <w:rFonts w:ascii="Arial" w:hAnsi="Arial" w:eastAsia="Arial"/>
                <w:b w:val="0"/>
                <w:color w:val="1A1A1A"/>
                <w:sz w:val="16"/>
              </w:rPr>
              <w:t>27</w:t>
            </w:r>
          </w:p>
        </w:tc>
        <w:tc>
          <w:tcPr>
            <w:tcW w:type="dxa" w:w="4535"/>
            <w:vAlign w:val="center"/>
          </w:tcPr>
          <w:p>
            <w:pPr>
              <w:spacing w:after="0"/>
            </w:pPr>
            <w:r/>
            <w:r>
              <w:rPr>
                <w:rFonts w:ascii="Arial" w:hAnsi="Arial" w:eastAsia="Arial"/>
                <w:b w:val="0"/>
                <w:color w:val="1A1A1A"/>
                <w:sz w:val="16"/>
              </w:rPr>
              <w:t>Not included in firm package</w:t>
            </w:r>
          </w:p>
        </w:tc>
      </w:tr>
      <w:tr>
        <w:tc>
          <w:tcPr>
            <w:tcW w:type="dxa" w:w="2835"/>
            <w:vAlign w:val="center"/>
          </w:tcPr>
          <w:p>
            <w:pPr>
              <w:spacing w:after="0"/>
            </w:pPr>
            <w:r/>
            <w:r>
              <w:rPr>
                <w:rFonts w:ascii="Arial" w:hAnsi="Arial" w:eastAsia="Arial"/>
                <w:b w:val="0"/>
                <w:color w:val="1A1A1A"/>
                <w:sz w:val="16"/>
              </w:rPr>
              <w:t>Working remaining quantity</w:t>
            </w:r>
          </w:p>
        </w:tc>
        <w:tc>
          <w:tcPr>
            <w:tcW w:type="dxa" w:w="2835"/>
            <w:vAlign w:val="center"/>
          </w:tcPr>
          <w:p>
            <w:pPr>
              <w:spacing w:after="0"/>
            </w:pPr>
            <w:r/>
            <w:r>
              <w:rPr>
                <w:rFonts w:ascii="Arial" w:hAnsi="Arial" w:eastAsia="Arial"/>
                <w:b w:val="0"/>
                <w:color w:val="1A1A1A"/>
                <w:sz w:val="16"/>
              </w:rPr>
              <w:t>Approximately 227</w:t>
            </w:r>
          </w:p>
        </w:tc>
        <w:tc>
          <w:tcPr>
            <w:tcW w:type="dxa" w:w="4535"/>
            <w:vAlign w:val="center"/>
          </w:tcPr>
          <w:p>
            <w:pPr>
              <w:spacing w:after="0"/>
            </w:pPr>
            <w:r/>
            <w:r>
              <w:rPr>
                <w:rFonts w:ascii="Arial" w:hAnsi="Arial" w:eastAsia="Arial"/>
                <w:b w:val="0"/>
                <w:color w:val="1A1A1A"/>
                <w:sz w:val="16"/>
              </w:rPr>
              <w:t>Whole-scope stress case pending STL register</w:t>
            </w:r>
          </w:p>
        </w:tc>
      </w:tr>
      <w:tr>
        <w:tc>
          <w:tcPr>
            <w:tcW w:type="dxa" w:w="2835"/>
            <w:vAlign w:val="center"/>
          </w:tcPr>
          <w:p>
            <w:pPr>
              <w:spacing w:after="0"/>
            </w:pPr>
            <w:r/>
            <w:r>
              <w:rPr>
                <w:rFonts w:ascii="Arial" w:hAnsi="Arial" w:eastAsia="Arial"/>
                <w:b w:val="0"/>
                <w:color w:val="1A1A1A"/>
                <w:sz w:val="16"/>
              </w:rPr>
              <w:t>Roadway capacity</w:t>
            </w:r>
          </w:p>
        </w:tc>
        <w:tc>
          <w:tcPr>
            <w:tcW w:type="dxa" w:w="2835"/>
            <w:vAlign w:val="center"/>
          </w:tcPr>
          <w:p>
            <w:pPr>
              <w:spacing w:after="0"/>
            </w:pPr>
            <w:r/>
            <w:r>
              <w:rPr>
                <w:rFonts w:ascii="Arial" w:hAnsi="Arial" w:eastAsia="Arial"/>
                <w:b w:val="0"/>
                <w:color w:val="1A1A1A"/>
                <w:sz w:val="16"/>
              </w:rPr>
              <w:t>8 t limit</w:t>
            </w:r>
          </w:p>
        </w:tc>
        <w:tc>
          <w:tcPr>
            <w:tcW w:type="dxa" w:w="4535"/>
            <w:vAlign w:val="center"/>
          </w:tcPr>
          <w:p>
            <w:pPr>
              <w:spacing w:after="0"/>
            </w:pPr>
            <w:r/>
            <w:r>
              <w:rPr>
                <w:rFonts w:ascii="Arial" w:hAnsi="Arial" w:eastAsia="Arial"/>
                <w:b w:val="0"/>
                <w:color w:val="1A1A1A"/>
                <w:sz w:val="16"/>
              </w:rPr>
              <w:t>Materials and waste should move by water where practicable</w:t>
            </w:r>
          </w:p>
        </w:tc>
      </w:tr>
      <w:tr>
        <w:tc>
          <w:tcPr>
            <w:tcW w:type="dxa" w:w="2835"/>
            <w:vAlign w:val="center"/>
          </w:tcPr>
          <w:p>
            <w:pPr>
              <w:spacing w:after="0"/>
            </w:pPr>
            <w:r/>
            <w:r>
              <w:rPr>
                <w:rFonts w:ascii="Arial" w:hAnsi="Arial" w:eastAsia="Arial"/>
                <w:b w:val="0"/>
                <w:color w:val="1A1A1A"/>
                <w:sz w:val="16"/>
              </w:rPr>
              <w:t>Coating system</w:t>
            </w:r>
          </w:p>
        </w:tc>
        <w:tc>
          <w:tcPr>
            <w:tcW w:type="dxa" w:w="2835"/>
            <w:vAlign w:val="center"/>
          </w:tcPr>
          <w:p>
            <w:pPr>
              <w:spacing w:after="0"/>
            </w:pPr>
            <w:r/>
            <w:r>
              <w:rPr>
                <w:rFonts w:ascii="Arial" w:hAnsi="Arial" w:eastAsia="Arial"/>
                <w:b w:val="0"/>
                <w:color w:val="1A1A1A"/>
                <w:sz w:val="16"/>
              </w:rPr>
              <w:t>Two 500 µm coats to G01</w:t>
            </w:r>
          </w:p>
        </w:tc>
        <w:tc>
          <w:tcPr>
            <w:tcW w:type="dxa" w:w="4535"/>
            <w:vAlign w:val="center"/>
          </w:tcPr>
          <w:p>
            <w:pPr>
              <w:spacing w:after="0"/>
            </w:pPr>
            <w:r/>
            <w:r>
              <w:rPr>
                <w:rFonts w:ascii="Arial" w:hAnsi="Arial" w:eastAsia="Arial"/>
                <w:b w:val="0"/>
                <w:color w:val="1A1A1A"/>
                <w:sz w:val="16"/>
              </w:rPr>
              <w:t>Full work-lot sequence includes stripe coats, wash/dry, recoat and DFT</w:t>
            </w:r>
          </w:p>
        </w:tc>
      </w:tr>
      <w:tr>
        <w:tc>
          <w:tcPr>
            <w:tcW w:type="dxa" w:w="2835"/>
            <w:vAlign w:val="center"/>
          </w:tcPr>
          <w:p>
            <w:pPr>
              <w:spacing w:after="0"/>
            </w:pPr>
            <w:r/>
            <w:r>
              <w:rPr>
                <w:rFonts w:ascii="Arial" w:hAnsi="Arial" w:eastAsia="Arial"/>
                <w:b w:val="0"/>
                <w:color w:val="1A1A1A"/>
                <w:sz w:val="16"/>
              </w:rPr>
              <w:t>Tidal jacket band</w:t>
            </w:r>
          </w:p>
        </w:tc>
        <w:tc>
          <w:tcPr>
            <w:tcW w:type="dxa" w:w="2835"/>
            <w:vAlign w:val="center"/>
          </w:tcPr>
          <w:p>
            <w:pPr>
              <w:spacing w:after="0"/>
            </w:pPr>
            <w:r/>
            <w:r>
              <w:rPr>
                <w:rFonts w:ascii="Arial" w:hAnsi="Arial" w:eastAsia="Arial"/>
                <w:b w:val="0"/>
                <w:color w:val="1A1A1A"/>
                <w:sz w:val="16"/>
              </w:rPr>
              <w:t>To 1.9 m above LAT and 1.7 m below LAT</w:t>
            </w:r>
          </w:p>
        </w:tc>
        <w:tc>
          <w:tcPr>
            <w:tcW w:type="dxa" w:w="4535"/>
            <w:vAlign w:val="center"/>
          </w:tcPr>
          <w:p>
            <w:pPr>
              <w:spacing w:after="0"/>
            </w:pPr>
            <w:r/>
            <w:r>
              <w:rPr>
                <w:rFonts w:ascii="Arial" w:hAnsi="Arial" w:eastAsia="Arial"/>
                <w:b w:val="0"/>
                <w:color w:val="1A1A1A"/>
                <w:sz w:val="16"/>
              </w:rPr>
              <w:t>Below-LAT installation method is unresolved</w:t>
            </w:r>
          </w:p>
        </w:tc>
      </w:tr>
    </w:tbl>
    <w:p>
      <w:pPr>
        <w:spacing w:after="0"/>
      </w:pPr>
    </w:p>
    <w:p>
      <w:pPr>
        <w:pStyle w:val="Heading2"/>
      </w:pPr>
      <w:r>
        <w:t>5.2 Governing constraints</w:t>
      </w:r>
    </w:p>
    <w:p>
      <w:pPr>
        <w:pStyle w:val="ListBullet"/>
        <w:spacing w:after="40"/>
      </w:pPr>
      <w:r>
        <w:t>Priority integrity repairs are required by end 2028, but the priority boundary is not yet reconciled to the whole remaining scope.</w:t>
      </w:r>
    </w:p>
    <w:p>
      <w:pPr>
        <w:pStyle w:val="ListBullet"/>
        <w:spacing w:after="40"/>
      </w:pPr>
      <w:r>
        <w:t>STL requires full wet-season demobilisation. The current working basis assumes production in the 2027 and 2028 dry seasons.</w:t>
      </w:r>
    </w:p>
    <w:p>
      <w:pPr>
        <w:pStyle w:val="ListBullet"/>
        <w:spacing w:after="40"/>
      </w:pPr>
      <w:r>
        <w:t>Shipping occurs approximately 10 to 14 times per year. The method must make safe on two days’ notice.</w:t>
      </w:r>
    </w:p>
    <w:p>
      <w:pPr>
        <w:pStyle w:val="ListBullet"/>
        <w:spacing w:after="40"/>
      </w:pPr>
      <w:r>
        <w:t>The road is single lane and carries terminal traffic. It cannot remain the bulk logistics route for a scaled remediation campaign.</w:t>
      </w:r>
    </w:p>
    <w:p>
      <w:pPr>
        <w:pStyle w:val="ListBullet"/>
        <w:spacing w:after="40"/>
      </w:pPr>
      <w:r>
        <w:t>Blasting and coating require effective negative-pressure containment, dust and waste recovery, occupational-hygiene controls and accepted noise limits.</w:t>
      </w:r>
    </w:p>
    <w:p>
      <w:pPr>
        <w:pStyle w:val="ListBullet"/>
        <w:spacing w:after="40"/>
      </w:pPr>
      <w:r>
        <w:t>The site is cyclone exposed and within a sensitive marine environment. Full-spread recovery, biosecurity and regulator requirements are feasibility gates.</w:t>
      </w:r>
    </w:p>
    <w:p>
      <w:pPr>
        <w:pStyle w:val="ListBullet"/>
        <w:spacing w:after="40"/>
      </w:pPr>
      <w:r>
        <w:t>Typical, anchored, passing-bay, special, underpass and expansion-joint families do not share one access geometry.</w:t>
      </w:r>
    </w:p>
    <w:p>
      <w:pPr>
        <w:spacing w:before="0" w:after="120"/>
      </w:pPr>
      <w:r>
        <w:rPr>
          <w:rFonts w:ascii="Arial" w:hAnsi="Arial"/>
          <w:i/>
          <w:color w:val="646464"/>
          <w:sz w:val="16"/>
        </w:rPr>
        <w:t>Source basis: [S02], [S05], [S07], [S08]</w:t>
      </w:r>
    </w:p>
    <w:p>
      <w:pPr>
        <w:pStyle w:val="Heading1"/>
      </w:pPr>
      <w:r>
        <w:t>6. Current delivery method and demonstrated performance</w:t>
      </w:r>
    </w:p>
    <w:p>
      <w:pPr>
        <w:pStyle w:val="Heading2"/>
      </w:pPr>
      <w:r>
        <w:t>6.1 Current method</w:t>
      </w:r>
    </w:p>
    <w:p>
      <w:r>
        <w:t>The current landside method uses kerb-hung scaffold with full-bent encapsulation. Access, materials and waste are routed along the single-lane roadway. The bent remains occupied through inspection, repair approval, welding, blasting, coating, jackets and scaffold removal. Scaffold is hired by erected volume and standing time, so waiting extends both programme and cost.</w:t>
      </w:r>
    </w:p>
    <w:p>
      <w:pPr>
        <w:pStyle w:val="Heading2"/>
      </w:pPr>
      <w:r>
        <w:t>6.2 Claimed stage output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4535"/>
            <w:shd w:fill="E87722"/>
            <w:vAlign w:val="center"/>
          </w:tcPr>
          <w:p>
            <w:pPr>
              <w:spacing w:after="0"/>
            </w:pPr>
            <w:r/>
            <w:r>
              <w:rPr>
                <w:rFonts w:ascii="Arial" w:hAnsi="Arial" w:eastAsia="Arial"/>
                <w:b/>
                <w:color w:val="FFFFFF"/>
                <w:sz w:val="16"/>
              </w:rPr>
              <w:t>Claimed item</w:t>
            </w:r>
          </w:p>
        </w:tc>
        <w:tc>
          <w:tcPr>
            <w:tcW w:type="dxa" w:w="2268"/>
            <w:shd w:fill="E87722"/>
            <w:vAlign w:val="center"/>
          </w:tcPr>
          <w:p>
            <w:pPr>
              <w:spacing w:after="0"/>
            </w:pPr>
            <w:r/>
            <w:r>
              <w:rPr>
                <w:rFonts w:ascii="Arial" w:hAnsi="Arial" w:eastAsia="Arial"/>
                <w:b/>
                <w:color w:val="FFFFFF"/>
                <w:sz w:val="16"/>
              </w:rPr>
              <w:t>March-July total</w:t>
            </w:r>
          </w:p>
        </w:tc>
        <w:tc>
          <w:tcPr>
            <w:tcW w:type="dxa" w:w="2835"/>
            <w:shd w:fill="E87722"/>
            <w:vAlign w:val="center"/>
          </w:tcPr>
          <w:p>
            <w:pPr>
              <w:spacing w:after="0"/>
            </w:pPr>
            <w:r/>
            <w:r>
              <w:rPr>
                <w:rFonts w:ascii="Arial" w:hAnsi="Arial" w:eastAsia="Arial"/>
                <w:b/>
                <w:color w:val="FFFFFF"/>
                <w:sz w:val="16"/>
              </w:rPr>
              <w:t>Normalised stage rate</w:t>
            </w:r>
          </w:p>
        </w:tc>
      </w:tr>
      <w:tr>
        <w:tc>
          <w:tcPr>
            <w:tcW w:type="dxa" w:w="4535"/>
            <w:vAlign w:val="center"/>
          </w:tcPr>
          <w:p>
            <w:pPr>
              <w:spacing w:after="0"/>
            </w:pPr>
            <w:r/>
            <w:r>
              <w:rPr>
                <w:rFonts w:ascii="Arial" w:hAnsi="Arial" w:eastAsia="Arial"/>
                <w:b w:val="0"/>
                <w:color w:val="1A1A1A"/>
                <w:sz w:val="16"/>
              </w:rPr>
              <w:t>Safe access equivalent</w:t>
            </w:r>
          </w:p>
        </w:tc>
        <w:tc>
          <w:tcPr>
            <w:tcW w:type="dxa" w:w="2268"/>
            <w:vAlign w:val="center"/>
          </w:tcPr>
          <w:p>
            <w:pPr>
              <w:spacing w:after="0"/>
            </w:pPr>
            <w:r/>
            <w:r>
              <w:rPr>
                <w:rFonts w:ascii="Arial" w:hAnsi="Arial" w:eastAsia="Arial"/>
                <w:b w:val="0"/>
                <w:color w:val="1A1A1A"/>
                <w:sz w:val="16"/>
              </w:rPr>
              <w:t>7.90</w:t>
            </w:r>
          </w:p>
        </w:tc>
        <w:tc>
          <w:tcPr>
            <w:tcW w:type="dxa" w:w="2835"/>
            <w:vAlign w:val="center"/>
          </w:tcPr>
          <w:p>
            <w:pPr>
              <w:spacing w:after="0"/>
            </w:pPr>
            <w:r/>
            <w:r>
              <w:rPr>
                <w:rFonts w:ascii="Arial" w:hAnsi="Arial" w:eastAsia="Arial"/>
                <w:b w:val="0"/>
                <w:color w:val="1A1A1A"/>
                <w:sz w:val="16"/>
              </w:rPr>
              <w:t>0.36 per calendar week</w:t>
            </w:r>
          </w:p>
        </w:tc>
      </w:tr>
      <w:tr>
        <w:tc>
          <w:tcPr>
            <w:tcW w:type="dxa" w:w="4535"/>
            <w:vAlign w:val="center"/>
          </w:tcPr>
          <w:p>
            <w:pPr>
              <w:spacing w:after="0"/>
            </w:pPr>
            <w:r/>
            <w:r>
              <w:rPr>
                <w:rFonts w:ascii="Arial" w:hAnsi="Arial" w:eastAsia="Arial"/>
                <w:b w:val="0"/>
                <w:color w:val="1A1A1A"/>
                <w:sz w:val="16"/>
              </w:rPr>
              <w:t>Inspection / UT equivalent</w:t>
            </w:r>
          </w:p>
        </w:tc>
        <w:tc>
          <w:tcPr>
            <w:tcW w:type="dxa" w:w="2268"/>
            <w:vAlign w:val="center"/>
          </w:tcPr>
          <w:p>
            <w:pPr>
              <w:spacing w:after="0"/>
            </w:pPr>
            <w:r/>
            <w:r>
              <w:rPr>
                <w:rFonts w:ascii="Arial" w:hAnsi="Arial" w:eastAsia="Arial"/>
                <w:b w:val="0"/>
                <w:color w:val="1A1A1A"/>
                <w:sz w:val="16"/>
              </w:rPr>
              <w:t>9.00</w:t>
            </w:r>
          </w:p>
        </w:tc>
        <w:tc>
          <w:tcPr>
            <w:tcW w:type="dxa" w:w="2835"/>
            <w:vAlign w:val="center"/>
          </w:tcPr>
          <w:p>
            <w:pPr>
              <w:spacing w:after="0"/>
            </w:pPr>
            <w:r/>
            <w:r>
              <w:rPr>
                <w:rFonts w:ascii="Arial" w:hAnsi="Arial" w:eastAsia="Arial"/>
                <w:b w:val="0"/>
                <w:color w:val="1A1A1A"/>
                <w:sz w:val="16"/>
              </w:rPr>
              <w:t>0.41 per calendar week</w:t>
            </w:r>
          </w:p>
        </w:tc>
      </w:tr>
      <w:tr>
        <w:tc>
          <w:tcPr>
            <w:tcW w:type="dxa" w:w="4535"/>
            <w:vAlign w:val="center"/>
          </w:tcPr>
          <w:p>
            <w:pPr>
              <w:spacing w:after="0"/>
            </w:pPr>
            <w:r/>
            <w:r>
              <w:rPr>
                <w:rFonts w:ascii="Arial" w:hAnsi="Arial" w:eastAsia="Arial"/>
                <w:b w:val="0"/>
                <w:color w:val="1A1A1A"/>
                <w:sz w:val="16"/>
              </w:rPr>
              <w:t>Blast / coating equivalent</w:t>
            </w:r>
          </w:p>
        </w:tc>
        <w:tc>
          <w:tcPr>
            <w:tcW w:type="dxa" w:w="2268"/>
            <w:vAlign w:val="center"/>
          </w:tcPr>
          <w:p>
            <w:pPr>
              <w:spacing w:after="0"/>
            </w:pPr>
            <w:r/>
            <w:r>
              <w:rPr>
                <w:rFonts w:ascii="Arial" w:hAnsi="Arial" w:eastAsia="Arial"/>
                <w:b w:val="0"/>
                <w:color w:val="1A1A1A"/>
                <w:sz w:val="16"/>
              </w:rPr>
              <w:t>7.00</w:t>
            </w:r>
          </w:p>
        </w:tc>
        <w:tc>
          <w:tcPr>
            <w:tcW w:type="dxa" w:w="2835"/>
            <w:vAlign w:val="center"/>
          </w:tcPr>
          <w:p>
            <w:pPr>
              <w:spacing w:after="0"/>
            </w:pPr>
            <w:r/>
            <w:r>
              <w:rPr>
                <w:rFonts w:ascii="Arial" w:hAnsi="Arial" w:eastAsia="Arial"/>
                <w:b w:val="0"/>
                <w:color w:val="1A1A1A"/>
                <w:sz w:val="16"/>
              </w:rPr>
              <w:t>0.32 per calendar week</w:t>
            </w:r>
          </w:p>
        </w:tc>
      </w:tr>
      <w:tr>
        <w:tc>
          <w:tcPr>
            <w:tcW w:type="dxa" w:w="4535"/>
            <w:vAlign w:val="center"/>
          </w:tcPr>
          <w:p>
            <w:pPr>
              <w:spacing w:after="0"/>
            </w:pPr>
            <w:r/>
            <w:r>
              <w:rPr>
                <w:rFonts w:ascii="Arial" w:hAnsi="Arial" w:eastAsia="Arial"/>
                <w:b w:val="0"/>
                <w:color w:val="1A1A1A"/>
                <w:sz w:val="16"/>
              </w:rPr>
              <w:t>Denso jacket pile equivalent</w:t>
            </w:r>
          </w:p>
        </w:tc>
        <w:tc>
          <w:tcPr>
            <w:tcW w:type="dxa" w:w="2268"/>
            <w:vAlign w:val="center"/>
          </w:tcPr>
          <w:p>
            <w:pPr>
              <w:spacing w:after="0"/>
            </w:pPr>
            <w:r/>
            <w:r>
              <w:rPr>
                <w:rFonts w:ascii="Arial" w:hAnsi="Arial" w:eastAsia="Arial"/>
                <w:b w:val="0"/>
                <w:color w:val="1A1A1A"/>
                <w:sz w:val="16"/>
              </w:rPr>
              <w:t>12.00</w:t>
            </w:r>
          </w:p>
        </w:tc>
        <w:tc>
          <w:tcPr>
            <w:tcW w:type="dxa" w:w="2835"/>
            <w:vAlign w:val="center"/>
          </w:tcPr>
          <w:p>
            <w:pPr>
              <w:spacing w:after="0"/>
            </w:pPr>
            <w:r/>
            <w:r>
              <w:rPr>
                <w:rFonts w:ascii="Arial" w:hAnsi="Arial" w:eastAsia="Arial"/>
                <w:b w:val="0"/>
                <w:color w:val="1A1A1A"/>
                <w:sz w:val="16"/>
              </w:rPr>
              <w:t>0.55 per calendar week</w:t>
            </w:r>
          </w:p>
        </w:tc>
      </w:tr>
      <w:tr>
        <w:tc>
          <w:tcPr>
            <w:tcW w:type="dxa" w:w="4535"/>
            <w:vAlign w:val="center"/>
          </w:tcPr>
          <w:p>
            <w:pPr>
              <w:spacing w:after="0"/>
            </w:pPr>
            <w:r/>
            <w:r>
              <w:rPr>
                <w:rFonts w:ascii="Arial" w:hAnsi="Arial" w:eastAsia="Arial"/>
                <w:b w:val="0"/>
                <w:color w:val="1A1A1A"/>
                <w:sz w:val="16"/>
              </w:rPr>
              <w:t>Keeper angles</w:t>
            </w:r>
          </w:p>
        </w:tc>
        <w:tc>
          <w:tcPr>
            <w:tcW w:type="dxa" w:w="2268"/>
            <w:vAlign w:val="center"/>
          </w:tcPr>
          <w:p>
            <w:pPr>
              <w:spacing w:after="0"/>
            </w:pPr>
            <w:r/>
            <w:r>
              <w:rPr>
                <w:rFonts w:ascii="Arial" w:hAnsi="Arial" w:eastAsia="Arial"/>
                <w:b w:val="0"/>
                <w:color w:val="1A1A1A"/>
                <w:sz w:val="16"/>
              </w:rPr>
              <w:t>16.00</w:t>
            </w:r>
          </w:p>
        </w:tc>
        <w:tc>
          <w:tcPr>
            <w:tcW w:type="dxa" w:w="2835"/>
            <w:vAlign w:val="center"/>
          </w:tcPr>
          <w:p>
            <w:pPr>
              <w:spacing w:after="0"/>
            </w:pPr>
            <w:r/>
            <w:r>
              <w:rPr>
                <w:rFonts w:ascii="Arial" w:hAnsi="Arial" w:eastAsia="Arial"/>
                <w:b w:val="0"/>
                <w:color w:val="1A1A1A"/>
                <w:sz w:val="16"/>
              </w:rPr>
              <w:t>0.73 per calendar week</w:t>
            </w:r>
          </w:p>
        </w:tc>
      </w:tr>
      <w:tr>
        <w:tc>
          <w:tcPr>
            <w:tcW w:type="dxa" w:w="4535"/>
            <w:vAlign w:val="center"/>
          </w:tcPr>
          <w:p>
            <w:pPr>
              <w:spacing w:after="0"/>
            </w:pPr>
            <w:r/>
            <w:r>
              <w:rPr>
                <w:rFonts w:ascii="Arial" w:hAnsi="Arial" w:eastAsia="Arial"/>
                <w:b w:val="0"/>
                <w:color w:val="1A1A1A"/>
                <w:sz w:val="16"/>
              </w:rPr>
              <w:t>8 mm weld prep / weld, lm</w:t>
            </w:r>
          </w:p>
        </w:tc>
        <w:tc>
          <w:tcPr>
            <w:tcW w:type="dxa" w:w="2268"/>
            <w:vAlign w:val="center"/>
          </w:tcPr>
          <w:p>
            <w:pPr>
              <w:spacing w:after="0"/>
            </w:pPr>
            <w:r/>
            <w:r>
              <w:rPr>
                <w:rFonts w:ascii="Arial" w:hAnsi="Arial" w:eastAsia="Arial"/>
                <w:b w:val="0"/>
                <w:color w:val="1A1A1A"/>
                <w:sz w:val="16"/>
              </w:rPr>
              <w:t>183.86</w:t>
            </w:r>
          </w:p>
        </w:tc>
        <w:tc>
          <w:tcPr>
            <w:tcW w:type="dxa" w:w="2835"/>
            <w:vAlign w:val="center"/>
          </w:tcPr>
          <w:p>
            <w:pPr>
              <w:spacing w:after="0"/>
            </w:pPr>
            <w:r/>
            <w:r>
              <w:rPr>
                <w:rFonts w:ascii="Arial" w:hAnsi="Arial" w:eastAsia="Arial"/>
                <w:b w:val="0"/>
                <w:color w:val="1A1A1A"/>
                <w:sz w:val="16"/>
              </w:rPr>
              <w:t>8.40 per calendar week</w:t>
            </w:r>
          </w:p>
        </w:tc>
      </w:tr>
      <w:tr>
        <w:tc>
          <w:tcPr>
            <w:tcW w:type="dxa" w:w="4535"/>
            <w:vAlign w:val="center"/>
          </w:tcPr>
          <w:p>
            <w:pPr>
              <w:spacing w:after="0"/>
            </w:pPr>
            <w:r/>
            <w:r>
              <w:rPr>
                <w:rFonts w:ascii="Arial" w:hAnsi="Arial" w:eastAsia="Arial"/>
                <w:b w:val="0"/>
                <w:color w:val="1A1A1A"/>
                <w:sz w:val="16"/>
              </w:rPr>
              <w:t>10 mm weld prep / weld, lm</w:t>
            </w:r>
          </w:p>
        </w:tc>
        <w:tc>
          <w:tcPr>
            <w:tcW w:type="dxa" w:w="2268"/>
            <w:vAlign w:val="center"/>
          </w:tcPr>
          <w:p>
            <w:pPr>
              <w:spacing w:after="0"/>
            </w:pPr>
            <w:r/>
            <w:r>
              <w:rPr>
                <w:rFonts w:ascii="Arial" w:hAnsi="Arial" w:eastAsia="Arial"/>
                <w:b w:val="0"/>
                <w:color w:val="1A1A1A"/>
                <w:sz w:val="16"/>
              </w:rPr>
              <w:t>289.17</w:t>
            </w:r>
          </w:p>
        </w:tc>
        <w:tc>
          <w:tcPr>
            <w:tcW w:type="dxa" w:w="2835"/>
            <w:vAlign w:val="center"/>
          </w:tcPr>
          <w:p>
            <w:pPr>
              <w:spacing w:after="0"/>
            </w:pPr>
            <w:r/>
            <w:r>
              <w:rPr>
                <w:rFonts w:ascii="Arial" w:hAnsi="Arial" w:eastAsia="Arial"/>
                <w:b w:val="0"/>
                <w:color w:val="1A1A1A"/>
                <w:sz w:val="16"/>
              </w:rPr>
              <w:t>13.20 per calendar week</w:t>
            </w:r>
          </w:p>
        </w:tc>
      </w:tr>
    </w:tbl>
    <w:p>
      <w:pPr>
        <w:spacing w:after="0"/>
      </w:pPr>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Measurement boundary</w:t>
            </w:r>
          </w:p>
        </w:tc>
        <w:tc>
          <w:tcPr>
            <w:tcW w:type="dxa" w:w="4986"/>
            <w:shd w:fill="FAF7F1"/>
            <w:vAlign w:val="center"/>
          </w:tcPr>
          <w:p>
            <w:pPr>
              <w:spacing w:after="0"/>
            </w:pPr>
            <w:r/>
            <w:r>
              <w:rPr>
                <w:rFonts w:ascii="Arial" w:hAnsi="Arial" w:eastAsia="Arial"/>
                <w:b w:val="0"/>
                <w:color w:val="1A1A1A"/>
                <w:sz w:val="17"/>
              </w:rPr>
              <w:t>These are payment-stage quantities. The supplied records do not establish the number of fully completed, QA-closed bents. The proposed completed-bent rate is not divided by these figures.</w:t>
            </w:r>
          </w:p>
        </w:tc>
      </w:tr>
    </w:tbl>
    <w:p>
      <w:pPr>
        <w:spacing w:after="0"/>
      </w:pPr>
    </w:p>
    <w:p>
      <w:pPr>
        <w:pStyle w:val="Heading2"/>
      </w:pPr>
      <w:r>
        <w:t>6.3 Programme baseline</w:t>
      </w:r>
    </w:p>
    <w:p>
      <w:r>
        <w:t>The contractor programme contains 257 bent activities between 3 November 2025 and 2 December 2028. After the three major shutdown periods are removed, the validated extraction contains approximately 104.4 production weeks. The implied in-season rate is 2.46 completed bents per production week. The whole-scope stress target is 3.783 bents per week, approximately 54% above the programme rate.</w:t>
      </w:r>
    </w:p>
    <w:p>
      <w:r>
        <w:t>Typical programmed cycles are generally 14 to 15 days. The mean across all families is higher because anchored, passing-bay, expansion-joint and special bents carry additional work. Peak programme work in progress reaches nine bents, but that is not evidence of nine physical scaffold sets. Four scaffold sets were observed during the execution period.</w:t>
      </w:r>
    </w:p>
    <w:p>
      <w:pPr>
        <w:pStyle w:val="Heading2"/>
      </w:pPr>
      <w:r>
        <w:t>6.4 Execution evidence</w:t>
      </w:r>
    </w:p>
    <w:p>
      <w:pPr>
        <w:pStyle w:val="ListBullet"/>
        <w:spacing w:after="40"/>
      </w:pPr>
      <w:r>
        <w:t>July inspection reports record welders stood down when suitable safe workfronts were unavailable.</w:t>
      </w:r>
    </w:p>
    <w:p>
      <w:pPr>
        <w:pStyle w:val="ListBullet"/>
        <w:spacing w:after="40"/>
      </w:pPr>
      <w:r>
        <w:t>Lower deck access was incomplete at several fronts.</w:t>
      </w:r>
    </w:p>
    <w:p>
      <w:pPr>
        <w:pStyle w:val="ListBullet"/>
        <w:spacing w:after="40"/>
      </w:pPr>
      <w:r>
        <w:t>Weather affected scaffold removal and restricted lower access.</w:t>
      </w:r>
    </w:p>
    <w:p>
      <w:pPr>
        <w:pStyle w:val="ListBullet"/>
        <w:spacing w:after="40"/>
      </w:pPr>
      <w:r>
        <w:t>Repair defects were found after blasting, creating repair and reblast activity.</w:t>
      </w:r>
    </w:p>
    <w:p>
      <w:pPr>
        <w:pStyle w:val="ListBullet"/>
        <w:spacing w:after="40"/>
      </w:pPr>
      <w:r>
        <w:t>Scaffold contact areas created coating touch-up requirements.</w:t>
      </w:r>
    </w:p>
    <w:p>
      <w:pPr>
        <w:pStyle w:val="ListBullet"/>
        <w:spacing w:after="40"/>
      </w:pPr>
      <w:r>
        <w:t>Approval waits and removal backlogs reduced the usable workfront count.</w:t>
      </w:r>
    </w:p>
    <w:p>
      <w:r>
        <w:t>The evidence supports a multi-constraint diagnosis. The dominant recoverable issue is the serial access and workflow cycle. Repair quantity, approval, coating, weather, tide, shipping and workfront control remain material.</w:t>
      </w:r>
    </w:p>
    <w:p>
      <w:pPr>
        <w:spacing w:before="0" w:after="120"/>
      </w:pPr>
      <w:r>
        <w:rPr>
          <w:rFonts w:ascii="Arial" w:hAnsi="Arial"/>
          <w:i/>
          <w:color w:val="646464"/>
          <w:sz w:val="16"/>
        </w:rPr>
        <w:t>Source basis: [S03], [S04], [S06]</w:t>
      </w:r>
    </w:p>
    <w:p>
      <w:r>
        <w:br w:type="page"/>
      </w:r>
    </w:p>
    <w:p>
      <w:pPr>
        <w:pStyle w:val="Heading1"/>
      </w:pPr>
      <w:r>
        <w:t>7. Options considered and screening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2268"/>
            <w:shd w:fill="E87722"/>
            <w:vAlign w:val="center"/>
          </w:tcPr>
          <w:p>
            <w:pPr>
              <w:spacing w:after="0"/>
            </w:pPr>
            <w:r/>
            <w:r>
              <w:rPr>
                <w:rFonts w:ascii="Arial" w:hAnsi="Arial" w:eastAsia="Arial"/>
                <w:b/>
                <w:color w:val="FFFFFF"/>
                <w:sz w:val="15"/>
              </w:rPr>
              <w:t>Option</w:t>
            </w:r>
          </w:p>
        </w:tc>
        <w:tc>
          <w:tcPr>
            <w:tcW w:type="dxa" w:w="2835"/>
            <w:shd w:fill="E87722"/>
            <w:vAlign w:val="center"/>
          </w:tcPr>
          <w:p>
            <w:pPr>
              <w:spacing w:after="0"/>
            </w:pPr>
            <w:r/>
            <w:r>
              <w:rPr>
                <w:rFonts w:ascii="Arial" w:hAnsi="Arial" w:eastAsia="Arial"/>
                <w:b/>
                <w:color w:val="FFFFFF"/>
                <w:sz w:val="15"/>
              </w:rPr>
              <w:t>Description</w:t>
            </w:r>
          </w:p>
        </w:tc>
        <w:tc>
          <w:tcPr>
            <w:tcW w:type="dxa" w:w="2835"/>
            <w:shd w:fill="E87722"/>
            <w:vAlign w:val="center"/>
          </w:tcPr>
          <w:p>
            <w:pPr>
              <w:spacing w:after="0"/>
            </w:pPr>
            <w:r/>
            <w:r>
              <w:rPr>
                <w:rFonts w:ascii="Arial" w:hAnsi="Arial" w:eastAsia="Arial"/>
                <w:b/>
                <w:color w:val="FFFFFF"/>
                <w:sz w:val="15"/>
              </w:rPr>
              <w:t>Strengths</w:t>
            </w:r>
          </w:p>
        </w:tc>
        <w:tc>
          <w:tcPr>
            <w:tcW w:type="dxa" w:w="3402"/>
            <w:shd w:fill="E87722"/>
            <w:vAlign w:val="center"/>
          </w:tcPr>
          <w:p>
            <w:pPr>
              <w:spacing w:after="0"/>
            </w:pPr>
            <w:r/>
            <w:r>
              <w:rPr>
                <w:rFonts w:ascii="Arial" w:hAnsi="Arial" w:eastAsia="Arial"/>
                <w:b/>
                <w:color w:val="FFFFFF"/>
                <w:sz w:val="15"/>
              </w:rPr>
              <w:t>Principal limitations</w:t>
            </w:r>
          </w:p>
        </w:tc>
        <w:tc>
          <w:tcPr>
            <w:tcW w:type="dxa" w:w="2268"/>
            <w:shd w:fill="E87722"/>
            <w:vAlign w:val="center"/>
          </w:tcPr>
          <w:p>
            <w:pPr>
              <w:spacing w:after="0"/>
            </w:pPr>
            <w:r/>
            <w:r>
              <w:rPr>
                <w:rFonts w:ascii="Arial" w:hAnsi="Arial" w:eastAsia="Arial"/>
                <w:b/>
                <w:color w:val="FFFFFF"/>
                <w:sz w:val="15"/>
              </w:rPr>
              <w:t>Assessment position</w:t>
            </w:r>
          </w:p>
        </w:tc>
      </w:tr>
      <w:tr>
        <w:tc>
          <w:tcPr>
            <w:tcW w:type="dxa" w:w="2268"/>
            <w:vAlign w:val="center"/>
          </w:tcPr>
          <w:p>
            <w:pPr>
              <w:spacing w:after="0"/>
            </w:pPr>
            <w:r/>
            <w:r>
              <w:rPr>
                <w:rFonts w:ascii="Arial" w:hAnsi="Arial" w:eastAsia="Arial"/>
                <w:b w:val="0"/>
                <w:color w:val="1A1A1A"/>
                <w:sz w:val="15"/>
              </w:rPr>
              <w:t>Current scaffold baseline</w:t>
            </w:r>
          </w:p>
        </w:tc>
        <w:tc>
          <w:tcPr>
            <w:tcW w:type="dxa" w:w="2835"/>
            <w:vAlign w:val="center"/>
          </w:tcPr>
          <w:p>
            <w:pPr>
              <w:spacing w:after="0"/>
            </w:pPr>
            <w:r/>
            <w:r>
              <w:rPr>
                <w:rFonts w:ascii="Arial" w:hAnsi="Arial" w:eastAsia="Arial"/>
                <w:b w:val="0"/>
                <w:color w:val="1A1A1A"/>
                <w:sz w:val="15"/>
              </w:rPr>
              <w:t>Retain full-bent scaffold and improve planning/resources</w:t>
            </w:r>
          </w:p>
        </w:tc>
        <w:tc>
          <w:tcPr>
            <w:tcW w:type="dxa" w:w="2835"/>
            <w:vAlign w:val="center"/>
          </w:tcPr>
          <w:p>
            <w:pPr>
              <w:spacing w:after="0"/>
            </w:pPr>
            <w:r/>
            <w:r>
              <w:rPr>
                <w:rFonts w:ascii="Arial" w:hAnsi="Arial" w:eastAsia="Arial"/>
                <w:b w:val="0"/>
                <w:color w:val="1A1A1A"/>
                <w:sz w:val="15"/>
              </w:rPr>
              <w:t>Known method; local capability</w:t>
            </w:r>
          </w:p>
        </w:tc>
        <w:tc>
          <w:tcPr>
            <w:tcW w:type="dxa" w:w="3402"/>
            <w:vAlign w:val="center"/>
          </w:tcPr>
          <w:p>
            <w:pPr>
              <w:spacing w:after="0"/>
            </w:pPr>
            <w:r/>
            <w:r>
              <w:rPr>
                <w:rFonts w:ascii="Arial" w:hAnsi="Arial" w:eastAsia="Arial"/>
                <w:b w:val="0"/>
                <w:color w:val="1A1A1A"/>
                <w:sz w:val="15"/>
              </w:rPr>
              <w:t>Serial cycle, roadway occupation, standing hire, tide/weather exposure</w:t>
            </w:r>
          </w:p>
        </w:tc>
        <w:tc>
          <w:tcPr>
            <w:tcW w:type="dxa" w:w="2268"/>
            <w:vAlign w:val="center"/>
          </w:tcPr>
          <w:p>
            <w:pPr>
              <w:spacing w:after="0"/>
            </w:pPr>
            <w:r/>
            <w:r>
              <w:rPr>
                <w:rFonts w:ascii="Arial" w:hAnsi="Arial" w:eastAsia="Arial"/>
                <w:b w:val="0"/>
                <w:color w:val="1A1A1A"/>
                <w:sz w:val="15"/>
              </w:rPr>
              <w:t>Baseline only</w:t>
            </w:r>
          </w:p>
        </w:tc>
      </w:tr>
      <w:tr>
        <w:tc>
          <w:tcPr>
            <w:tcW w:type="dxa" w:w="2268"/>
            <w:vAlign w:val="center"/>
          </w:tcPr>
          <w:p>
            <w:pPr>
              <w:spacing w:after="0"/>
            </w:pPr>
            <w:r/>
            <w:r>
              <w:rPr>
                <w:rFonts w:ascii="Arial" w:hAnsi="Arial" w:eastAsia="Arial"/>
                <w:b w:val="0"/>
                <w:color w:val="1A1A1A"/>
                <w:sz w:val="15"/>
              </w:rPr>
              <w:t>JUB as direct workface</w:t>
            </w:r>
          </w:p>
        </w:tc>
        <w:tc>
          <w:tcPr>
            <w:tcW w:type="dxa" w:w="2835"/>
            <w:vAlign w:val="center"/>
          </w:tcPr>
          <w:p>
            <w:pPr>
              <w:spacing w:after="0"/>
            </w:pPr>
            <w:r/>
            <w:r>
              <w:rPr>
                <w:rFonts w:ascii="Arial" w:hAnsi="Arial" w:eastAsia="Arial"/>
                <w:b w:val="0"/>
                <w:color w:val="1A1A1A"/>
                <w:sz w:val="15"/>
              </w:rPr>
              <w:t>JUB positioned at each active bent with crane/access plant</w:t>
            </w:r>
          </w:p>
        </w:tc>
        <w:tc>
          <w:tcPr>
            <w:tcW w:type="dxa" w:w="2835"/>
            <w:vAlign w:val="center"/>
          </w:tcPr>
          <w:p>
            <w:pPr>
              <w:spacing w:after="0"/>
            </w:pPr>
            <w:r/>
            <w:r>
              <w:rPr>
                <w:rFonts w:ascii="Arial" w:hAnsi="Arial" w:eastAsia="Arial"/>
                <w:b w:val="0"/>
                <w:color w:val="1A1A1A"/>
                <w:sz w:val="15"/>
              </w:rPr>
              <w:t>Stable tide-independent deck</w:t>
            </w:r>
          </w:p>
        </w:tc>
        <w:tc>
          <w:tcPr>
            <w:tcW w:type="dxa" w:w="3402"/>
            <w:vAlign w:val="center"/>
          </w:tcPr>
          <w:p>
            <w:pPr>
              <w:spacing w:after="0"/>
            </w:pPr>
            <w:r/>
            <w:r>
              <w:rPr>
                <w:rFonts w:ascii="Arial" w:hAnsi="Arial" w:eastAsia="Arial"/>
                <w:b w:val="0"/>
                <w:color w:val="1A1A1A"/>
                <w:sz w:val="15"/>
              </w:rPr>
              <w:t>Frequent relocations, seabed/bathymetry, crane reach, cost</w:t>
            </w:r>
          </w:p>
        </w:tc>
        <w:tc>
          <w:tcPr>
            <w:tcW w:type="dxa" w:w="2268"/>
            <w:vAlign w:val="center"/>
          </w:tcPr>
          <w:p>
            <w:pPr>
              <w:spacing w:after="0"/>
            </w:pPr>
            <w:r/>
            <w:r>
              <w:rPr>
                <w:rFonts w:ascii="Arial" w:hAnsi="Arial" w:eastAsia="Arial"/>
                <w:b w:val="0"/>
                <w:color w:val="1A1A1A"/>
                <w:sz w:val="15"/>
              </w:rPr>
              <w:t>Secondary option</w:t>
            </w:r>
          </w:p>
        </w:tc>
      </w:tr>
      <w:tr>
        <w:tc>
          <w:tcPr>
            <w:tcW w:type="dxa" w:w="2268"/>
            <w:vAlign w:val="center"/>
          </w:tcPr>
          <w:p>
            <w:pPr>
              <w:spacing w:after="0"/>
            </w:pPr>
            <w:r/>
            <w:r>
              <w:rPr>
                <w:rFonts w:ascii="Arial" w:hAnsi="Arial" w:eastAsia="Arial"/>
                <w:b w:val="0"/>
                <w:color w:val="1A1A1A"/>
                <w:sz w:val="15"/>
              </w:rPr>
              <w:t>Modular/spud pontoon</w:t>
            </w:r>
          </w:p>
        </w:tc>
        <w:tc>
          <w:tcPr>
            <w:tcW w:type="dxa" w:w="2835"/>
            <w:vAlign w:val="center"/>
          </w:tcPr>
          <w:p>
            <w:pPr>
              <w:spacing w:after="0"/>
            </w:pPr>
            <w:r/>
            <w:r>
              <w:rPr>
                <w:rFonts w:ascii="Arial" w:hAnsi="Arial" w:eastAsia="Arial"/>
                <w:b w:val="0"/>
                <w:color w:val="1A1A1A"/>
                <w:sz w:val="15"/>
              </w:rPr>
              <w:t>Spud-anchored barge or pontoon supporting workface</w:t>
            </w:r>
          </w:p>
        </w:tc>
        <w:tc>
          <w:tcPr>
            <w:tcW w:type="dxa" w:w="2835"/>
            <w:vAlign w:val="center"/>
          </w:tcPr>
          <w:p>
            <w:pPr>
              <w:spacing w:after="0"/>
            </w:pPr>
            <w:r/>
            <w:r>
              <w:rPr>
                <w:rFonts w:ascii="Arial" w:hAnsi="Arial" w:eastAsia="Arial"/>
                <w:b w:val="0"/>
                <w:color w:val="1A1A1A"/>
                <w:sz w:val="15"/>
              </w:rPr>
              <w:t>Marine logistics, reusable deck</w:t>
            </w:r>
          </w:p>
        </w:tc>
        <w:tc>
          <w:tcPr>
            <w:tcW w:type="dxa" w:w="3402"/>
            <w:vAlign w:val="center"/>
          </w:tcPr>
          <w:p>
            <w:pPr>
              <w:spacing w:after="0"/>
            </w:pPr>
            <w:r/>
            <w:r>
              <w:rPr>
                <w:rFonts w:ascii="Arial" w:hAnsi="Arial" w:eastAsia="Arial"/>
                <w:b w:val="0"/>
                <w:color w:val="1A1A1A"/>
                <w:sz w:val="15"/>
              </w:rPr>
              <w:t>Wave response, relocation, shallow transition</w:t>
            </w:r>
          </w:p>
        </w:tc>
        <w:tc>
          <w:tcPr>
            <w:tcW w:type="dxa" w:w="2268"/>
            <w:vAlign w:val="center"/>
          </w:tcPr>
          <w:p>
            <w:pPr>
              <w:spacing w:after="0"/>
            </w:pPr>
            <w:r/>
            <w:r>
              <w:rPr>
                <w:rFonts w:ascii="Arial" w:hAnsi="Arial" w:eastAsia="Arial"/>
                <w:b w:val="0"/>
                <w:color w:val="1A1A1A"/>
                <w:sz w:val="15"/>
              </w:rPr>
              <w:t>Secondary option</w:t>
            </w:r>
          </w:p>
        </w:tc>
      </w:tr>
      <w:tr>
        <w:tc>
          <w:tcPr>
            <w:tcW w:type="dxa" w:w="2268"/>
            <w:vAlign w:val="center"/>
          </w:tcPr>
          <w:p>
            <w:pPr>
              <w:spacing w:after="0"/>
            </w:pPr>
            <w:r/>
            <w:r>
              <w:rPr>
                <w:rFonts w:ascii="Arial" w:hAnsi="Arial" w:eastAsia="Arial"/>
                <w:b w:val="0"/>
                <w:color w:val="1A1A1A"/>
                <w:sz w:val="15"/>
              </w:rPr>
              <w:t>Suspended floating platforms + JUB logistics</w:t>
            </w:r>
          </w:p>
        </w:tc>
        <w:tc>
          <w:tcPr>
            <w:tcW w:type="dxa" w:w="2835"/>
            <w:vAlign w:val="center"/>
          </w:tcPr>
          <w:p>
            <w:pPr>
              <w:spacing w:after="0"/>
            </w:pPr>
            <w:r/>
            <w:r>
              <w:rPr>
                <w:rFonts w:ascii="Arial" w:hAnsi="Arial" w:eastAsia="Arial"/>
                <w:b w:val="0"/>
                <w:color w:val="1A1A1A"/>
                <w:sz w:val="15"/>
              </w:rPr>
              <w:t>Float platform sets to bent, winch clear, work full height, JUB supplies services</w:t>
            </w:r>
          </w:p>
        </w:tc>
        <w:tc>
          <w:tcPr>
            <w:tcW w:type="dxa" w:w="2835"/>
            <w:vAlign w:val="center"/>
          </w:tcPr>
          <w:p>
            <w:pPr>
              <w:spacing w:after="0"/>
            </w:pPr>
            <w:r/>
            <w:r>
              <w:rPr>
                <w:rFonts w:ascii="Arial" w:hAnsi="Arial" w:eastAsia="Arial"/>
                <w:b w:val="0"/>
                <w:color w:val="1A1A1A"/>
                <w:sz w:val="15"/>
              </w:rPr>
              <w:t>Directly removes repeated scaffold cycle and road logistics</w:t>
            </w:r>
          </w:p>
        </w:tc>
        <w:tc>
          <w:tcPr>
            <w:tcW w:type="dxa" w:w="3402"/>
            <w:vAlign w:val="center"/>
          </w:tcPr>
          <w:p>
            <w:pPr>
              <w:spacing w:after="0"/>
            </w:pPr>
            <w:r/>
            <w:r>
              <w:rPr>
                <w:rFonts w:ascii="Arial" w:hAnsi="Arial" w:eastAsia="Arial"/>
                <w:b w:val="0"/>
                <w:color w:val="1A1A1A"/>
                <w:sz w:val="15"/>
              </w:rPr>
              <w:t>Temporary works, fleet scale, containment, rescue and supplier design</w:t>
            </w:r>
          </w:p>
        </w:tc>
        <w:tc>
          <w:tcPr>
            <w:tcW w:type="dxa" w:w="2268"/>
            <w:vAlign w:val="center"/>
          </w:tcPr>
          <w:p>
            <w:pPr>
              <w:spacing w:after="0"/>
            </w:pPr>
            <w:r/>
            <w:r>
              <w:rPr>
                <w:rFonts w:ascii="Arial" w:hAnsi="Arial" w:eastAsia="Arial"/>
                <w:b w:val="0"/>
                <w:color w:val="1A1A1A"/>
                <w:sz w:val="15"/>
              </w:rPr>
              <w:t>Preferred for typical bents</w:t>
            </w:r>
          </w:p>
        </w:tc>
      </w:tr>
      <w:tr>
        <w:tc>
          <w:tcPr>
            <w:tcW w:type="dxa" w:w="2268"/>
            <w:vAlign w:val="center"/>
          </w:tcPr>
          <w:p>
            <w:pPr>
              <w:spacing w:after="0"/>
            </w:pPr>
            <w:r/>
            <w:r>
              <w:rPr>
                <w:rFonts w:ascii="Arial" w:hAnsi="Arial" w:eastAsia="Arial"/>
                <w:b w:val="0"/>
                <w:color w:val="1A1A1A"/>
                <w:sz w:val="15"/>
              </w:rPr>
              <w:t>Marine rope access</w:t>
            </w:r>
          </w:p>
        </w:tc>
        <w:tc>
          <w:tcPr>
            <w:tcW w:type="dxa" w:w="2835"/>
            <w:vAlign w:val="center"/>
          </w:tcPr>
          <w:p>
            <w:pPr>
              <w:spacing w:after="0"/>
            </w:pPr>
            <w:r/>
            <w:r>
              <w:rPr>
                <w:rFonts w:ascii="Arial" w:hAnsi="Arial" w:eastAsia="Arial"/>
                <w:b w:val="0"/>
                <w:color w:val="1A1A1A"/>
                <w:sz w:val="15"/>
              </w:rPr>
              <w:t>Boat-supported rope access for targeted work</w:t>
            </w:r>
          </w:p>
        </w:tc>
        <w:tc>
          <w:tcPr>
            <w:tcW w:type="dxa" w:w="2835"/>
            <w:vAlign w:val="center"/>
          </w:tcPr>
          <w:p>
            <w:pPr>
              <w:spacing w:after="0"/>
            </w:pPr>
            <w:r/>
            <w:r>
              <w:rPr>
                <w:rFonts w:ascii="Arial" w:hAnsi="Arial" w:eastAsia="Arial"/>
                <w:b w:val="0"/>
                <w:color w:val="1A1A1A"/>
                <w:sz w:val="15"/>
              </w:rPr>
              <w:t>Low mobilisation, flexible</w:t>
            </w:r>
          </w:p>
        </w:tc>
        <w:tc>
          <w:tcPr>
            <w:tcW w:type="dxa" w:w="3402"/>
            <w:vAlign w:val="center"/>
          </w:tcPr>
          <w:p>
            <w:pPr>
              <w:spacing w:after="0"/>
            </w:pPr>
            <w:r/>
            <w:r>
              <w:rPr>
                <w:rFonts w:ascii="Arial" w:hAnsi="Arial" w:eastAsia="Arial"/>
                <w:b w:val="0"/>
                <w:color w:val="1A1A1A"/>
                <w:sz w:val="15"/>
              </w:rPr>
              <w:t>Poor fit for heavy welding, blasting containment and high-volume coating</w:t>
            </w:r>
          </w:p>
        </w:tc>
        <w:tc>
          <w:tcPr>
            <w:tcW w:type="dxa" w:w="2268"/>
            <w:vAlign w:val="center"/>
          </w:tcPr>
          <w:p>
            <w:pPr>
              <w:spacing w:after="0"/>
            </w:pPr>
            <w:r/>
            <w:r>
              <w:rPr>
                <w:rFonts w:ascii="Arial" w:hAnsi="Arial" w:eastAsia="Arial"/>
                <w:b w:val="0"/>
                <w:color w:val="1A1A1A"/>
                <w:sz w:val="15"/>
              </w:rPr>
              <w:t>Supplementary</w:t>
            </w:r>
          </w:p>
        </w:tc>
      </w:tr>
      <w:tr>
        <w:tc>
          <w:tcPr>
            <w:tcW w:type="dxa" w:w="2268"/>
            <w:vAlign w:val="center"/>
          </w:tcPr>
          <w:p>
            <w:pPr>
              <w:spacing w:after="0"/>
            </w:pPr>
            <w:r/>
            <w:r>
              <w:rPr>
                <w:rFonts w:ascii="Arial" w:hAnsi="Arial" w:eastAsia="Arial"/>
                <w:b w:val="0"/>
                <w:color w:val="1A1A1A"/>
                <w:sz w:val="15"/>
              </w:rPr>
              <w:t>Hybrid</w:t>
            </w:r>
          </w:p>
        </w:tc>
        <w:tc>
          <w:tcPr>
            <w:tcW w:type="dxa" w:w="2835"/>
            <w:vAlign w:val="center"/>
          </w:tcPr>
          <w:p>
            <w:pPr>
              <w:spacing w:after="0"/>
            </w:pPr>
            <w:r/>
            <w:r>
              <w:rPr>
                <w:rFonts w:ascii="Arial" w:hAnsi="Arial" w:eastAsia="Arial"/>
                <w:b w:val="0"/>
                <w:color w:val="1A1A1A"/>
                <w:sz w:val="15"/>
              </w:rPr>
              <w:t>Preferred marine system for typical bents, conventional/rope/JUB methods for exceptions</w:t>
            </w:r>
          </w:p>
        </w:tc>
        <w:tc>
          <w:tcPr>
            <w:tcW w:type="dxa" w:w="2835"/>
            <w:vAlign w:val="center"/>
          </w:tcPr>
          <w:p>
            <w:pPr>
              <w:spacing w:after="0"/>
            </w:pPr>
            <w:r/>
            <w:r>
              <w:rPr>
                <w:rFonts w:ascii="Arial" w:hAnsi="Arial" w:eastAsia="Arial"/>
                <w:b w:val="0"/>
                <w:color w:val="1A1A1A"/>
                <w:sz w:val="15"/>
              </w:rPr>
              <w:t>Matches method to bent family</w:t>
            </w:r>
          </w:p>
        </w:tc>
        <w:tc>
          <w:tcPr>
            <w:tcW w:type="dxa" w:w="3402"/>
            <w:vAlign w:val="center"/>
          </w:tcPr>
          <w:p>
            <w:pPr>
              <w:spacing w:after="0"/>
            </w:pPr>
            <w:r/>
            <w:r>
              <w:rPr>
                <w:rFonts w:ascii="Arial" w:hAnsi="Arial" w:eastAsia="Arial"/>
                <w:b w:val="0"/>
                <w:color w:val="1A1A1A"/>
                <w:sz w:val="15"/>
              </w:rPr>
              <w:t>More interfaces and procurement packages</w:t>
            </w:r>
          </w:p>
        </w:tc>
        <w:tc>
          <w:tcPr>
            <w:tcW w:type="dxa" w:w="2268"/>
            <w:vAlign w:val="center"/>
          </w:tcPr>
          <w:p>
            <w:pPr>
              <w:spacing w:after="0"/>
            </w:pPr>
            <w:r/>
            <w:r>
              <w:rPr>
                <w:rFonts w:ascii="Arial" w:hAnsi="Arial" w:eastAsia="Arial"/>
                <w:b w:val="0"/>
                <w:color w:val="1A1A1A"/>
                <w:sz w:val="15"/>
              </w:rPr>
              <w:t>Preferred campaign basis</w:t>
            </w:r>
          </w:p>
        </w:tc>
      </w:tr>
    </w:tbl>
    <w:p>
      <w:pPr>
        <w:spacing w:after="0"/>
      </w:pPr>
    </w:p>
    <w:p>
      <w:pPr>
        <w:pStyle w:val="Heading2"/>
      </w:pPr>
      <w:r>
        <w:t>7.1 Multi-criteria result</w:t>
      </w:r>
    </w:p>
    <w:p>
      <w:r>
        <w:t>The concept-stage weighted assessment favours the hybrid campaign built around suspended floating platforms and JUB logistics for typical bents. The score is driven by productivity potential, roadway relief and tide independence above the waterline. Its score is reduced by temporary-works maturity, rescue complexity, cyclone recovery and low commercial certainty.</w:t>
      </w:r>
    </w:p>
    <w:p>
      <w:pPr>
        <w:jc w:val="center"/>
      </w:pPr>
      <w:r>
        <w:drawing>
          <wp:inline xmlns:a="http://schemas.openxmlformats.org/drawingml/2006/main" xmlns:pic="http://schemas.openxmlformats.org/drawingml/2006/picture">
            <wp:extent cx="6035040" cy="3352800"/>
            <wp:docPr id="2" name="Picture 2"/>
            <wp:cNvGraphicFramePr>
              <a:graphicFrameLocks noChangeAspect="1"/>
            </wp:cNvGraphicFramePr>
            <a:graphic>
              <a:graphicData uri="http://schemas.openxmlformats.org/drawingml/2006/picture">
                <pic:pic>
                  <pic:nvPicPr>
                    <pic:cNvPr id="0" name="fleet_rate_sensitivity.png"/>
                    <pic:cNvPicPr/>
                  </pic:nvPicPr>
                  <pic:blipFill>
                    <a:blip r:embed="rId12"/>
                    <a:stretch>
                      <a:fillRect/>
                    </a:stretch>
                  </pic:blipFill>
                  <pic:spPr>
                    <a:xfrm>
                      <a:off x="0" y="0"/>
                      <a:ext cx="6035040" cy="3352800"/>
                    </a:xfrm>
                    <a:prstGeom prst="rect"/>
                  </pic:spPr>
                </pic:pic>
              </a:graphicData>
            </a:graphic>
          </wp:inline>
        </w:drawing>
      </w:r>
    </w:p>
    <w:p>
      <w:pPr>
        <w:pStyle w:val="FigureCaption"/>
        <w:jc w:val="center"/>
      </w:pPr>
      <w:r>
        <w:t>Figure 2. Fleet-rate sensitivity. The curves exclude material unmodelled work and are diagnostic only.</w:t>
      </w:r>
    </w:p>
    <w:p>
      <w:pPr>
        <w:spacing w:before="0" w:after="120"/>
      </w:pPr>
      <w:r>
        <w:rPr>
          <w:rFonts w:ascii="Arial" w:hAnsi="Arial"/>
          <w:i/>
          <w:color w:val="646464"/>
          <w:sz w:val="16"/>
        </w:rPr>
        <w:t>Source basis: [S01], [S05], [S09]</w:t>
      </w:r>
    </w:p>
    <w:p>
      <w:pPr>
        <w:pStyle w:val="Heading1"/>
      </w:pPr>
      <w:r>
        <w:t>8. Preferred access and delivery concept</w:t>
      </w:r>
    </w:p>
    <w:p>
      <w:r>
        <w:t>The preferred reference concept uses reusable marine access plant rather than rebuilding temporary access at every typical bent. It is a concept for supplier development and proving. It is not a selected proprietary system or certified temporary works.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E87722"/>
            <w:vAlign w:val="center"/>
          </w:tcPr>
          <w:p>
            <w:pPr>
              <w:spacing w:after="0"/>
            </w:pPr>
            <w:r/>
            <w:r>
              <w:rPr>
                <w:rFonts w:ascii="Arial" w:hAnsi="Arial" w:eastAsia="Arial"/>
                <w:b/>
                <w:color w:val="FFFFFF"/>
                <w:sz w:val="16"/>
              </w:rPr>
              <w:t>Element</w:t>
            </w:r>
          </w:p>
        </w:tc>
        <w:tc>
          <w:tcPr>
            <w:tcW w:type="dxa" w:w="6803"/>
            <w:shd w:fill="E87722"/>
            <w:vAlign w:val="center"/>
          </w:tcPr>
          <w:p>
            <w:pPr>
              <w:spacing w:after="0"/>
            </w:pPr>
            <w:r/>
            <w:r>
              <w:rPr>
                <w:rFonts w:ascii="Arial" w:hAnsi="Arial" w:eastAsia="Arial"/>
                <w:b/>
                <w:color w:val="FFFFFF"/>
                <w:sz w:val="16"/>
              </w:rPr>
              <w:t>Function and current maturity</w:t>
            </w:r>
          </w:p>
        </w:tc>
      </w:tr>
      <w:tr>
        <w:tc>
          <w:tcPr>
            <w:tcW w:type="dxa" w:w="2835"/>
            <w:vAlign w:val="center"/>
          </w:tcPr>
          <w:p>
            <w:pPr>
              <w:spacing w:after="0"/>
            </w:pPr>
            <w:r/>
            <w:r>
              <w:rPr>
                <w:rFonts w:ascii="Arial" w:hAnsi="Arial" w:eastAsia="Arial"/>
                <w:b w:val="0"/>
                <w:color w:val="1A1A1A"/>
                <w:sz w:val="16"/>
              </w:rPr>
              <w:t>Main floating platforms</w:t>
            </w:r>
          </w:p>
        </w:tc>
        <w:tc>
          <w:tcPr>
            <w:tcW w:type="dxa" w:w="6803"/>
            <w:vAlign w:val="center"/>
          </w:tcPr>
          <w:p>
            <w:pPr>
              <w:spacing w:after="0"/>
            </w:pPr>
            <w:r/>
            <w:r>
              <w:rPr>
                <w:rFonts w:ascii="Arial" w:hAnsi="Arial" w:eastAsia="Arial"/>
                <w:b w:val="0"/>
                <w:color w:val="1A1A1A"/>
                <w:sz w:val="16"/>
              </w:rPr>
              <w:t>Two long modular aluminium platforms, one on each long face of the headstock. Each is buoyant for relocation and suspended clear of the water for normal work.</w:t>
            </w:r>
          </w:p>
        </w:tc>
      </w:tr>
      <w:tr>
        <w:tc>
          <w:tcPr>
            <w:tcW w:type="dxa" w:w="2835"/>
            <w:vAlign w:val="center"/>
          </w:tcPr>
          <w:p>
            <w:pPr>
              <w:spacing w:after="0"/>
            </w:pPr>
            <w:r/>
            <w:r>
              <w:rPr>
                <w:rFonts w:ascii="Arial" w:hAnsi="Arial" w:eastAsia="Arial"/>
                <w:b w:val="0"/>
                <w:color w:val="1A1A1A"/>
                <w:sz w:val="16"/>
              </w:rPr>
              <w:t>Travelling suspension</w:t>
            </w:r>
          </w:p>
        </w:tc>
        <w:tc>
          <w:tcPr>
            <w:tcW w:type="dxa" w:w="6803"/>
            <w:vAlign w:val="center"/>
          </w:tcPr>
          <w:p>
            <w:pPr>
              <w:spacing w:after="0"/>
            </w:pPr>
            <w:r/>
            <w:r>
              <w:rPr>
                <w:rFonts w:ascii="Arial" w:hAnsi="Arial" w:eastAsia="Arial"/>
                <w:b w:val="0"/>
                <w:color w:val="1A1A1A"/>
                <w:sz w:val="16"/>
              </w:rPr>
              <w:t>Winches or hoists connect through sliding or travelling points so the platform can move laterally as it descends alongside the 1:4 raked piles.</w:t>
            </w:r>
          </w:p>
        </w:tc>
      </w:tr>
      <w:tr>
        <w:tc>
          <w:tcPr>
            <w:tcW w:type="dxa" w:w="2835"/>
            <w:vAlign w:val="center"/>
          </w:tcPr>
          <w:p>
            <w:pPr>
              <w:spacing w:after="0"/>
            </w:pPr>
            <w:r/>
            <w:r>
              <w:rPr>
                <w:rFonts w:ascii="Arial" w:hAnsi="Arial" w:eastAsia="Arial"/>
                <w:b w:val="0"/>
                <w:color w:val="1A1A1A"/>
                <w:sz w:val="16"/>
              </w:rPr>
              <w:t>Traversing decks</w:t>
            </w:r>
          </w:p>
        </w:tc>
        <w:tc>
          <w:tcPr>
            <w:tcW w:type="dxa" w:w="6803"/>
            <w:vAlign w:val="center"/>
          </w:tcPr>
          <w:p>
            <w:pPr>
              <w:spacing w:after="0"/>
            </w:pPr>
            <w:r/>
            <w:r>
              <w:rPr>
                <w:rFonts w:ascii="Arial" w:hAnsi="Arial" w:eastAsia="Arial"/>
                <w:b w:val="0"/>
                <w:color w:val="1A1A1A"/>
                <w:sz w:val="16"/>
              </w:rPr>
              <w:t>Short access decks connect the two main platforms at the current pile positions and provide 360-degree access. Their load path, locking and relative-movement tolerance require temporary-works design.</w:t>
            </w:r>
          </w:p>
        </w:tc>
      </w:tr>
      <w:tr>
        <w:tc>
          <w:tcPr>
            <w:tcW w:type="dxa" w:w="2835"/>
            <w:vAlign w:val="center"/>
          </w:tcPr>
          <w:p>
            <w:pPr>
              <w:spacing w:after="0"/>
            </w:pPr>
            <w:r/>
            <w:r>
              <w:rPr>
                <w:rFonts w:ascii="Arial" w:hAnsi="Arial" w:eastAsia="Arial"/>
                <w:b w:val="0"/>
                <w:color w:val="1A1A1A"/>
                <w:sz w:val="16"/>
              </w:rPr>
              <w:t>Pile containment</w:t>
            </w:r>
          </w:p>
        </w:tc>
        <w:tc>
          <w:tcPr>
            <w:tcW w:type="dxa" w:w="6803"/>
            <w:vAlign w:val="center"/>
          </w:tcPr>
          <w:p>
            <w:pPr>
              <w:spacing w:after="0"/>
            </w:pPr>
            <w:r/>
            <w:r>
              <w:rPr>
                <w:rFonts w:ascii="Arial" w:hAnsi="Arial" w:eastAsia="Arial"/>
                <w:b w:val="0"/>
                <w:color w:val="1A1A1A"/>
                <w:sz w:val="16"/>
              </w:rPr>
              <w:t>Opposing half-shell containment units close around the active pile work zone and connect to extraction and recovery plant.</w:t>
            </w:r>
          </w:p>
        </w:tc>
      </w:tr>
      <w:tr>
        <w:tc>
          <w:tcPr>
            <w:tcW w:type="dxa" w:w="2835"/>
            <w:vAlign w:val="center"/>
          </w:tcPr>
          <w:p>
            <w:pPr>
              <w:spacing w:after="0"/>
            </w:pPr>
            <w:r/>
            <w:r>
              <w:rPr>
                <w:rFonts w:ascii="Arial" w:hAnsi="Arial" w:eastAsia="Arial"/>
                <w:b w:val="0"/>
                <w:color w:val="1A1A1A"/>
                <w:sz w:val="16"/>
              </w:rPr>
              <w:t>Headstock containment</w:t>
            </w:r>
          </w:p>
        </w:tc>
        <w:tc>
          <w:tcPr>
            <w:tcW w:type="dxa" w:w="6803"/>
            <w:vAlign w:val="center"/>
          </w:tcPr>
          <w:p>
            <w:pPr>
              <w:spacing w:after="0"/>
            </w:pPr>
            <w:r/>
            <w:r>
              <w:rPr>
                <w:rFonts w:ascii="Arial" w:hAnsi="Arial" w:eastAsia="Arial"/>
                <w:b w:val="0"/>
                <w:color w:val="1A1A1A"/>
                <w:sz w:val="16"/>
              </w:rPr>
              <w:t>A separate reusable enclosure is required for the headstock soffit, faces, ends, pile connections, gallery feet and keeper angles. This remains undeveloped.</w:t>
            </w:r>
          </w:p>
        </w:tc>
      </w:tr>
      <w:tr>
        <w:tc>
          <w:tcPr>
            <w:tcW w:type="dxa" w:w="2835"/>
            <w:vAlign w:val="center"/>
          </w:tcPr>
          <w:p>
            <w:pPr>
              <w:spacing w:after="0"/>
            </w:pPr>
            <w:r/>
            <w:r>
              <w:rPr>
                <w:rFonts w:ascii="Arial" w:hAnsi="Arial" w:eastAsia="Arial"/>
                <w:b w:val="0"/>
                <w:color w:val="1A1A1A"/>
                <w:sz w:val="16"/>
              </w:rPr>
              <w:t>Access towers</w:t>
            </w:r>
          </w:p>
        </w:tc>
        <w:tc>
          <w:tcPr>
            <w:tcW w:type="dxa" w:w="6803"/>
            <w:vAlign w:val="center"/>
          </w:tcPr>
          <w:p>
            <w:pPr>
              <w:spacing w:after="0"/>
            </w:pPr>
            <w:r/>
            <w:r>
              <w:rPr>
                <w:rFonts w:ascii="Arial" w:hAnsi="Arial" w:eastAsia="Arial"/>
                <w:b w:val="0"/>
                <w:color w:val="1A1A1A"/>
                <w:sz w:val="16"/>
              </w:rPr>
              <w:t>Prefabricated towers hang from the jetty edge to a safe upper platform landing and are moved by the JUB crane.</w:t>
            </w:r>
          </w:p>
        </w:tc>
      </w:tr>
      <w:tr>
        <w:tc>
          <w:tcPr>
            <w:tcW w:type="dxa" w:w="2835"/>
            <w:vAlign w:val="center"/>
          </w:tcPr>
          <w:p>
            <w:pPr>
              <w:spacing w:after="0"/>
            </w:pPr>
            <w:r/>
            <w:r>
              <w:rPr>
                <w:rFonts w:ascii="Arial" w:hAnsi="Arial" w:eastAsia="Arial"/>
                <w:b w:val="0"/>
                <w:color w:val="1A1A1A"/>
                <w:sz w:val="16"/>
              </w:rPr>
              <w:t>JUB / support base</w:t>
            </w:r>
          </w:p>
        </w:tc>
        <w:tc>
          <w:tcPr>
            <w:tcW w:type="dxa" w:w="6803"/>
            <w:vAlign w:val="center"/>
          </w:tcPr>
          <w:p>
            <w:pPr>
              <w:spacing w:after="0"/>
            </w:pPr>
            <w:r/>
            <w:r>
              <w:rPr>
                <w:rFonts w:ascii="Arial" w:hAnsi="Arial" w:eastAsia="Arial"/>
                <w:b w:val="0"/>
                <w:color w:val="1A1A1A"/>
                <w:sz w:val="16"/>
              </w:rPr>
              <w:t>The JUB is a services, welfare, storage, lifting and waste-handling base. It is not the main workface.</w:t>
            </w:r>
          </w:p>
        </w:tc>
      </w:tr>
      <w:tr>
        <w:tc>
          <w:tcPr>
            <w:tcW w:type="dxa" w:w="2835"/>
            <w:vAlign w:val="center"/>
          </w:tcPr>
          <w:p>
            <w:pPr>
              <w:spacing w:after="0"/>
            </w:pPr>
            <w:r/>
            <w:r>
              <w:rPr>
                <w:rFonts w:ascii="Arial" w:hAnsi="Arial" w:eastAsia="Arial"/>
                <w:b w:val="0"/>
                <w:color w:val="1A1A1A"/>
                <w:sz w:val="16"/>
              </w:rPr>
              <w:t>Workboat and rescue craft</w:t>
            </w:r>
          </w:p>
        </w:tc>
        <w:tc>
          <w:tcPr>
            <w:tcW w:type="dxa" w:w="6803"/>
            <w:vAlign w:val="center"/>
          </w:tcPr>
          <w:p>
            <w:pPr>
              <w:spacing w:after="0"/>
            </w:pPr>
            <w:r/>
            <w:r>
              <w:rPr>
                <w:rFonts w:ascii="Arial" w:hAnsi="Arial" w:eastAsia="Arial"/>
                <w:b w:val="0"/>
                <w:color w:val="1A1A1A"/>
                <w:sz w:val="16"/>
              </w:rPr>
              <w:t>A workboat positions and tows the platforms and supports logistics. Independent rescue coverage may require a separate craft.</w:t>
            </w:r>
          </w:p>
        </w:tc>
      </w:tr>
    </w:tbl>
    <w:p>
      <w:pPr>
        <w:spacing w:after="0"/>
      </w:pPr>
    </w:p>
    <w:p>
      <w:pPr>
        <w:jc w:val="center"/>
      </w:pPr>
      <w:r>
        <w:drawing>
          <wp:inline xmlns:a="http://schemas.openxmlformats.org/drawingml/2006/main" xmlns:pic="http://schemas.openxmlformats.org/drawingml/2006/picture">
            <wp:extent cx="6126480" cy="2693616"/>
            <wp:docPr id="3" name="Picture 3"/>
            <wp:cNvGraphicFramePr>
              <a:graphicFrameLocks noChangeAspect="1"/>
            </wp:cNvGraphicFramePr>
            <a:graphic>
              <a:graphicData uri="http://schemas.openxmlformats.org/drawingml/2006/picture">
                <pic:pic>
                  <pic:nvPicPr>
                    <pic:cNvPr id="0" name="Lucinda_Concept_Elevation_Plan_RevF.png"/>
                    <pic:cNvPicPr/>
                  </pic:nvPicPr>
                  <pic:blipFill>
                    <a:blip r:embed="rId13"/>
                    <a:stretch>
                      <a:fillRect/>
                    </a:stretch>
                  </pic:blipFill>
                  <pic:spPr>
                    <a:xfrm>
                      <a:off x="0" y="0"/>
                      <a:ext cx="6126480" cy="2693616"/>
                    </a:xfrm>
                    <a:prstGeom prst="rect"/>
                  </pic:spPr>
                </pic:pic>
              </a:graphicData>
            </a:graphic>
          </wp:inline>
        </w:drawing>
      </w:r>
    </w:p>
    <w:p>
      <w:pPr>
        <w:pStyle w:val="FigureCaption"/>
        <w:jc w:val="center"/>
      </w:pPr>
      <w:r>
        <w:t>Figure 3. Current reference plan/elevation concept. Concept only, not for construction.</w:t>
      </w:r>
    </w:p>
    <w:tbl>
      <w:tblPr>
        <w:tblW w:type="auto" w:w="0"/>
        <w:jc w:val="center"/>
        <w:tblLook w:firstColumn="1" w:firstRow="1" w:lastColumn="0" w:lastRow="0" w:noHBand="0" w:noVBand="1" w:val="04A0"/>
      </w:tblPr>
      <w:tblGrid>
        <w:gridCol w:w="3324"/>
        <w:gridCol w:w="3324"/>
        <w:gridCol w:w="3324"/>
      </w:tblGrid>
      <w:tr>
        <w:tc>
          <w:tcPr>
            <w:tcW w:type="dxa" w:w="3324"/>
          </w:tcPr>
          <w:p>
            <w:pPr>
              <w:jc w:val="center"/>
            </w:pPr>
            <w:r>
              <w:drawing>
                <wp:inline xmlns:a="http://schemas.openxmlformats.org/drawingml/2006/main" xmlns:pic="http://schemas.openxmlformats.org/drawingml/2006/picture">
                  <wp:extent cx="1874519" cy="1418162"/>
                  <wp:docPr id="4" name="Picture 4"/>
                  <wp:cNvGraphicFramePr>
                    <a:graphicFrameLocks noChangeAspect="1"/>
                  </wp:cNvGraphicFramePr>
                  <a:graphic>
                    <a:graphicData uri="http://schemas.openxmlformats.org/drawingml/2006/picture">
                      <pic:pic>
                        <pic:nvPicPr>
                          <pic:cNvPr id="0" name="GGC 1.png"/>
                          <pic:cNvPicPr/>
                        </pic:nvPicPr>
                        <pic:blipFill>
                          <a:blip r:embed="rId14"/>
                          <a:stretch>
                            <a:fillRect/>
                          </a:stretch>
                        </pic:blipFill>
                        <pic:spPr>
                          <a:xfrm>
                            <a:off x="0" y="0"/>
                            <a:ext cx="1874519" cy="1418162"/>
                          </a:xfrm>
                          <a:prstGeom prst="rect"/>
                        </pic:spPr>
                      </pic:pic>
                    </a:graphicData>
                  </a:graphic>
                </wp:inline>
              </w:drawing>
            </w:r>
          </w:p>
        </w:tc>
        <w:tc>
          <w:tcPr>
            <w:tcW w:type="dxa" w:w="3324"/>
          </w:tcPr>
          <w:p>
            <w:pPr>
              <w:jc w:val="center"/>
            </w:pPr>
            <w:r>
              <w:drawing>
                <wp:inline xmlns:a="http://schemas.openxmlformats.org/drawingml/2006/main" xmlns:pic="http://schemas.openxmlformats.org/drawingml/2006/picture">
                  <wp:extent cx="1874519" cy="1099038"/>
                  <wp:docPr id="5" name="Picture 5"/>
                  <wp:cNvGraphicFramePr>
                    <a:graphicFrameLocks noChangeAspect="1"/>
                  </wp:cNvGraphicFramePr>
                  <a:graphic>
                    <a:graphicData uri="http://schemas.openxmlformats.org/drawingml/2006/picture">
                      <pic:pic>
                        <pic:nvPicPr>
                          <pic:cNvPr id="0" name="GGC 2.png"/>
                          <pic:cNvPicPr/>
                        </pic:nvPicPr>
                        <pic:blipFill>
                          <a:blip r:embed="rId15"/>
                          <a:stretch>
                            <a:fillRect/>
                          </a:stretch>
                        </pic:blipFill>
                        <pic:spPr>
                          <a:xfrm>
                            <a:off x="0" y="0"/>
                            <a:ext cx="1874519" cy="1099038"/>
                          </a:xfrm>
                          <a:prstGeom prst="rect"/>
                        </pic:spPr>
                      </pic:pic>
                    </a:graphicData>
                  </a:graphic>
                </wp:inline>
              </w:drawing>
            </w:r>
          </w:p>
        </w:tc>
        <w:tc>
          <w:tcPr>
            <w:tcW w:type="dxa" w:w="3324"/>
          </w:tcPr>
          <w:p>
            <w:pPr>
              <w:jc w:val="center"/>
            </w:pPr>
            <w:r>
              <w:drawing>
                <wp:inline xmlns:a="http://schemas.openxmlformats.org/drawingml/2006/main" xmlns:pic="http://schemas.openxmlformats.org/drawingml/2006/picture">
                  <wp:extent cx="1874519" cy="905868"/>
                  <wp:docPr id="6" name="Picture 6"/>
                  <wp:cNvGraphicFramePr>
                    <a:graphicFrameLocks noChangeAspect="1"/>
                  </wp:cNvGraphicFramePr>
                  <a:graphic>
                    <a:graphicData uri="http://schemas.openxmlformats.org/drawingml/2006/picture">
                      <pic:pic>
                        <pic:nvPicPr>
                          <pic:cNvPr id="0" name="GGC 3.png"/>
                          <pic:cNvPicPr/>
                        </pic:nvPicPr>
                        <pic:blipFill>
                          <a:blip r:embed="rId16"/>
                          <a:stretch>
                            <a:fillRect/>
                          </a:stretch>
                        </pic:blipFill>
                        <pic:spPr>
                          <a:xfrm>
                            <a:off x="0" y="0"/>
                            <a:ext cx="1874519" cy="905868"/>
                          </a:xfrm>
                          <a:prstGeom prst="rect"/>
                        </pic:spPr>
                      </pic:pic>
                    </a:graphicData>
                  </a:graphic>
                </wp:inline>
              </w:drawing>
            </w:r>
          </w:p>
        </w:tc>
      </w:tr>
    </w:tbl>
    <w:p>
      <w:pPr>
        <w:pStyle w:val="FigureCaption"/>
        <w:jc w:val="center"/>
      </w:pPr>
      <w:r>
        <w:t>Figure 4. GGC precedent images supplied for concept development. These images do not certify the proposed Lucinda configuration or rate.</w:t>
      </w:r>
    </w:p>
    <w:p>
      <w:pPr>
        <w:spacing w:before="0" w:after="120"/>
      </w:pPr>
      <w:r>
        <w:rPr>
          <w:rFonts w:ascii="Arial" w:hAnsi="Arial"/>
          <w:i/>
          <w:color w:val="646464"/>
          <w:sz w:val="16"/>
        </w:rPr>
        <w:t>Source basis: [S07], [S09]</w:t>
      </w:r>
    </w:p>
    <w:p>
      <w:r>
        <w:br w:type="page"/>
      </w:r>
    </w:p>
    <w:p>
      <w:pPr>
        <w:pStyle w:val="Heading1"/>
      </w:pPr>
      <w:r>
        <w:t>9. Detailed execution methodology</w:t>
      </w:r>
    </w:p>
    <w:p>
      <w:pPr>
        <w:pStyle w:val="Heading2"/>
      </w:pPr>
      <w:r>
        <w:t>9.1 Mobilisation, assembly and proving</w:t>
      </w:r>
    </w:p>
    <w:p>
      <w:pPr>
        <w:pStyle w:val="ListNumber"/>
        <w:spacing w:after="40"/>
      </w:pPr>
      <w:r>
        <w:t>Complete supplier selection, temporary-works design, mass and centre-of-gravity schedule, lifting/hoist design, containment design, access/rescue design and independent check.</w:t>
      </w:r>
    </w:p>
    <w:p>
      <w:pPr>
        <w:pStyle w:val="ListNumber"/>
        <w:spacing w:after="40"/>
      </w:pPr>
      <w:r>
        <w:t>Establish an onshore or barge-based assembly area. Assemble each platform set, winches, rails, traversing decks, handrails, containment interfaces, service connections and emergency systems.</w:t>
      </w:r>
    </w:p>
    <w:p>
      <w:pPr>
        <w:pStyle w:val="ListNumber"/>
        <w:spacing w:after="40"/>
      </w:pPr>
      <w:r>
        <w:t>Complete factory acceptance, inspection, functional testing and proof loading before the set approaches the jetty.</w:t>
      </w:r>
    </w:p>
    <w:p>
      <w:pPr>
        <w:pStyle w:val="ListNumber"/>
        <w:spacing w:after="40"/>
      </w:pPr>
      <w:r>
        <w:t>Mobilise the JUB, workboat, rescue craft, utilities, waste system, accommodation and spares.</w:t>
      </w:r>
    </w:p>
    <w:p>
      <w:pPr>
        <w:pStyle w:val="ListNumber"/>
        <w:spacing w:after="40"/>
      </w:pPr>
      <w:r>
        <w:t>Undertake a proving campaign on representative typical bents. Record every activity, delay, quantity, acceptance result and fault before freezing the production model.</w:t>
      </w:r>
    </w:p>
    <w:p>
      <w:pPr>
        <w:pStyle w:val="Heading2"/>
      </w:pPr>
      <w:r>
        <w:t>9.2 Advance preparation at the next bent</w:t>
      </w:r>
    </w:p>
    <w:p>
      <w:pPr>
        <w:pStyle w:val="ListNumber"/>
        <w:spacing w:after="40"/>
      </w:pPr>
      <w:r>
        <w:t>Verify the bent identity, family, remaining scope and structural condition.</w:t>
      </w:r>
    </w:p>
    <w:p>
      <w:pPr>
        <w:pStyle w:val="ListNumber"/>
        <w:spacing w:after="40"/>
      </w:pPr>
      <w:r>
        <w:t>Install the engineered suspension and lateral-travel interfaces. Inspect and proof test in accordance with the temporary-works design.</w:t>
      </w:r>
    </w:p>
    <w:p>
      <w:pPr>
        <w:pStyle w:val="ListNumber"/>
        <w:spacing w:after="40"/>
      </w:pPr>
      <w:r>
        <w:t>Confirm that the access-tower position, platform envelope, JUB crane reach, service routing and rescue routes are clear.</w:t>
      </w:r>
    </w:p>
    <w:p>
      <w:pPr>
        <w:pStyle w:val="ListNumber"/>
        <w:spacing w:after="40"/>
      </w:pPr>
      <w:r>
        <w:t>Pre-stage the next bent while the current bent remains in production, subject to SIMOPS separation and the available rigging crew.</w:t>
      </w:r>
    </w:p>
    <w:p>
      <w:pPr>
        <w:pStyle w:val="Heading2"/>
      </w:pPr>
      <w:r>
        <w:t>9.3 Platform relocation and establishment</w:t>
      </w:r>
    </w:p>
    <w:p>
      <w:pPr>
        <w:pStyle w:val="ListNumber"/>
        <w:spacing w:after="40"/>
      </w:pPr>
      <w:r>
        <w:t>Secure containment, traversing decks, tools and services. Lower the completed platform pair under coordinated control until buoyancy supports the move.</w:t>
      </w:r>
    </w:p>
    <w:p>
      <w:pPr>
        <w:pStyle w:val="ListNumber"/>
        <w:spacing w:after="40"/>
      </w:pPr>
      <w:r>
        <w:t>Disconnect or transfer the suspension arrangement in accordance with the approved procedure.</w:t>
      </w:r>
    </w:p>
    <w:p>
      <w:pPr>
        <w:pStyle w:val="ListNumber"/>
        <w:spacing w:after="40"/>
      </w:pPr>
      <w:r>
        <w:t>Tow the platform pair to the next bent within the approved approach and tow limits.</w:t>
      </w:r>
    </w:p>
    <w:p>
      <w:pPr>
        <w:pStyle w:val="ListNumber"/>
        <w:spacing w:after="40"/>
      </w:pPr>
      <w:r>
        <w:t>Position, connect, winch to the first working level, level and restrain the platforms.</w:t>
      </w:r>
    </w:p>
    <w:p>
      <w:pPr>
        <w:pStyle w:val="ListNumber"/>
        <w:spacing w:after="40"/>
      </w:pPr>
      <w:r>
        <w:t>Move and secure the access tower. Install traversing decks and connect power, compressed air, breathing air, extraction, wash water, communications and emergency systems.</w:t>
      </w:r>
    </w:p>
    <w:p>
      <w:pPr>
        <w:pStyle w:val="ListNumber"/>
        <w:spacing w:after="40"/>
      </w:pPr>
      <w:r>
        <w:t>Complete a pre-use inspection and confirm normal access, secondary recovery, emergency lowering and rescue coverage before personnel enter.</w:t>
      </w:r>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Cycle basis</w:t>
            </w:r>
          </w:p>
        </w:tc>
        <w:tc>
          <w:tcPr>
            <w:tcW w:type="dxa" w:w="4986"/>
            <w:shd w:fill="FAF7F1"/>
            <w:vAlign w:val="center"/>
          </w:tcPr>
          <w:p>
            <w:pPr>
              <w:spacing w:after="0"/>
            </w:pPr>
            <w:r/>
            <w:r>
              <w:rPr>
                <w:rFonts w:ascii="Arial" w:hAnsi="Arial" w:eastAsia="Arial"/>
                <w:b w:val="0"/>
                <w:color w:val="1A1A1A"/>
                <w:sz w:val="17"/>
              </w:rPr>
              <w:t>The current model allows approximately 11 hours for the complete advance-rigging share and relocation package. That value is an unverified working allowance and must be replaced by measured proving data.</w:t>
            </w:r>
          </w:p>
        </w:tc>
      </w:tr>
    </w:tbl>
    <w:p>
      <w:pPr>
        <w:spacing w:after="0"/>
      </w:pPr>
    </w:p>
    <w:p>
      <w:pPr>
        <w:pStyle w:val="Heading2"/>
      </w:pPr>
      <w:r>
        <w:t>9.4 Bent diagnostic phase and repair approval</w:t>
      </w:r>
    </w:p>
    <w:p>
      <w:pPr>
        <w:pStyle w:val="ListNumber"/>
        <w:spacing w:after="40"/>
      </w:pPr>
      <w:r>
        <w:t>Remove existing wrapping where required, wash the work zone and complete initial visual inspection and UT.</w:t>
      </w:r>
    </w:p>
    <w:p>
      <w:pPr>
        <w:pStyle w:val="ListNumber"/>
        <w:spacing w:after="40"/>
      </w:pPr>
      <w:r>
        <w:t>Close the pile half-shell containment and diagnostically blast the upper bands of both piles. The two typical pile bands are approximately 27 to 29 m².</w:t>
      </w:r>
    </w:p>
    <w:p>
      <w:pPr>
        <w:pStyle w:val="ListNumber"/>
        <w:spacing w:after="40"/>
      </w:pPr>
      <w:r>
        <w:t>Use the headstock containment arrangement to expose the headstock work zones. This method and duration remain open.</w:t>
      </w:r>
    </w:p>
    <w:p>
      <w:pPr>
        <w:pStyle w:val="ListNumber"/>
        <w:spacing w:after="40"/>
      </w:pPr>
      <w:r>
        <w:t>Open the containment, mark all defects on exposed steel and compile one bent-level repair package covering both piles and the headstock.</w:t>
      </w:r>
    </w:p>
    <w:p>
      <w:pPr>
        <w:pStyle w:val="ListNumber"/>
        <w:spacing w:after="40"/>
      </w:pPr>
      <w:r>
        <w:t>Submit the repair package for review. The current model carries one three-shift hold while the access set remains attached.</w:t>
      </w:r>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Approval gate</w:t>
            </w:r>
          </w:p>
        </w:tc>
        <w:tc>
          <w:tcPr>
            <w:tcW w:type="dxa" w:w="4986"/>
            <w:shd w:fill="FAF7F1"/>
            <w:vAlign w:val="center"/>
          </w:tcPr>
          <w:p>
            <w:pPr>
              <w:spacing w:after="0"/>
            </w:pPr>
            <w:r/>
            <w:r>
              <w:rPr>
                <w:rFonts w:ascii="Arial" w:hAnsi="Arial" w:eastAsia="Arial"/>
                <w:b w:val="0"/>
                <w:color w:val="1A1A1A"/>
                <w:sz w:val="17"/>
              </w:rPr>
              <w:t>The one bent-level submission is a proposed programme strategy, not a confirmed project fact. If the reviewing engineer requires separate pile or headstock approvals, the additional access occupancy must be added to the model.</w:t>
            </w:r>
          </w:p>
        </w:tc>
      </w:tr>
    </w:tbl>
    <w:p>
      <w:pPr>
        <w:spacing w:after="0"/>
      </w:pPr>
    </w:p>
    <w:p>
      <w:pPr>
        <w:pStyle w:val="Heading2"/>
      </w:pPr>
      <w:r>
        <w:t>9.5 Repair and finish sequence</w:t>
      </w:r>
    </w:p>
    <w:p>
      <w:r>
        <w:t>After approval, the work proceeds pile by pile while the main platforms remain at the headstock.</w:t>
      </w:r>
    </w:p>
    <w:p>
      <w:pPr>
        <w:pStyle w:val="ListNumber"/>
        <w:spacing w:after="40"/>
      </w:pPr>
      <w:r>
        <w:t>Prepare, fit and weld the approved repair plates on pile 1 and the associated connection zone. Complete NDT, rectification and acceptance.</w:t>
      </w:r>
    </w:p>
    <w:p>
      <w:pPr>
        <w:pStyle w:val="ListNumber"/>
        <w:spacing w:after="40"/>
      </w:pPr>
      <w:r>
        <w:t>Complete post-weld local surface preparation and preservation to the accepted coating hold point.</w:t>
      </w:r>
    </w:p>
    <w:p>
      <w:pPr>
        <w:pStyle w:val="ListNumber"/>
        <w:spacing w:after="40"/>
      </w:pPr>
      <w:r>
        <w:t>Close the containment and apply the coating system, including first coat within the specified preparation window, stripe coats, wash and thorough drying where required, recoat verification, second coat, DFT and QA.</w:t>
      </w:r>
    </w:p>
    <w:p>
      <w:pPr>
        <w:pStyle w:val="ListNumber"/>
        <w:spacing w:after="40"/>
      </w:pPr>
      <w:r>
        <w:t>Lower/reposition the platforms and traversing decks to install the petrolatum jacket on pile 1. The below-LAT component remains a separate method gate.</w:t>
      </w:r>
    </w:p>
    <w:p>
      <w:pPr>
        <w:pStyle w:val="ListNumber"/>
        <w:spacing w:after="40"/>
      </w:pPr>
      <w:r>
        <w:t>Protect the completed pile from hot work, abrasive and coating operations on pile 2. Reinspect before final closeout.</w:t>
      </w:r>
    </w:p>
    <w:p>
      <w:pPr>
        <w:pStyle w:val="ListNumber"/>
        <w:spacing w:after="40"/>
      </w:pPr>
      <w:r>
        <w:t>Repeat the accepted repair, preparation, coating and jacket sequence on pile 2.</w:t>
      </w:r>
    </w:p>
    <w:p>
      <w:pPr>
        <w:pStyle w:val="ListNumber"/>
        <w:spacing w:after="40"/>
      </w:pPr>
      <w:r>
        <w:t>Complete headstock repair and coating work using the accepted headstock containment arrangement.</w:t>
      </w:r>
    </w:p>
    <w:p>
      <w:pPr>
        <w:pStyle w:val="ListNumber"/>
        <w:spacing w:after="40"/>
      </w:pPr>
      <w:r>
        <w:t>Close all weld, NDT, coating, jacket, environmental, waste and digital QA records. A bent counts as complete only after full QA release.</w:t>
      </w:r>
    </w:p>
    <w:p>
      <w:pPr>
        <w:pStyle w:val="Heading2"/>
      </w:pPr>
      <w:r>
        <w:t>9.6 Leapfrog logic</w:t>
      </w:r>
    </w:p>
    <w:p>
      <w:r>
        <w:t>Two complete access sets form one basic leapfrog pair. One set can be in repair while the second is in coating, jacket or closeout. When the trailing bent is accepted, that set moves ahead. The full campaign fleet may comprise several pairs or additional sets. It is determined by the completed line-of-balance model, not by the two-set illustration.</w:t>
      </w:r>
    </w:p>
    <w:p>
      <w:pPr>
        <w:spacing w:before="0" w:after="120"/>
      </w:pPr>
      <w:r>
        <w:rPr>
          <w:rFonts w:ascii="Arial" w:hAnsi="Arial"/>
          <w:i/>
          <w:color w:val="646464"/>
          <w:sz w:val="16"/>
        </w:rPr>
        <w:t>Source basis: [S07], [S09]</w:t>
      </w:r>
    </w:p>
    <w:p>
      <w:pPr>
        <w:pStyle w:val="Heading1"/>
      </w:pPr>
      <w:r>
        <w:t>10. Marine logistics, access and workfront support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E87722"/>
            <w:vAlign w:val="center"/>
          </w:tcPr>
          <w:p>
            <w:pPr>
              <w:spacing w:after="0"/>
            </w:pPr>
            <w:r/>
            <w:r>
              <w:rPr>
                <w:rFonts w:ascii="Arial" w:hAnsi="Arial" w:eastAsia="Arial"/>
                <w:b/>
                <w:color w:val="FFFFFF"/>
                <w:sz w:val="16"/>
              </w:rPr>
              <w:t>Interface</w:t>
            </w:r>
          </w:p>
        </w:tc>
        <w:tc>
          <w:tcPr>
            <w:tcW w:type="dxa" w:w="4535"/>
            <w:shd w:fill="E87722"/>
            <w:vAlign w:val="center"/>
          </w:tcPr>
          <w:p>
            <w:pPr>
              <w:spacing w:after="0"/>
            </w:pPr>
            <w:r/>
            <w:r>
              <w:rPr>
                <w:rFonts w:ascii="Arial" w:hAnsi="Arial" w:eastAsia="Arial"/>
                <w:b/>
                <w:color w:val="FFFFFF"/>
                <w:sz w:val="16"/>
              </w:rPr>
              <w:t>Proposed arrangement</w:t>
            </w:r>
          </w:p>
        </w:tc>
        <w:tc>
          <w:tcPr>
            <w:tcW w:type="dxa" w:w="3969"/>
            <w:shd w:fill="E87722"/>
            <w:vAlign w:val="center"/>
          </w:tcPr>
          <w:p>
            <w:pPr>
              <w:spacing w:after="0"/>
            </w:pPr>
            <w:r/>
            <w:r>
              <w:rPr>
                <w:rFonts w:ascii="Arial" w:hAnsi="Arial" w:eastAsia="Arial"/>
                <w:b/>
                <w:color w:val="FFFFFF"/>
                <w:sz w:val="16"/>
              </w:rPr>
              <w:t>Open verification</w:t>
            </w:r>
          </w:p>
        </w:tc>
      </w:tr>
      <w:tr>
        <w:tc>
          <w:tcPr>
            <w:tcW w:type="dxa" w:w="2268"/>
            <w:vAlign w:val="center"/>
          </w:tcPr>
          <w:p>
            <w:pPr>
              <w:spacing w:after="0"/>
            </w:pPr>
            <w:r/>
            <w:r>
              <w:rPr>
                <w:rFonts w:ascii="Arial" w:hAnsi="Arial" w:eastAsia="Arial"/>
                <w:b w:val="0"/>
                <w:color w:val="1A1A1A"/>
                <w:sz w:val="16"/>
              </w:rPr>
              <w:t>Personnel</w:t>
            </w:r>
          </w:p>
        </w:tc>
        <w:tc>
          <w:tcPr>
            <w:tcW w:type="dxa" w:w="4535"/>
            <w:vAlign w:val="center"/>
          </w:tcPr>
          <w:p>
            <w:pPr>
              <w:spacing w:after="0"/>
            </w:pPr>
            <w:r/>
            <w:r>
              <w:rPr>
                <w:rFonts w:ascii="Arial" w:hAnsi="Arial" w:eastAsia="Arial"/>
                <w:b w:val="0"/>
                <w:color w:val="1A1A1A"/>
                <w:sz w:val="16"/>
              </w:rPr>
              <w:t>Daily minibus along roadway; access tower to platform; walk-to-work link to JUB where applicable</w:t>
            </w:r>
          </w:p>
        </w:tc>
        <w:tc>
          <w:tcPr>
            <w:tcW w:type="dxa" w:w="3969"/>
            <w:vAlign w:val="center"/>
          </w:tcPr>
          <w:p>
            <w:pPr>
              <w:spacing w:after="0"/>
            </w:pPr>
            <w:r/>
            <w:r>
              <w:rPr>
                <w:rFonts w:ascii="Arial" w:hAnsi="Arial" w:eastAsia="Arial"/>
                <w:b w:val="0"/>
                <w:color w:val="1A1A1A"/>
                <w:sz w:val="16"/>
              </w:rPr>
              <w:t>Roadway controls, tower geometry and two independent recovery routes</w:t>
            </w:r>
          </w:p>
        </w:tc>
      </w:tr>
      <w:tr>
        <w:tc>
          <w:tcPr>
            <w:tcW w:type="dxa" w:w="2268"/>
            <w:vAlign w:val="center"/>
          </w:tcPr>
          <w:p>
            <w:pPr>
              <w:spacing w:after="0"/>
            </w:pPr>
            <w:r/>
            <w:r>
              <w:rPr>
                <w:rFonts w:ascii="Arial" w:hAnsi="Arial" w:eastAsia="Arial"/>
                <w:b w:val="0"/>
                <w:color w:val="1A1A1A"/>
                <w:sz w:val="16"/>
              </w:rPr>
              <w:t>Materials</w:t>
            </w:r>
          </w:p>
        </w:tc>
        <w:tc>
          <w:tcPr>
            <w:tcW w:type="dxa" w:w="4535"/>
            <w:vAlign w:val="center"/>
          </w:tcPr>
          <w:p>
            <w:pPr>
              <w:spacing w:after="0"/>
            </w:pPr>
            <w:r/>
            <w:r>
              <w:rPr>
                <w:rFonts w:ascii="Arial" w:hAnsi="Arial" w:eastAsia="Arial"/>
                <w:b w:val="0"/>
                <w:color w:val="1A1A1A"/>
                <w:sz w:val="16"/>
              </w:rPr>
              <w:t>Delivered to JUB and workfront by water</w:t>
            </w:r>
          </w:p>
        </w:tc>
        <w:tc>
          <w:tcPr>
            <w:tcW w:type="dxa" w:w="3969"/>
            <w:vAlign w:val="center"/>
          </w:tcPr>
          <w:p>
            <w:pPr>
              <w:spacing w:after="0"/>
            </w:pPr>
            <w:r/>
            <w:r>
              <w:rPr>
                <w:rFonts w:ascii="Arial" w:hAnsi="Arial" w:eastAsia="Arial"/>
                <w:b w:val="0"/>
                <w:color w:val="1A1A1A"/>
                <w:sz w:val="16"/>
              </w:rPr>
              <w:t>Vessel capacity, lifting plan and storage limits</w:t>
            </w:r>
          </w:p>
        </w:tc>
      </w:tr>
      <w:tr>
        <w:tc>
          <w:tcPr>
            <w:tcW w:type="dxa" w:w="2268"/>
            <w:vAlign w:val="center"/>
          </w:tcPr>
          <w:p>
            <w:pPr>
              <w:spacing w:after="0"/>
            </w:pPr>
            <w:r/>
            <w:r>
              <w:rPr>
                <w:rFonts w:ascii="Arial" w:hAnsi="Arial" w:eastAsia="Arial"/>
                <w:b w:val="0"/>
                <w:color w:val="1A1A1A"/>
                <w:sz w:val="16"/>
              </w:rPr>
              <w:t>Services</w:t>
            </w:r>
          </w:p>
        </w:tc>
        <w:tc>
          <w:tcPr>
            <w:tcW w:type="dxa" w:w="4535"/>
            <w:vAlign w:val="center"/>
          </w:tcPr>
          <w:p>
            <w:pPr>
              <w:spacing w:after="0"/>
            </w:pPr>
            <w:r/>
            <w:r>
              <w:rPr>
                <w:rFonts w:ascii="Arial" w:hAnsi="Arial" w:eastAsia="Arial"/>
                <w:b w:val="0"/>
                <w:color w:val="1A1A1A"/>
                <w:sz w:val="16"/>
              </w:rPr>
              <w:t>JUB-based power, compressors, breathing air, wash water and extraction</w:t>
            </w:r>
          </w:p>
        </w:tc>
        <w:tc>
          <w:tcPr>
            <w:tcW w:type="dxa" w:w="3969"/>
            <w:vAlign w:val="center"/>
          </w:tcPr>
          <w:p>
            <w:pPr>
              <w:spacing w:after="0"/>
            </w:pPr>
            <w:r/>
            <w:r>
              <w:rPr>
                <w:rFonts w:ascii="Arial" w:hAnsi="Arial" w:eastAsia="Arial"/>
                <w:b w:val="0"/>
                <w:color w:val="1A1A1A"/>
                <w:sz w:val="16"/>
              </w:rPr>
              <w:t>Umbilical routing, snag protection and emergency disconnect</w:t>
            </w:r>
          </w:p>
        </w:tc>
      </w:tr>
      <w:tr>
        <w:tc>
          <w:tcPr>
            <w:tcW w:type="dxa" w:w="2268"/>
            <w:vAlign w:val="center"/>
          </w:tcPr>
          <w:p>
            <w:pPr>
              <w:spacing w:after="0"/>
            </w:pPr>
            <w:r/>
            <w:r>
              <w:rPr>
                <w:rFonts w:ascii="Arial" w:hAnsi="Arial" w:eastAsia="Arial"/>
                <w:b w:val="0"/>
                <w:color w:val="1A1A1A"/>
                <w:sz w:val="16"/>
              </w:rPr>
              <w:t>Waste</w:t>
            </w:r>
          </w:p>
        </w:tc>
        <w:tc>
          <w:tcPr>
            <w:tcW w:type="dxa" w:w="4535"/>
            <w:vAlign w:val="center"/>
          </w:tcPr>
          <w:p>
            <w:pPr>
              <w:spacing w:after="0"/>
            </w:pPr>
            <w:r/>
            <w:r>
              <w:rPr>
                <w:rFonts w:ascii="Arial" w:hAnsi="Arial" w:eastAsia="Arial"/>
                <w:b w:val="0"/>
                <w:color w:val="1A1A1A"/>
                <w:sz w:val="16"/>
              </w:rPr>
              <w:t>Vacuum/recovery to sealed containers on JUB; classified offsite disposal</w:t>
            </w:r>
          </w:p>
        </w:tc>
        <w:tc>
          <w:tcPr>
            <w:tcW w:type="dxa" w:w="3969"/>
            <w:vAlign w:val="center"/>
          </w:tcPr>
          <w:p>
            <w:pPr>
              <w:spacing w:after="0"/>
            </w:pPr>
            <w:r/>
            <w:r>
              <w:rPr>
                <w:rFonts w:ascii="Arial" w:hAnsi="Arial" w:eastAsia="Arial"/>
                <w:b w:val="0"/>
                <w:color w:val="1A1A1A"/>
                <w:sz w:val="16"/>
              </w:rPr>
              <w:t>Mass balance, dangerous-goods and waste contractor acceptance</w:t>
            </w:r>
          </w:p>
        </w:tc>
      </w:tr>
      <w:tr>
        <w:tc>
          <w:tcPr>
            <w:tcW w:type="dxa" w:w="2268"/>
            <w:vAlign w:val="center"/>
          </w:tcPr>
          <w:p>
            <w:pPr>
              <w:spacing w:after="0"/>
            </w:pPr>
            <w:r/>
            <w:r>
              <w:rPr>
                <w:rFonts w:ascii="Arial" w:hAnsi="Arial" w:eastAsia="Arial"/>
                <w:b w:val="0"/>
                <w:color w:val="1A1A1A"/>
                <w:sz w:val="16"/>
              </w:rPr>
              <w:t>Platform moves</w:t>
            </w:r>
          </w:p>
        </w:tc>
        <w:tc>
          <w:tcPr>
            <w:tcW w:type="dxa" w:w="4535"/>
            <w:vAlign w:val="center"/>
          </w:tcPr>
          <w:p>
            <w:pPr>
              <w:spacing w:after="0"/>
            </w:pPr>
            <w:r/>
            <w:r>
              <w:rPr>
                <w:rFonts w:ascii="Arial" w:hAnsi="Arial" w:eastAsia="Arial"/>
                <w:b w:val="0"/>
                <w:color w:val="1A1A1A"/>
                <w:sz w:val="16"/>
              </w:rPr>
              <w:t>Workboat tow with coordinated suspension transfer</w:t>
            </w:r>
          </w:p>
        </w:tc>
        <w:tc>
          <w:tcPr>
            <w:tcW w:type="dxa" w:w="3969"/>
            <w:vAlign w:val="center"/>
          </w:tcPr>
          <w:p>
            <w:pPr>
              <w:spacing w:after="0"/>
            </w:pPr>
            <w:r/>
            <w:r>
              <w:rPr>
                <w:rFonts w:ascii="Arial" w:hAnsi="Arial" w:eastAsia="Arial"/>
                <w:b w:val="0"/>
                <w:color w:val="1A1A1A"/>
                <w:sz w:val="16"/>
              </w:rPr>
              <w:t>Tow/approach sea state, mooring and collision controls</w:t>
            </w:r>
          </w:p>
        </w:tc>
      </w:tr>
      <w:tr>
        <w:tc>
          <w:tcPr>
            <w:tcW w:type="dxa" w:w="2268"/>
            <w:vAlign w:val="center"/>
          </w:tcPr>
          <w:p>
            <w:pPr>
              <w:spacing w:after="0"/>
            </w:pPr>
            <w:r/>
            <w:r>
              <w:rPr>
                <w:rFonts w:ascii="Arial" w:hAnsi="Arial" w:eastAsia="Arial"/>
                <w:b w:val="0"/>
                <w:color w:val="1A1A1A"/>
                <w:sz w:val="16"/>
              </w:rPr>
              <w:t>JUB moves</w:t>
            </w:r>
          </w:p>
        </w:tc>
        <w:tc>
          <w:tcPr>
            <w:tcW w:type="dxa" w:w="4535"/>
            <w:vAlign w:val="center"/>
          </w:tcPr>
          <w:p>
            <w:pPr>
              <w:spacing w:after="0"/>
            </w:pPr>
            <w:r/>
            <w:r>
              <w:rPr>
                <w:rFonts w:ascii="Arial" w:hAnsi="Arial" w:eastAsia="Arial"/>
                <w:b w:val="0"/>
                <w:color w:val="1A1A1A"/>
                <w:sz w:val="16"/>
              </w:rPr>
              <w:t>Reposition after the available reach is exhausted</w:t>
            </w:r>
          </w:p>
        </w:tc>
        <w:tc>
          <w:tcPr>
            <w:tcW w:type="dxa" w:w="3969"/>
            <w:vAlign w:val="center"/>
          </w:tcPr>
          <w:p>
            <w:pPr>
              <w:spacing w:after="0"/>
            </w:pPr>
            <w:r/>
            <w:r>
              <w:rPr>
                <w:rFonts w:ascii="Arial" w:hAnsi="Arial" w:eastAsia="Arial"/>
                <w:b w:val="0"/>
                <w:color w:val="1A1A1A"/>
                <w:sz w:val="16"/>
              </w:rPr>
              <w:t>Bathymetry, leg penetration, crane coverage and move duration</w:t>
            </w:r>
          </w:p>
        </w:tc>
      </w:tr>
      <w:tr>
        <w:tc>
          <w:tcPr>
            <w:tcW w:type="dxa" w:w="2268"/>
            <w:vAlign w:val="center"/>
          </w:tcPr>
          <w:p>
            <w:pPr>
              <w:spacing w:after="0"/>
            </w:pPr>
            <w:r/>
            <w:r>
              <w:rPr>
                <w:rFonts w:ascii="Arial" w:hAnsi="Arial" w:eastAsia="Arial"/>
                <w:b w:val="0"/>
                <w:color w:val="1A1A1A"/>
                <w:sz w:val="16"/>
              </w:rPr>
              <w:t>Rescue</w:t>
            </w:r>
          </w:p>
        </w:tc>
        <w:tc>
          <w:tcPr>
            <w:tcW w:type="dxa" w:w="4535"/>
            <w:vAlign w:val="center"/>
          </w:tcPr>
          <w:p>
            <w:pPr>
              <w:spacing w:after="0"/>
            </w:pPr>
            <w:r/>
            <w:r>
              <w:rPr>
                <w:rFonts w:ascii="Arial" w:hAnsi="Arial" w:eastAsia="Arial"/>
                <w:b w:val="0"/>
                <w:color w:val="1A1A1A"/>
                <w:sz w:val="16"/>
              </w:rPr>
              <w:t>Crewed rescue capability whenever personnel work over water</w:t>
            </w:r>
          </w:p>
        </w:tc>
        <w:tc>
          <w:tcPr>
            <w:tcW w:type="dxa" w:w="3969"/>
            <w:vAlign w:val="center"/>
          </w:tcPr>
          <w:p>
            <w:pPr>
              <w:spacing w:after="0"/>
            </w:pPr>
            <w:r/>
            <w:r>
              <w:rPr>
                <w:rFonts w:ascii="Arial" w:hAnsi="Arial" w:eastAsia="Arial"/>
                <w:b w:val="0"/>
                <w:color w:val="1A1A1A"/>
                <w:sz w:val="16"/>
              </w:rPr>
              <w:t>Stretcher path, recovery drills and all platform elevations</w:t>
            </w:r>
          </w:p>
        </w:tc>
      </w:tr>
    </w:tbl>
    <w:p>
      <w:pPr>
        <w:spacing w:after="0"/>
      </w:pPr>
    </w:p>
    <w:p>
      <w:r>
        <w:t>The single-lane roadway remains available for personnel and light operational traffic. It is not the bulk materials and waste route under the preferred concept. The JUB should remain outside the production critical path, but that outcome must be demonstrated by the layout, services continuity and relocation schedule.</w:t>
      </w:r>
    </w:p>
    <w:p>
      <w:pPr>
        <w:pStyle w:val="Heading1"/>
      </w:pPr>
      <w:r>
        <w:t>11. Containment, coating, waste and environmental controls</w:t>
      </w:r>
    </w:p>
    <w:p>
      <w:pPr>
        <w:pStyle w:val="Heading2"/>
      </w:pPr>
      <w:r>
        <w:t>11.1 Pile containment</w:t>
      </w:r>
    </w:p>
    <w:p>
      <w:r>
        <w:t>The pile enclosure consists of two opposing half shells supported from the two main platforms. The halves close and seal around the active work zone. The selected supplier must define permissible relative movement between platforms, mechanical interlocks, wind limits, emergency opening, extraction criteria, filtration, worker exposure controls, abrasive recovery and wash-water recovery.</w:t>
      </w:r>
    </w:p>
    <w:p>
      <w:pPr>
        <w:pStyle w:val="Heading2"/>
      </w:pPr>
      <w:r>
        <w:t>11.2 Headstock containment</w:t>
      </w:r>
    </w:p>
    <w:p>
      <w:r>
        <w:t>The headstock requires a separate enclosure arrangement covering the soffit, long and end faces, pile connections, gallery feet, keeper angles and other G02 interfaces. Removing the pile shells does not constitute a headstock containment method. Supplier layout and a measured work-lot cycle are required before the production model is complete.</w:t>
      </w:r>
    </w:p>
    <w:p>
      <w:pPr>
        <w:pStyle w:val="Heading2"/>
      </w:pPr>
      <w:r>
        <w:t>11.3 Coating sequence</w:t>
      </w:r>
    </w:p>
    <w:p>
      <w:pPr>
        <w:pStyle w:val="ListNumber"/>
        <w:spacing w:after="40"/>
      </w:pPr>
      <w:r>
        <w:t>Verify environmental conditions, surface cleanliness and profile.</w:t>
      </w:r>
    </w:p>
    <w:p>
      <w:pPr>
        <w:pStyle w:val="ListNumber"/>
        <w:spacing w:after="40"/>
      </w:pPr>
      <w:r>
        <w:t>Apply the first 500 µm coat within four hours of final preparation.</w:t>
      </w:r>
    </w:p>
    <w:p>
      <w:pPr>
        <w:pStyle w:val="ListNumber"/>
        <w:spacing w:after="40"/>
      </w:pPr>
      <w:r>
        <w:t>Complete stripe coats to edges, welds and difficult geometry.</w:t>
      </w:r>
    </w:p>
    <w:p>
      <w:pPr>
        <w:pStyle w:val="ListNumber"/>
        <w:spacing w:after="40"/>
      </w:pPr>
      <w:r>
        <w:t>Wash and thoroughly dry the first coat where required by G01.</w:t>
      </w:r>
    </w:p>
    <w:p>
      <w:pPr>
        <w:pStyle w:val="ListNumber"/>
        <w:spacing w:after="40"/>
      </w:pPr>
      <w:r>
        <w:t>Verify the recoat condition and the 14 h to 14 d recoat window.</w:t>
      </w:r>
    </w:p>
    <w:p>
      <w:pPr>
        <w:pStyle w:val="ListNumber"/>
        <w:spacing w:after="40"/>
      </w:pPr>
      <w:r>
        <w:t>Apply the second 500 µm coat.</w:t>
      </w:r>
    </w:p>
    <w:p>
      <w:pPr>
        <w:pStyle w:val="ListNumber"/>
        <w:spacing w:after="40"/>
      </w:pPr>
      <w:r>
        <w:t>Complete DFT, visual inspection, repair and final acceptance.</w:t>
      </w:r>
    </w:p>
    <w:p>
      <w:r>
        <w:t>Active labour and elapsed access-set occupancy are not the same. The current model includes 1.5 active coating shifts but leaves the drying and recoat elapsed holds unmodelled. The proving campaign must establish the dated work-lot sequence.</w:t>
      </w:r>
    </w:p>
    <w:p>
      <w:pPr>
        <w:pStyle w:val="Heading2"/>
      </w:pPr>
      <w:r>
        <w:t>11.4 Environmental and occupational controls</w:t>
      </w:r>
    </w:p>
    <w:p>
      <w:pPr>
        <w:pStyle w:val="ListBullet"/>
        <w:spacing w:after="40"/>
      </w:pPr>
      <w:r>
        <w:t>Negative-pressure criteria, airflow, filtration and boundary monitoring.</w:t>
      </w:r>
    </w:p>
    <w:p>
      <w:pPr>
        <w:pStyle w:val="ListBullet"/>
        <w:spacing w:after="40"/>
      </w:pPr>
      <w:r>
        <w:t>Respiratory protection and breathing-air arrangements.</w:t>
      </w:r>
    </w:p>
    <w:p>
      <w:pPr>
        <w:pStyle w:val="ListBullet"/>
        <w:spacing w:after="40"/>
      </w:pPr>
      <w:r>
        <w:t>Noise limits for blasting, extraction, compressors and night work.</w:t>
      </w:r>
    </w:p>
    <w:p>
      <w:pPr>
        <w:pStyle w:val="ListBullet"/>
        <w:spacing w:after="40"/>
      </w:pPr>
      <w:r>
        <w:t>Static, fire and hazardous-atmosphere controls.</w:t>
      </w:r>
    </w:p>
    <w:p>
      <w:pPr>
        <w:pStyle w:val="ListBullet"/>
        <w:spacing w:after="40"/>
      </w:pPr>
      <w:r>
        <w:t>Sealed handling of coal-tar coating debris, spent abrasive, filters and wash water.</w:t>
      </w:r>
    </w:p>
    <w:p>
      <w:pPr>
        <w:pStyle w:val="ListBullet"/>
        <w:spacing w:after="40"/>
      </w:pPr>
      <w:r>
        <w:t>Marine-fauna, seagrass, vessel-strike, biosecurity and spill-response requirements.</w:t>
      </w:r>
    </w:p>
    <w:p>
      <w:pPr>
        <w:spacing w:before="0" w:after="120"/>
      </w:pPr>
      <w:r>
        <w:rPr>
          <w:rFonts w:ascii="Arial" w:hAnsi="Arial"/>
          <w:i/>
          <w:color w:val="646464"/>
          <w:sz w:val="16"/>
        </w:rPr>
        <w:t>Source basis: [S02], [S07]</w:t>
      </w:r>
    </w:p>
    <w:p>
      <w:r>
        <w:br w:type="page"/>
      </w:r>
    </w:p>
    <w:p>
      <w:pPr>
        <w:pStyle w:val="Heading1"/>
      </w:pPr>
      <w:r>
        <w:t>12. Temporary works, HSE and operability</w:t>
      </w:r>
    </w:p>
    <w:p>
      <w:pPr>
        <w:pStyle w:val="Heading2"/>
      </w:pPr>
      <w:r>
        <w:t>12.1 Temporary-works load path</w:t>
      </w:r>
    </w:p>
    <w:p>
      <w:r>
        <w:t>The selected platform system requires a certified mass and centre-of-gravity schedule covering the bare platform, winches, traversing decks, containment, personnel, tools, services, abrasive, recovered waste and retained water. Load cases must include normal operation, unequal loading, snag or stalled chain, loss of power, one-hoist fault, wind, collision, floating transition, lowest operating position and survival condition.</w:t>
      </w:r>
    </w:p>
    <w:p>
      <w:r>
        <w:t>Every hang-off point and the host jetty structure require RPEQ design and independent check. GGC and other precedent information is relevant evidence of concept feasibility, not a capacity certificate for Lucinda.</w:t>
      </w:r>
    </w:p>
    <w:p>
      <w:pPr>
        <w:pStyle w:val="Heading2"/>
      </w:pPr>
      <w:r>
        <w:t>12.2 Access and rescue</w:t>
      </w:r>
    </w:p>
    <w:p>
      <w:pPr>
        <w:pStyle w:val="ListBullet"/>
        <w:spacing w:after="40"/>
      </w:pPr>
      <w:r>
        <w:t>Two independent means of egress or recovery must be demonstrated at every platform elevation.</w:t>
      </w:r>
    </w:p>
    <w:p>
      <w:pPr>
        <w:pStyle w:val="ListBullet"/>
        <w:spacing w:after="40"/>
      </w:pPr>
      <w:r>
        <w:t>Emergency and manual lowering must be confirmed by the selected winch/control supplier.</w:t>
      </w:r>
    </w:p>
    <w:p>
      <w:pPr>
        <w:pStyle w:val="ListBullet"/>
        <w:spacing w:after="40"/>
      </w:pPr>
      <w:r>
        <w:t>A stretcher route must be shown in the geometry and demonstrated in a drill.</w:t>
      </w:r>
    </w:p>
    <w:p>
      <w:pPr>
        <w:pStyle w:val="ListBullet"/>
        <w:spacing w:after="40"/>
      </w:pPr>
      <w:r>
        <w:t>Rescue coverage must remain available during workboat movements, JUB relocation and service failure.</w:t>
      </w:r>
    </w:p>
    <w:p>
      <w:pPr>
        <w:pStyle w:val="ListBullet"/>
        <w:spacing w:after="40"/>
      </w:pPr>
      <w:r>
        <w:t>Dropped-object controls, tool tethering and exclusion zones are mandatory.</w:t>
      </w:r>
    </w:p>
    <w:p>
      <w:pPr>
        <w:pStyle w:val="Heading2"/>
      </w:pPr>
      <w:r>
        <w:t>12.3 SIMOPS</w:t>
      </w:r>
    </w:p>
    <w:p>
      <w:r>
        <w:t>A SIMOPS matrix must set the minimum separation between welding, blasting, coating, jacket work, lifting, boat traffic and inspection. The matrix should consider wind direction, dust and vapour plume, hot-work spark travel, noise, service-line routing and emergency access. The number of simultaneously active bents is limited by safe separation and rescue capacity as well as plant quantity.</w:t>
      </w:r>
    </w:p>
    <w:p>
      <w:pPr>
        <w:pStyle w:val="Heading2"/>
      </w:pPr>
      <w:r>
        <w:t>12.4 Shipping and cyclone response</w:t>
      </w:r>
    </w:p>
    <w:p>
      <w:pPr>
        <w:pStyle w:val="ListBullet"/>
        <w:spacing w:after="40"/>
      </w:pPr>
      <w:r>
        <w:t>Define the two-day ship-call make-safe sequence for platforms, containment, access towers, services, workboats and JUB.</w:t>
      </w:r>
    </w:p>
    <w:p>
      <w:pPr>
        <w:pStyle w:val="ListBullet"/>
        <w:spacing w:after="40"/>
      </w:pPr>
      <w:r>
        <w:t>Insert known ship-call dates explicitly in the final programme rather than burying them inside an availability percentage.</w:t>
      </w:r>
    </w:p>
    <w:p>
      <w:pPr>
        <w:pStyle w:val="ListBullet"/>
        <w:spacing w:after="40"/>
      </w:pPr>
      <w:r>
        <w:t>Define the cyclone trigger, recovery sequence, refuge location, time to recover every set and restart inspection requirements.</w:t>
      </w:r>
    </w:p>
    <w:p>
      <w:pPr>
        <w:pStyle w:val="ListBullet"/>
        <w:spacing w:after="40"/>
      </w:pPr>
      <w:r>
        <w:t>Demonstrate the full-fleet recovery in the proving campaign before production scale-up.</w:t>
      </w:r>
    </w:p>
    <w:p>
      <w:pPr>
        <w:pStyle w:val="Heading1"/>
      </w:pPr>
      <w:r>
        <w:t>13. Productivity model and schedule comparison</w:t>
      </w:r>
    </w:p>
    <w:p>
      <w:pPr>
        <w:pStyle w:val="Heading2"/>
      </w:pPr>
      <w:r>
        <w:t>13.1 Model basis</w:t>
      </w:r>
    </w:p>
    <w:p>
      <w:r>
        <w:t>The whole-scope stress test is 227 bents over 60 nominal production weeks, or 3.783 QA-closed bents per week. The base model uses 6 working days per week and an 85% residual factor for stochastic weather and breakdown after known calendar blocks are applied explicitly.</w:t>
      </w:r>
    </w:p>
    <w:p>
      <w:r>
        <w:t>The base cycle contains 14.02 modelled access-set occupancy days, including one three-day approval hold and 11 hours of relocation activity. It excludes headstock enclosure/blast, coating elapsed holds, below-LAT jacket work and clean-out/QA/rework. It is not a demonstrated complete cycle.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134"/>
            <w:shd w:fill="E87722"/>
            <w:vAlign w:val="center"/>
          </w:tcPr>
          <w:p>
            <w:pPr>
              <w:spacing w:after="0"/>
            </w:pPr>
            <w:r/>
            <w:r>
              <w:rPr>
                <w:rFonts w:ascii="Arial" w:hAnsi="Arial" w:eastAsia="Arial"/>
                <w:b/>
                <w:color w:val="FFFFFF"/>
                <w:sz w:val="15"/>
              </w:rPr>
              <w:t>Scenario</w:t>
            </w:r>
          </w:p>
        </w:tc>
        <w:tc>
          <w:tcPr>
            <w:tcW w:type="dxa" w:w="3969"/>
            <w:shd w:fill="E87722"/>
            <w:vAlign w:val="center"/>
          </w:tcPr>
          <w:p>
            <w:pPr>
              <w:spacing w:after="0"/>
            </w:pPr>
            <w:r/>
            <w:r>
              <w:rPr>
                <w:rFonts w:ascii="Arial" w:hAnsi="Arial" w:eastAsia="Arial"/>
                <w:b/>
                <w:color w:val="FFFFFF"/>
                <w:sz w:val="15"/>
              </w:rPr>
              <w:t>Basis</w:t>
            </w:r>
          </w:p>
        </w:tc>
        <w:tc>
          <w:tcPr>
            <w:tcW w:type="dxa" w:w="1417"/>
            <w:shd w:fill="E87722"/>
            <w:vAlign w:val="center"/>
          </w:tcPr>
          <w:p>
            <w:pPr>
              <w:spacing w:after="0"/>
            </w:pPr>
            <w:r/>
            <w:r>
              <w:rPr>
                <w:rFonts w:ascii="Arial" w:hAnsi="Arial" w:eastAsia="Arial"/>
                <w:b/>
                <w:color w:val="FFFFFF"/>
                <w:sz w:val="15"/>
              </w:rPr>
              <w:t>Cycle d/set</w:t>
            </w:r>
          </w:p>
        </w:tc>
        <w:tc>
          <w:tcPr>
            <w:tcW w:type="dxa" w:w="1134"/>
            <w:shd w:fill="E87722"/>
            <w:vAlign w:val="center"/>
          </w:tcPr>
          <w:p>
            <w:pPr>
              <w:spacing w:after="0"/>
            </w:pPr>
            <w:r/>
            <w:r>
              <w:rPr>
                <w:rFonts w:ascii="Arial" w:hAnsi="Arial" w:eastAsia="Arial"/>
                <w:b/>
                <w:color w:val="FFFFFF"/>
                <w:sz w:val="15"/>
              </w:rPr>
              <w:t>Sets</w:t>
            </w:r>
          </w:p>
        </w:tc>
        <w:tc>
          <w:tcPr>
            <w:tcW w:type="dxa" w:w="1417"/>
            <w:shd w:fill="E87722"/>
            <w:vAlign w:val="center"/>
          </w:tcPr>
          <w:p>
            <w:pPr>
              <w:spacing w:after="0"/>
            </w:pPr>
            <w:r/>
            <w:r>
              <w:rPr>
                <w:rFonts w:ascii="Arial" w:hAnsi="Arial" w:eastAsia="Arial"/>
                <w:b/>
                <w:color w:val="FFFFFF"/>
                <w:sz w:val="15"/>
              </w:rPr>
              <w:t>Rate/week</w:t>
            </w:r>
          </w:p>
        </w:tc>
        <w:tc>
          <w:tcPr>
            <w:tcW w:type="dxa" w:w="1417"/>
            <w:shd w:fill="E87722"/>
            <w:vAlign w:val="center"/>
          </w:tcPr>
          <w:p>
            <w:pPr>
              <w:spacing w:after="0"/>
            </w:pPr>
            <w:r/>
            <w:r>
              <w:rPr>
                <w:rFonts w:ascii="Arial" w:hAnsi="Arial" w:eastAsia="Arial"/>
                <w:b/>
                <w:color w:val="FFFFFF"/>
                <w:sz w:val="15"/>
              </w:rPr>
              <w:t>Weeks for 227</w:t>
            </w:r>
          </w:p>
        </w:tc>
        <w:tc>
          <w:tcPr>
            <w:tcW w:type="dxa" w:w="1417"/>
            <w:shd w:fill="E87722"/>
            <w:vAlign w:val="center"/>
          </w:tcPr>
          <w:p>
            <w:pPr>
              <w:spacing w:after="0"/>
            </w:pPr>
            <w:r/>
            <w:r>
              <w:rPr>
                <w:rFonts w:ascii="Arial" w:hAnsi="Arial" w:eastAsia="Arial"/>
                <w:b/>
                <w:color w:val="FFFFFF"/>
                <w:sz w:val="15"/>
              </w:rPr>
              <w:t>Weld crews</w:t>
            </w:r>
          </w:p>
        </w:tc>
      </w:tr>
      <w:tr>
        <w:tc>
          <w:tcPr>
            <w:tcW w:type="dxa" w:w="1134"/>
            <w:vAlign w:val="center"/>
          </w:tcPr>
          <w:p>
            <w:pPr>
              <w:spacing w:after="0"/>
            </w:pPr>
            <w:r/>
            <w:r>
              <w:rPr>
                <w:rFonts w:ascii="Arial" w:hAnsi="Arial" w:eastAsia="Arial"/>
                <w:b w:val="0"/>
                <w:color w:val="1A1A1A"/>
                <w:sz w:val="15"/>
              </w:rPr>
              <w:t>S1</w:t>
            </w:r>
          </w:p>
        </w:tc>
        <w:tc>
          <w:tcPr>
            <w:tcW w:type="dxa" w:w="3969"/>
            <w:vAlign w:val="center"/>
          </w:tcPr>
          <w:p>
            <w:pPr>
              <w:spacing w:after="0"/>
            </w:pPr>
            <w:r/>
            <w:r>
              <w:rPr>
                <w:rFonts w:ascii="Arial" w:hAnsi="Arial" w:eastAsia="Arial"/>
                <w:b w:val="0"/>
                <w:color w:val="1A1A1A"/>
                <w:sz w:val="15"/>
              </w:rPr>
              <w:t>Base: 2 weld crews/set at 6 lm/crew-shift, one 3-day bent-level approval hold</w:t>
            </w:r>
          </w:p>
        </w:tc>
        <w:tc>
          <w:tcPr>
            <w:tcW w:type="dxa" w:w="1417"/>
            <w:vAlign w:val="center"/>
          </w:tcPr>
          <w:p>
            <w:pPr>
              <w:spacing w:after="0"/>
            </w:pPr>
            <w:r/>
            <w:r>
              <w:rPr>
                <w:rFonts w:ascii="Arial" w:hAnsi="Arial" w:eastAsia="Arial"/>
                <w:b w:val="0"/>
                <w:color w:val="1A1A1A"/>
                <w:sz w:val="15"/>
              </w:rPr>
              <w:t>14.02</w:t>
            </w:r>
          </w:p>
        </w:tc>
        <w:tc>
          <w:tcPr>
            <w:tcW w:type="dxa" w:w="1134"/>
            <w:vAlign w:val="center"/>
          </w:tcPr>
          <w:p>
            <w:pPr>
              <w:spacing w:after="0"/>
            </w:pPr>
            <w:r/>
            <w:r>
              <w:rPr>
                <w:rFonts w:ascii="Arial" w:hAnsi="Arial" w:eastAsia="Arial"/>
                <w:b w:val="0"/>
                <w:color w:val="1A1A1A"/>
                <w:sz w:val="15"/>
              </w:rPr>
              <w:t>11</w:t>
            </w:r>
          </w:p>
        </w:tc>
        <w:tc>
          <w:tcPr>
            <w:tcW w:type="dxa" w:w="1417"/>
            <w:vAlign w:val="center"/>
          </w:tcPr>
          <w:p>
            <w:pPr>
              <w:spacing w:after="0"/>
            </w:pPr>
            <w:r/>
            <w:r>
              <w:rPr>
                <w:rFonts w:ascii="Arial" w:hAnsi="Arial" w:eastAsia="Arial"/>
                <w:b w:val="0"/>
                <w:color w:val="1A1A1A"/>
                <w:sz w:val="15"/>
              </w:rPr>
              <w:t>4.00</w:t>
            </w:r>
          </w:p>
        </w:tc>
        <w:tc>
          <w:tcPr>
            <w:tcW w:type="dxa" w:w="1417"/>
            <w:vAlign w:val="center"/>
          </w:tcPr>
          <w:p>
            <w:pPr>
              <w:spacing w:after="0"/>
            </w:pPr>
            <w:r/>
            <w:r>
              <w:rPr>
                <w:rFonts w:ascii="Arial" w:hAnsi="Arial" w:eastAsia="Arial"/>
                <w:b w:val="0"/>
                <w:color w:val="1A1A1A"/>
                <w:sz w:val="15"/>
              </w:rPr>
              <w:t>56.7</w:t>
            </w:r>
          </w:p>
        </w:tc>
        <w:tc>
          <w:tcPr>
            <w:tcW w:type="dxa" w:w="1417"/>
            <w:vAlign w:val="center"/>
          </w:tcPr>
          <w:p>
            <w:pPr>
              <w:spacing w:after="0"/>
            </w:pPr>
            <w:r/>
            <w:r>
              <w:rPr>
                <w:rFonts w:ascii="Arial" w:hAnsi="Arial" w:eastAsia="Arial"/>
                <w:b w:val="0"/>
                <w:color w:val="1A1A1A"/>
                <w:sz w:val="15"/>
              </w:rPr>
              <w:t>22</w:t>
            </w:r>
          </w:p>
        </w:tc>
      </w:tr>
      <w:tr>
        <w:tc>
          <w:tcPr>
            <w:tcW w:type="dxa" w:w="1134"/>
            <w:vAlign w:val="center"/>
          </w:tcPr>
          <w:p>
            <w:pPr>
              <w:spacing w:after="0"/>
            </w:pPr>
            <w:r/>
            <w:r>
              <w:rPr>
                <w:rFonts w:ascii="Arial" w:hAnsi="Arial" w:eastAsia="Arial"/>
                <w:b w:val="0"/>
                <w:color w:val="1A1A1A"/>
                <w:sz w:val="15"/>
              </w:rPr>
              <w:t>S2</w:t>
            </w:r>
          </w:p>
        </w:tc>
        <w:tc>
          <w:tcPr>
            <w:tcW w:type="dxa" w:w="3969"/>
            <w:vAlign w:val="center"/>
          </w:tcPr>
          <w:p>
            <w:pPr>
              <w:spacing w:after="0"/>
            </w:pPr>
            <w:r/>
            <w:r>
              <w:rPr>
                <w:rFonts w:ascii="Arial" w:hAnsi="Arial" w:eastAsia="Arial"/>
                <w:b w:val="0"/>
                <w:color w:val="1A1A1A"/>
                <w:sz w:val="15"/>
              </w:rPr>
              <w:t>4 weld crews/set at 8 lm/crew-shift, full approval hold</w:t>
            </w:r>
          </w:p>
        </w:tc>
        <w:tc>
          <w:tcPr>
            <w:tcW w:type="dxa" w:w="1417"/>
            <w:vAlign w:val="center"/>
          </w:tcPr>
          <w:p>
            <w:pPr>
              <w:spacing w:after="0"/>
            </w:pPr>
            <w:r/>
            <w:r>
              <w:rPr>
                <w:rFonts w:ascii="Arial" w:hAnsi="Arial" w:eastAsia="Arial"/>
                <w:b w:val="0"/>
                <w:color w:val="1A1A1A"/>
                <w:sz w:val="15"/>
              </w:rPr>
              <w:t>11.26</w:t>
            </w:r>
          </w:p>
        </w:tc>
        <w:tc>
          <w:tcPr>
            <w:tcW w:type="dxa" w:w="1134"/>
            <w:vAlign w:val="center"/>
          </w:tcPr>
          <w:p>
            <w:pPr>
              <w:spacing w:after="0"/>
            </w:pPr>
            <w:r/>
            <w:r>
              <w:rPr>
                <w:rFonts w:ascii="Arial" w:hAnsi="Arial" w:eastAsia="Arial"/>
                <w:b w:val="0"/>
                <w:color w:val="1A1A1A"/>
                <w:sz w:val="15"/>
              </w:rPr>
              <w:t>9</w:t>
            </w:r>
          </w:p>
        </w:tc>
        <w:tc>
          <w:tcPr>
            <w:tcW w:type="dxa" w:w="1417"/>
            <w:vAlign w:val="center"/>
          </w:tcPr>
          <w:p>
            <w:pPr>
              <w:spacing w:after="0"/>
            </w:pPr>
            <w:r/>
            <w:r>
              <w:rPr>
                <w:rFonts w:ascii="Arial" w:hAnsi="Arial" w:eastAsia="Arial"/>
                <w:b w:val="0"/>
                <w:color w:val="1A1A1A"/>
                <w:sz w:val="15"/>
              </w:rPr>
              <w:t>4.08</w:t>
            </w:r>
          </w:p>
        </w:tc>
        <w:tc>
          <w:tcPr>
            <w:tcW w:type="dxa" w:w="1417"/>
            <w:vAlign w:val="center"/>
          </w:tcPr>
          <w:p>
            <w:pPr>
              <w:spacing w:after="0"/>
            </w:pPr>
            <w:r/>
            <w:r>
              <w:rPr>
                <w:rFonts w:ascii="Arial" w:hAnsi="Arial" w:eastAsia="Arial"/>
                <w:b w:val="0"/>
                <w:color w:val="1A1A1A"/>
                <w:sz w:val="15"/>
              </w:rPr>
              <w:t>55.7</w:t>
            </w:r>
          </w:p>
        </w:tc>
        <w:tc>
          <w:tcPr>
            <w:tcW w:type="dxa" w:w="1417"/>
            <w:vAlign w:val="center"/>
          </w:tcPr>
          <w:p>
            <w:pPr>
              <w:spacing w:after="0"/>
            </w:pPr>
            <w:r/>
            <w:r>
              <w:rPr>
                <w:rFonts w:ascii="Arial" w:hAnsi="Arial" w:eastAsia="Arial"/>
                <w:b w:val="0"/>
                <w:color w:val="1A1A1A"/>
                <w:sz w:val="15"/>
              </w:rPr>
              <w:t>36</w:t>
            </w:r>
          </w:p>
        </w:tc>
      </w:tr>
      <w:tr>
        <w:tc>
          <w:tcPr>
            <w:tcW w:type="dxa" w:w="1134"/>
            <w:vAlign w:val="center"/>
          </w:tcPr>
          <w:p>
            <w:pPr>
              <w:spacing w:after="0"/>
            </w:pPr>
            <w:r/>
            <w:r>
              <w:rPr>
                <w:rFonts w:ascii="Arial" w:hAnsi="Arial" w:eastAsia="Arial"/>
                <w:b w:val="0"/>
                <w:color w:val="1A1A1A"/>
                <w:sz w:val="15"/>
              </w:rPr>
              <w:t>S3</w:t>
            </w:r>
          </w:p>
        </w:tc>
        <w:tc>
          <w:tcPr>
            <w:tcW w:type="dxa" w:w="3969"/>
            <w:vAlign w:val="center"/>
          </w:tcPr>
          <w:p>
            <w:pPr>
              <w:spacing w:after="0"/>
            </w:pPr>
            <w:r/>
            <w:r>
              <w:rPr>
                <w:rFonts w:ascii="Arial" w:hAnsi="Arial" w:eastAsia="Arial"/>
                <w:b w:val="0"/>
                <w:color w:val="1A1A1A"/>
                <w:sz w:val="15"/>
              </w:rPr>
              <w:t>S2 plus no routine approval hold under accepted repair library/delegation</w:t>
            </w:r>
          </w:p>
        </w:tc>
        <w:tc>
          <w:tcPr>
            <w:tcW w:type="dxa" w:w="1417"/>
            <w:vAlign w:val="center"/>
          </w:tcPr>
          <w:p>
            <w:pPr>
              <w:spacing w:after="0"/>
            </w:pPr>
            <w:r/>
            <w:r>
              <w:rPr>
                <w:rFonts w:ascii="Arial" w:hAnsi="Arial" w:eastAsia="Arial"/>
                <w:b w:val="0"/>
                <w:color w:val="1A1A1A"/>
                <w:sz w:val="15"/>
              </w:rPr>
              <w:t>8.26</w:t>
            </w:r>
          </w:p>
        </w:tc>
        <w:tc>
          <w:tcPr>
            <w:tcW w:type="dxa" w:w="1134"/>
            <w:vAlign w:val="center"/>
          </w:tcPr>
          <w:p>
            <w:pPr>
              <w:spacing w:after="0"/>
            </w:pPr>
            <w:r/>
            <w:r>
              <w:rPr>
                <w:rFonts w:ascii="Arial" w:hAnsi="Arial" w:eastAsia="Arial"/>
                <w:b w:val="0"/>
                <w:color w:val="1A1A1A"/>
                <w:sz w:val="15"/>
              </w:rPr>
              <w:t>7</w:t>
            </w:r>
          </w:p>
        </w:tc>
        <w:tc>
          <w:tcPr>
            <w:tcW w:type="dxa" w:w="1417"/>
            <w:vAlign w:val="center"/>
          </w:tcPr>
          <w:p>
            <w:pPr>
              <w:spacing w:after="0"/>
            </w:pPr>
            <w:r/>
            <w:r>
              <w:rPr>
                <w:rFonts w:ascii="Arial" w:hAnsi="Arial" w:eastAsia="Arial"/>
                <w:b w:val="0"/>
                <w:color w:val="1A1A1A"/>
                <w:sz w:val="15"/>
              </w:rPr>
              <w:t>4.32</w:t>
            </w:r>
          </w:p>
        </w:tc>
        <w:tc>
          <w:tcPr>
            <w:tcW w:type="dxa" w:w="1417"/>
            <w:vAlign w:val="center"/>
          </w:tcPr>
          <w:p>
            <w:pPr>
              <w:spacing w:after="0"/>
            </w:pPr>
            <w:r/>
            <w:r>
              <w:rPr>
                <w:rFonts w:ascii="Arial" w:hAnsi="Arial" w:eastAsia="Arial"/>
                <w:b w:val="0"/>
                <w:color w:val="1A1A1A"/>
                <w:sz w:val="15"/>
              </w:rPr>
              <w:t>52.5</w:t>
            </w:r>
          </w:p>
        </w:tc>
        <w:tc>
          <w:tcPr>
            <w:tcW w:type="dxa" w:w="1417"/>
            <w:vAlign w:val="center"/>
          </w:tcPr>
          <w:p>
            <w:pPr>
              <w:spacing w:after="0"/>
            </w:pPr>
            <w:r/>
            <w:r>
              <w:rPr>
                <w:rFonts w:ascii="Arial" w:hAnsi="Arial" w:eastAsia="Arial"/>
                <w:b w:val="0"/>
                <w:color w:val="1A1A1A"/>
                <w:sz w:val="15"/>
              </w:rPr>
              <w:t>28</w:t>
            </w:r>
          </w:p>
        </w:tc>
      </w:tr>
      <w:tr>
        <w:tc>
          <w:tcPr>
            <w:tcW w:type="dxa" w:w="1134"/>
            <w:vAlign w:val="center"/>
          </w:tcPr>
          <w:p>
            <w:pPr>
              <w:spacing w:after="0"/>
            </w:pPr>
            <w:r/>
            <w:r>
              <w:rPr>
                <w:rFonts w:ascii="Arial" w:hAnsi="Arial" w:eastAsia="Arial"/>
                <w:b w:val="0"/>
                <w:color w:val="1A1A1A"/>
                <w:sz w:val="15"/>
              </w:rPr>
              <w:t>S4</w:t>
            </w:r>
          </w:p>
        </w:tc>
        <w:tc>
          <w:tcPr>
            <w:tcW w:type="dxa" w:w="3969"/>
            <w:vAlign w:val="center"/>
          </w:tcPr>
          <w:p>
            <w:pPr>
              <w:spacing w:after="0"/>
            </w:pPr>
            <w:r/>
            <w:r>
              <w:rPr>
                <w:rFonts w:ascii="Arial" w:hAnsi="Arial" w:eastAsia="Arial"/>
                <w:b w:val="0"/>
                <w:color w:val="1A1A1A"/>
                <w:sz w:val="15"/>
              </w:rPr>
              <w:t>6 weld crews/set at 10 lm/crew-shift, no routine approval hold</w:t>
            </w:r>
          </w:p>
        </w:tc>
        <w:tc>
          <w:tcPr>
            <w:tcW w:type="dxa" w:w="1417"/>
            <w:vAlign w:val="center"/>
          </w:tcPr>
          <w:p>
            <w:pPr>
              <w:spacing w:after="0"/>
            </w:pPr>
            <w:r/>
            <w:r>
              <w:rPr>
                <w:rFonts w:ascii="Arial" w:hAnsi="Arial" w:eastAsia="Arial"/>
                <w:b w:val="0"/>
                <w:color w:val="1A1A1A"/>
                <w:sz w:val="15"/>
              </w:rPr>
              <w:t>7.48</w:t>
            </w:r>
          </w:p>
        </w:tc>
        <w:tc>
          <w:tcPr>
            <w:tcW w:type="dxa" w:w="1134"/>
            <w:vAlign w:val="center"/>
          </w:tcPr>
          <w:p>
            <w:pPr>
              <w:spacing w:after="0"/>
            </w:pPr>
            <w:r/>
            <w:r>
              <w:rPr>
                <w:rFonts w:ascii="Arial" w:hAnsi="Arial" w:eastAsia="Arial"/>
                <w:b w:val="0"/>
                <w:color w:val="1A1A1A"/>
                <w:sz w:val="15"/>
              </w:rPr>
              <w:t>6</w:t>
            </w:r>
          </w:p>
        </w:tc>
        <w:tc>
          <w:tcPr>
            <w:tcW w:type="dxa" w:w="1417"/>
            <w:vAlign w:val="center"/>
          </w:tcPr>
          <w:p>
            <w:pPr>
              <w:spacing w:after="0"/>
            </w:pPr>
            <w:r/>
            <w:r>
              <w:rPr>
                <w:rFonts w:ascii="Arial" w:hAnsi="Arial" w:eastAsia="Arial"/>
                <w:b w:val="0"/>
                <w:color w:val="1A1A1A"/>
                <w:sz w:val="15"/>
              </w:rPr>
              <w:t>4.09</w:t>
            </w:r>
          </w:p>
        </w:tc>
        <w:tc>
          <w:tcPr>
            <w:tcW w:type="dxa" w:w="1417"/>
            <w:vAlign w:val="center"/>
          </w:tcPr>
          <w:p>
            <w:pPr>
              <w:spacing w:after="0"/>
            </w:pPr>
            <w:r/>
            <w:r>
              <w:rPr>
                <w:rFonts w:ascii="Arial" w:hAnsi="Arial" w:eastAsia="Arial"/>
                <w:b w:val="0"/>
                <w:color w:val="1A1A1A"/>
                <w:sz w:val="15"/>
              </w:rPr>
              <w:t>55.5</w:t>
            </w:r>
          </w:p>
        </w:tc>
        <w:tc>
          <w:tcPr>
            <w:tcW w:type="dxa" w:w="1417"/>
            <w:vAlign w:val="center"/>
          </w:tcPr>
          <w:p>
            <w:pPr>
              <w:spacing w:after="0"/>
            </w:pPr>
            <w:r/>
            <w:r>
              <w:rPr>
                <w:rFonts w:ascii="Arial" w:hAnsi="Arial" w:eastAsia="Arial"/>
                <w:b w:val="0"/>
                <w:color w:val="1A1A1A"/>
                <w:sz w:val="15"/>
              </w:rPr>
              <w:t>36</w:t>
            </w:r>
          </w:p>
        </w:tc>
      </w:tr>
    </w:tbl>
    <w:p>
      <w:pPr>
        <w:spacing w:after="0"/>
      </w:pPr>
    </w:p>
    <w:p>
      <w:r>
        <w:t>The set counts are mathematical diagnostics. They do not demonstrate that the JUB, rescue system, containment fleet, available labour, accommodation or safe work zones can support those quantities.</w:t>
      </w:r>
    </w:p>
    <w:p>
      <w:pPr>
        <w:jc w:val="center"/>
      </w:pPr>
      <w:r>
        <w:drawing>
          <wp:inline xmlns:a="http://schemas.openxmlformats.org/drawingml/2006/main" xmlns:pic="http://schemas.openxmlformats.org/drawingml/2006/picture">
            <wp:extent cx="6035040" cy="3352800"/>
            <wp:docPr id="7" name="Picture 7"/>
            <wp:cNvGraphicFramePr>
              <a:graphicFrameLocks noChangeAspect="1"/>
            </wp:cNvGraphicFramePr>
            <a:graphic>
              <a:graphicData uri="http://schemas.openxmlformats.org/drawingml/2006/picture">
                <pic:pic>
                  <pic:nvPicPr>
                    <pic:cNvPr id="0" name="fleet_rate_sensitivity.png"/>
                    <pic:cNvPicPr/>
                  </pic:nvPicPr>
                  <pic:blipFill>
                    <a:blip r:embed="rId12"/>
                    <a:stretch>
                      <a:fillRect/>
                    </a:stretch>
                  </pic:blipFill>
                  <pic:spPr>
                    <a:xfrm>
                      <a:off x="0" y="0"/>
                      <a:ext cx="6035040" cy="3352800"/>
                    </a:xfrm>
                    <a:prstGeom prst="rect"/>
                  </pic:spPr>
                </pic:pic>
              </a:graphicData>
            </a:graphic>
          </wp:inline>
        </w:drawing>
      </w:r>
    </w:p>
    <w:p>
      <w:pPr>
        <w:pStyle w:val="FigureCaption"/>
        <w:jc w:val="center"/>
      </w:pPr>
      <w:r>
        <w:t>Figure 5. Modelled fleet sensitivity before omitted activities and dated losses.</w:t>
      </w:r>
    </w:p>
    <w:p>
      <w:pPr>
        <w:pStyle w:val="Heading2"/>
      </w:pPr>
      <w:r>
        <w:t>13.2 Comparison with the current schedule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835"/>
            <w:shd w:fill="E87722"/>
            <w:vAlign w:val="center"/>
          </w:tcPr>
          <w:p>
            <w:pPr>
              <w:spacing w:after="0"/>
            </w:pPr>
            <w:r/>
            <w:r>
              <w:rPr>
                <w:rFonts w:ascii="Arial" w:hAnsi="Arial" w:eastAsia="Arial"/>
                <w:b/>
                <w:color w:val="FFFFFF"/>
                <w:sz w:val="16"/>
              </w:rPr>
              <w:t>Measure</w:t>
            </w:r>
          </w:p>
        </w:tc>
        <w:tc>
          <w:tcPr>
            <w:tcW w:type="dxa" w:w="2835"/>
            <w:shd w:fill="E87722"/>
            <w:vAlign w:val="center"/>
          </w:tcPr>
          <w:p>
            <w:pPr>
              <w:spacing w:after="0"/>
            </w:pPr>
            <w:r/>
            <w:r>
              <w:rPr>
                <w:rFonts w:ascii="Arial" w:hAnsi="Arial" w:eastAsia="Arial"/>
                <w:b/>
                <w:color w:val="FFFFFF"/>
                <w:sz w:val="16"/>
              </w:rPr>
              <w:t>Current programme / claim</w:t>
            </w:r>
          </w:p>
        </w:tc>
        <w:tc>
          <w:tcPr>
            <w:tcW w:type="dxa" w:w="2835"/>
            <w:shd w:fill="E87722"/>
            <w:vAlign w:val="center"/>
          </w:tcPr>
          <w:p>
            <w:pPr>
              <w:spacing w:after="0"/>
            </w:pPr>
            <w:r/>
            <w:r>
              <w:rPr>
                <w:rFonts w:ascii="Arial" w:hAnsi="Arial" w:eastAsia="Arial"/>
                <w:b/>
                <w:color w:val="FFFFFF"/>
                <w:sz w:val="16"/>
              </w:rPr>
              <w:t>Preferred concept model</w:t>
            </w:r>
          </w:p>
        </w:tc>
        <w:tc>
          <w:tcPr>
            <w:tcW w:type="dxa" w:w="3969"/>
            <w:shd w:fill="E87722"/>
            <w:vAlign w:val="center"/>
          </w:tcPr>
          <w:p>
            <w:pPr>
              <w:spacing w:after="0"/>
            </w:pPr>
            <w:r/>
            <w:r>
              <w:rPr>
                <w:rFonts w:ascii="Arial" w:hAnsi="Arial" w:eastAsia="Arial"/>
                <w:b/>
                <w:color w:val="FFFFFF"/>
                <w:sz w:val="16"/>
              </w:rPr>
              <w:t>Comparison rule</w:t>
            </w:r>
          </w:p>
        </w:tc>
      </w:tr>
      <w:tr>
        <w:tc>
          <w:tcPr>
            <w:tcW w:type="dxa" w:w="2835"/>
            <w:vAlign w:val="center"/>
          </w:tcPr>
          <w:p>
            <w:pPr>
              <w:spacing w:after="0"/>
            </w:pPr>
            <w:r/>
            <w:r>
              <w:rPr>
                <w:rFonts w:ascii="Arial" w:hAnsi="Arial" w:eastAsia="Arial"/>
                <w:b w:val="0"/>
                <w:color w:val="1A1A1A"/>
                <w:sz w:val="16"/>
              </w:rPr>
              <w:t>Completed bents per production week</w:t>
            </w:r>
          </w:p>
        </w:tc>
        <w:tc>
          <w:tcPr>
            <w:tcW w:type="dxa" w:w="2835"/>
            <w:vAlign w:val="center"/>
          </w:tcPr>
          <w:p>
            <w:pPr>
              <w:spacing w:after="0"/>
            </w:pPr>
            <w:r/>
            <w:r>
              <w:rPr>
                <w:rFonts w:ascii="Arial" w:hAnsi="Arial" w:eastAsia="Arial"/>
                <w:b w:val="0"/>
                <w:color w:val="1A1A1A"/>
                <w:sz w:val="16"/>
              </w:rPr>
              <w:t>2.46 planned</w:t>
            </w:r>
          </w:p>
        </w:tc>
        <w:tc>
          <w:tcPr>
            <w:tcW w:type="dxa" w:w="2835"/>
            <w:vAlign w:val="center"/>
          </w:tcPr>
          <w:p>
            <w:pPr>
              <w:spacing w:after="0"/>
            </w:pPr>
            <w:r/>
            <w:r>
              <w:rPr>
                <w:rFonts w:ascii="Arial" w:hAnsi="Arial" w:eastAsia="Arial"/>
                <w:b w:val="0"/>
                <w:color w:val="1A1A1A"/>
                <w:sz w:val="16"/>
              </w:rPr>
              <w:t>3.78 stress target; scenario dependent</w:t>
            </w:r>
          </w:p>
        </w:tc>
        <w:tc>
          <w:tcPr>
            <w:tcW w:type="dxa" w:w="3969"/>
            <w:vAlign w:val="center"/>
          </w:tcPr>
          <w:p>
            <w:pPr>
              <w:spacing w:after="0"/>
            </w:pPr>
            <w:r/>
            <w:r>
              <w:rPr>
                <w:rFonts w:ascii="Arial" w:hAnsi="Arial" w:eastAsia="Arial"/>
                <w:b w:val="0"/>
                <w:color w:val="1A1A1A"/>
                <w:sz w:val="16"/>
              </w:rPr>
              <w:t>Like-for-like programme measure</w:t>
            </w:r>
          </w:p>
        </w:tc>
      </w:tr>
      <w:tr>
        <w:tc>
          <w:tcPr>
            <w:tcW w:type="dxa" w:w="2835"/>
            <w:vAlign w:val="center"/>
          </w:tcPr>
          <w:p>
            <w:pPr>
              <w:spacing w:after="0"/>
            </w:pPr>
            <w:r/>
            <w:r>
              <w:rPr>
                <w:rFonts w:ascii="Arial" w:hAnsi="Arial" w:eastAsia="Arial"/>
                <w:b w:val="0"/>
                <w:color w:val="1A1A1A"/>
                <w:sz w:val="16"/>
              </w:rPr>
              <w:t>Typical cycle</w:t>
            </w:r>
          </w:p>
        </w:tc>
        <w:tc>
          <w:tcPr>
            <w:tcW w:type="dxa" w:w="2835"/>
            <w:vAlign w:val="center"/>
          </w:tcPr>
          <w:p>
            <w:pPr>
              <w:spacing w:after="0"/>
            </w:pPr>
            <w:r/>
            <w:r>
              <w:rPr>
                <w:rFonts w:ascii="Arial" w:hAnsi="Arial" w:eastAsia="Arial"/>
                <w:b w:val="0"/>
                <w:color w:val="1A1A1A"/>
                <w:sz w:val="16"/>
              </w:rPr>
              <w:t>Generally 14-15 programmed days</w:t>
            </w:r>
          </w:p>
        </w:tc>
        <w:tc>
          <w:tcPr>
            <w:tcW w:type="dxa" w:w="2835"/>
            <w:vAlign w:val="center"/>
          </w:tcPr>
          <w:p>
            <w:pPr>
              <w:spacing w:after="0"/>
            </w:pPr>
            <w:r/>
            <w:r>
              <w:rPr>
                <w:rFonts w:ascii="Arial" w:hAnsi="Arial" w:eastAsia="Arial"/>
                <w:b w:val="0"/>
                <w:color w:val="1A1A1A"/>
                <w:sz w:val="16"/>
              </w:rPr>
              <w:t>14.02 modelled days before material omissions</w:t>
            </w:r>
          </w:p>
        </w:tc>
        <w:tc>
          <w:tcPr>
            <w:tcW w:type="dxa" w:w="3969"/>
            <w:vAlign w:val="center"/>
          </w:tcPr>
          <w:p>
            <w:pPr>
              <w:spacing w:after="0"/>
            </w:pPr>
            <w:r/>
            <w:r>
              <w:rPr>
                <w:rFonts w:ascii="Arial" w:hAnsi="Arial" w:eastAsia="Arial"/>
                <w:b w:val="0"/>
                <w:color w:val="1A1A1A"/>
                <w:sz w:val="16"/>
              </w:rPr>
              <w:t>Not yet a demonstrated uplift</w:t>
            </w:r>
          </w:p>
        </w:tc>
      </w:tr>
      <w:tr>
        <w:tc>
          <w:tcPr>
            <w:tcW w:type="dxa" w:w="2835"/>
            <w:vAlign w:val="center"/>
          </w:tcPr>
          <w:p>
            <w:pPr>
              <w:spacing w:after="0"/>
            </w:pPr>
            <w:r/>
            <w:r>
              <w:rPr>
                <w:rFonts w:ascii="Arial" w:hAnsi="Arial" w:eastAsia="Arial"/>
                <w:b w:val="0"/>
                <w:color w:val="1A1A1A"/>
                <w:sz w:val="16"/>
              </w:rPr>
              <w:t>Safe-access claimed output</w:t>
            </w:r>
          </w:p>
        </w:tc>
        <w:tc>
          <w:tcPr>
            <w:tcW w:type="dxa" w:w="2835"/>
            <w:vAlign w:val="center"/>
          </w:tcPr>
          <w:p>
            <w:pPr>
              <w:spacing w:after="0"/>
            </w:pPr>
            <w:r/>
            <w:r>
              <w:rPr>
                <w:rFonts w:ascii="Arial" w:hAnsi="Arial" w:eastAsia="Arial"/>
                <w:b w:val="0"/>
                <w:color w:val="1A1A1A"/>
                <w:sz w:val="16"/>
              </w:rPr>
              <w:t>0.36 stage equivalents/calendar week</w:t>
            </w:r>
          </w:p>
        </w:tc>
        <w:tc>
          <w:tcPr>
            <w:tcW w:type="dxa" w:w="2835"/>
            <w:vAlign w:val="center"/>
          </w:tcPr>
          <w:p>
            <w:pPr>
              <w:spacing w:after="0"/>
            </w:pPr>
            <w:r/>
            <w:r>
              <w:rPr>
                <w:rFonts w:ascii="Arial" w:hAnsi="Arial" w:eastAsia="Arial"/>
                <w:b w:val="0"/>
                <w:color w:val="1A1A1A"/>
                <w:sz w:val="16"/>
              </w:rPr>
              <w:t>Not used as proposed completed-bent denominator</w:t>
            </w:r>
          </w:p>
        </w:tc>
        <w:tc>
          <w:tcPr>
            <w:tcW w:type="dxa" w:w="3969"/>
            <w:vAlign w:val="center"/>
          </w:tcPr>
          <w:p>
            <w:pPr>
              <w:spacing w:after="0"/>
            </w:pPr>
            <w:r/>
            <w:r>
              <w:rPr>
                <w:rFonts w:ascii="Arial" w:hAnsi="Arial" w:eastAsia="Arial"/>
                <w:b w:val="0"/>
                <w:color w:val="1A1A1A"/>
                <w:sz w:val="16"/>
              </w:rPr>
              <w:t>Unlike measures</w:t>
            </w:r>
          </w:p>
        </w:tc>
      </w:tr>
      <w:tr>
        <w:tc>
          <w:tcPr>
            <w:tcW w:type="dxa" w:w="2835"/>
            <w:vAlign w:val="center"/>
          </w:tcPr>
          <w:p>
            <w:pPr>
              <w:spacing w:after="0"/>
            </w:pPr>
            <w:r/>
            <w:r>
              <w:rPr>
                <w:rFonts w:ascii="Arial" w:hAnsi="Arial" w:eastAsia="Arial"/>
                <w:b w:val="0"/>
                <w:color w:val="1A1A1A"/>
                <w:sz w:val="16"/>
              </w:rPr>
              <w:t>Access handling</w:t>
            </w:r>
          </w:p>
        </w:tc>
        <w:tc>
          <w:tcPr>
            <w:tcW w:type="dxa" w:w="2835"/>
            <w:vAlign w:val="center"/>
          </w:tcPr>
          <w:p>
            <w:pPr>
              <w:spacing w:after="0"/>
            </w:pPr>
            <w:r/>
            <w:r>
              <w:rPr>
                <w:rFonts w:ascii="Arial" w:hAnsi="Arial" w:eastAsia="Arial"/>
                <w:b w:val="0"/>
                <w:color w:val="1A1A1A"/>
                <w:sz w:val="16"/>
              </w:rPr>
              <w:t>Approximately 2 d install + 1 d dismantle typical</w:t>
            </w:r>
          </w:p>
        </w:tc>
        <w:tc>
          <w:tcPr>
            <w:tcW w:type="dxa" w:w="2835"/>
            <w:vAlign w:val="center"/>
          </w:tcPr>
          <w:p>
            <w:pPr>
              <w:spacing w:after="0"/>
            </w:pPr>
            <w:r/>
            <w:r>
              <w:rPr>
                <w:rFonts w:ascii="Arial" w:hAnsi="Arial" w:eastAsia="Arial"/>
                <w:b w:val="0"/>
                <w:color w:val="1A1A1A"/>
                <w:sz w:val="16"/>
              </w:rPr>
              <w:t>Approximately 11 h working relocation package</w:t>
            </w:r>
          </w:p>
        </w:tc>
        <w:tc>
          <w:tcPr>
            <w:tcW w:type="dxa" w:w="3969"/>
            <w:vAlign w:val="center"/>
          </w:tcPr>
          <w:p>
            <w:pPr>
              <w:spacing w:after="0"/>
            </w:pPr>
            <w:r/>
            <w:r>
              <w:rPr>
                <w:rFonts w:ascii="Arial" w:hAnsi="Arial" w:eastAsia="Arial"/>
                <w:b w:val="0"/>
                <w:color w:val="1A1A1A"/>
                <w:sz w:val="16"/>
              </w:rPr>
              <w:t>Both require field validation</w:t>
            </w:r>
          </w:p>
        </w:tc>
      </w:tr>
      <w:tr>
        <w:tc>
          <w:tcPr>
            <w:tcW w:type="dxa" w:w="2835"/>
            <w:vAlign w:val="center"/>
          </w:tcPr>
          <w:p>
            <w:pPr>
              <w:spacing w:after="0"/>
            </w:pPr>
            <w:r/>
            <w:r>
              <w:rPr>
                <w:rFonts w:ascii="Arial" w:hAnsi="Arial" w:eastAsia="Arial"/>
                <w:b w:val="0"/>
                <w:color w:val="1A1A1A"/>
                <w:sz w:val="16"/>
              </w:rPr>
              <w:t>Approval hold</w:t>
            </w:r>
          </w:p>
        </w:tc>
        <w:tc>
          <w:tcPr>
            <w:tcW w:type="dxa" w:w="2835"/>
            <w:vAlign w:val="center"/>
          </w:tcPr>
          <w:p>
            <w:pPr>
              <w:spacing w:after="0"/>
            </w:pPr>
            <w:r/>
            <w:r>
              <w:rPr>
                <w:rFonts w:ascii="Arial" w:hAnsi="Arial" w:eastAsia="Arial"/>
                <w:b w:val="0"/>
                <w:color w:val="1A1A1A"/>
                <w:sz w:val="16"/>
              </w:rPr>
              <w:t>3 d bent hold</w:t>
            </w:r>
          </w:p>
        </w:tc>
        <w:tc>
          <w:tcPr>
            <w:tcW w:type="dxa" w:w="2835"/>
            <w:vAlign w:val="center"/>
          </w:tcPr>
          <w:p>
            <w:pPr>
              <w:spacing w:after="0"/>
            </w:pPr>
            <w:r/>
            <w:r>
              <w:rPr>
                <w:rFonts w:ascii="Arial" w:hAnsi="Arial" w:eastAsia="Arial"/>
                <w:b w:val="0"/>
                <w:color w:val="1A1A1A"/>
                <w:sz w:val="16"/>
              </w:rPr>
              <w:t>3 d bent-level hold in base; zero only in upper scenarios</w:t>
            </w:r>
          </w:p>
        </w:tc>
        <w:tc>
          <w:tcPr>
            <w:tcW w:type="dxa" w:w="3969"/>
            <w:vAlign w:val="center"/>
          </w:tcPr>
          <w:p>
            <w:pPr>
              <w:spacing w:after="0"/>
            </w:pPr>
            <w:r/>
            <w:r>
              <w:rPr>
                <w:rFonts w:ascii="Arial" w:hAnsi="Arial" w:eastAsia="Arial"/>
                <w:b w:val="0"/>
                <w:color w:val="1A1A1A"/>
                <w:sz w:val="16"/>
              </w:rPr>
              <w:t>Pre-approved library/delegation required</w:t>
            </w:r>
          </w:p>
        </w:tc>
      </w:tr>
      <w:tr>
        <w:tc>
          <w:tcPr>
            <w:tcW w:type="dxa" w:w="2835"/>
            <w:vAlign w:val="center"/>
          </w:tcPr>
          <w:p>
            <w:pPr>
              <w:spacing w:after="0"/>
            </w:pPr>
            <w:r/>
            <w:r>
              <w:rPr>
                <w:rFonts w:ascii="Arial" w:hAnsi="Arial" w:eastAsia="Arial"/>
                <w:b w:val="0"/>
                <w:color w:val="1A1A1A"/>
                <w:sz w:val="16"/>
              </w:rPr>
              <w:t>Peak WIP / sets</w:t>
            </w:r>
          </w:p>
        </w:tc>
        <w:tc>
          <w:tcPr>
            <w:tcW w:type="dxa" w:w="2835"/>
            <w:vAlign w:val="center"/>
          </w:tcPr>
          <w:p>
            <w:pPr>
              <w:spacing w:after="0"/>
            </w:pPr>
            <w:r/>
            <w:r>
              <w:rPr>
                <w:rFonts w:ascii="Arial" w:hAnsi="Arial" w:eastAsia="Arial"/>
                <w:b w:val="0"/>
                <w:color w:val="1A1A1A"/>
                <w:sz w:val="16"/>
              </w:rPr>
              <w:t>9 bents WIP; 4 scaffold sets observed</w:t>
            </w:r>
          </w:p>
        </w:tc>
        <w:tc>
          <w:tcPr>
            <w:tcW w:type="dxa" w:w="2835"/>
            <w:vAlign w:val="center"/>
          </w:tcPr>
          <w:p>
            <w:pPr>
              <w:spacing w:after="0"/>
            </w:pPr>
            <w:r/>
            <w:r>
              <w:rPr>
                <w:rFonts w:ascii="Arial" w:hAnsi="Arial" w:eastAsia="Arial"/>
                <w:b w:val="0"/>
                <w:color w:val="1A1A1A"/>
                <w:sz w:val="16"/>
              </w:rPr>
              <w:t>6-11 sets in diagnostics</w:t>
            </w:r>
          </w:p>
        </w:tc>
        <w:tc>
          <w:tcPr>
            <w:tcW w:type="dxa" w:w="3969"/>
            <w:vAlign w:val="center"/>
          </w:tcPr>
          <w:p>
            <w:pPr>
              <w:spacing w:after="0"/>
            </w:pPr>
            <w:r/>
            <w:r>
              <w:rPr>
                <w:rFonts w:ascii="Arial" w:hAnsi="Arial" w:eastAsia="Arial"/>
                <w:b w:val="0"/>
                <w:color w:val="1A1A1A"/>
                <w:sz w:val="16"/>
              </w:rPr>
              <w:t>WIP is not physical set count</w:t>
            </w:r>
          </w:p>
        </w:tc>
      </w:tr>
    </w:tbl>
    <w:p>
      <w:pPr>
        <w:spacing w:after="0"/>
      </w:pPr>
    </w:p>
    <w:p>
      <w:pPr>
        <w:spacing w:before="0" w:after="120"/>
      </w:pPr>
      <w:r>
        <w:rPr>
          <w:rFonts w:ascii="Arial" w:hAnsi="Arial"/>
          <w:i/>
          <w:color w:val="646464"/>
          <w:sz w:val="16"/>
        </w:rPr>
        <w:t>Source basis: [S03], [S04], [S06]</w:t>
      </w:r>
    </w:p>
    <w:p>
      <w:pPr>
        <w:pStyle w:val="Heading1"/>
      </w:pPr>
      <w:r>
        <w:t>14. Indicative implementation programme</w:t>
      </w:r>
    </w:p>
    <w:p>
      <w:r>
        <w:t>The programme below is a roadmap for decision and procurement planning. It is not the final execution schedule.</w:t>
      </w:r>
    </w:p>
    <w:p>
      <w:pPr>
        <w:jc w:val="center"/>
      </w:pPr>
      <w:r>
        <w:drawing>
          <wp:inline xmlns:a="http://schemas.openxmlformats.org/drawingml/2006/main" xmlns:pic="http://schemas.openxmlformats.org/drawingml/2006/picture">
            <wp:extent cx="6126480" cy="3369564"/>
            <wp:docPr id="8" name="Picture 8"/>
            <wp:cNvGraphicFramePr>
              <a:graphicFrameLocks noChangeAspect="1"/>
            </wp:cNvGraphicFramePr>
            <a:graphic>
              <a:graphicData uri="http://schemas.openxmlformats.org/drawingml/2006/picture">
                <pic:pic>
                  <pic:nvPicPr>
                    <pic:cNvPr id="0" name="implementation_roadmap.png"/>
                    <pic:cNvPicPr/>
                  </pic:nvPicPr>
                  <pic:blipFill>
                    <a:blip r:embed="rId17"/>
                    <a:stretch>
                      <a:fillRect/>
                    </a:stretch>
                  </pic:blipFill>
                  <pic:spPr>
                    <a:xfrm>
                      <a:off x="0" y="0"/>
                      <a:ext cx="6126480" cy="3369564"/>
                    </a:xfrm>
                    <a:prstGeom prst="rect"/>
                  </pic:spPr>
                </pic:pic>
              </a:graphicData>
            </a:graphic>
          </wp:inline>
        </w:drawing>
      </w:r>
    </w:p>
    <w:p>
      <w:pPr>
        <w:pStyle w:val="FigureCaption"/>
        <w:jc w:val="center"/>
      </w:pPr>
      <w:r>
        <w:t>Figure 6. Indicative implementation roadmap.</w:t>
      </w:r>
    </w:p>
    <w:p>
      <w:pPr>
        <w:pStyle w:val="ListBullet"/>
        <w:spacing w:after="40"/>
      </w:pPr>
      <w:r>
        <w:t>Supplier development and temporary-works design should start before procurement commitment.</w:t>
      </w:r>
    </w:p>
    <w:p>
      <w:pPr>
        <w:pStyle w:val="ListBullet"/>
        <w:spacing w:after="40"/>
      </w:pPr>
      <w:r>
        <w:t>Fabrication and FAT can overlap late design only where interfaces are frozen.</w:t>
      </w:r>
    </w:p>
    <w:p>
      <w:pPr>
        <w:pStyle w:val="ListBullet"/>
        <w:spacing w:after="40"/>
      </w:pPr>
      <w:r>
        <w:t>A four-week mobilisation allowance and four-week proving campaign are carried as working assumptions.</w:t>
      </w:r>
    </w:p>
    <w:p>
      <w:pPr>
        <w:pStyle w:val="ListBullet"/>
        <w:spacing w:after="40"/>
      </w:pPr>
      <w:r>
        <w:t>Known outages, ship calls, wet-season recovery, proving and ramp-up should be explicit calendar blocks.</w:t>
      </w:r>
    </w:p>
    <w:p>
      <w:pPr>
        <w:pStyle w:val="ListBullet"/>
        <w:spacing w:after="40"/>
      </w:pPr>
      <w:r>
        <w:t>The final critical path must include supplier lead times, approvals, JUB mobilisation, accommodation, proof loading and regulator requirements.</w:t>
      </w:r>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Programme gate</w:t>
            </w:r>
          </w:p>
        </w:tc>
        <w:tc>
          <w:tcPr>
            <w:tcW w:type="dxa" w:w="4986"/>
            <w:shd w:fill="FAF7F1"/>
            <w:vAlign w:val="center"/>
          </w:tcPr>
          <w:p>
            <w:pPr>
              <w:spacing w:after="0"/>
            </w:pPr>
            <w:r/>
            <w:r>
              <w:rPr>
                <w:rFonts w:ascii="Arial" w:hAnsi="Arial" w:eastAsia="Arial"/>
                <w:b w:val="0"/>
                <w:color w:val="1A1A1A"/>
                <w:sz w:val="17"/>
              </w:rPr>
              <w:t>The model does not support an end-2028 commitment until the current priority register, measured cycle, full fleet, calendar and commercial basis are accepted.</w:t>
            </w:r>
          </w:p>
        </w:tc>
      </w:tr>
    </w:tbl>
    <w:p>
      <w:pPr>
        <w:spacing w:after="0"/>
      </w:pPr>
    </w:p>
    <w:p>
      <w:pPr>
        <w:pStyle w:val="Heading1"/>
      </w:pPr>
      <w:r>
        <w:t>15. Cost and commercial comparison</w:t>
      </w:r>
    </w:p>
    <w:p>
      <w:pPr>
        <w:pStyle w:val="Heading2"/>
      </w:pPr>
      <w:r>
        <w:t>15.1 Current-method reference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969"/>
            <w:shd w:fill="E87722"/>
            <w:vAlign w:val="center"/>
          </w:tcPr>
          <w:p>
            <w:pPr>
              <w:spacing w:after="0"/>
            </w:pPr>
            <w:r/>
            <w:r>
              <w:rPr>
                <w:rFonts w:ascii="Arial" w:hAnsi="Arial" w:eastAsia="Arial"/>
                <w:b/>
                <w:color w:val="FFFFFF"/>
                <w:sz w:val="16"/>
              </w:rPr>
              <w:t>Reference</w:t>
            </w:r>
          </w:p>
        </w:tc>
        <w:tc>
          <w:tcPr>
            <w:tcW w:type="dxa" w:w="2268"/>
            <w:shd w:fill="E87722"/>
            <w:vAlign w:val="center"/>
          </w:tcPr>
          <w:p>
            <w:pPr>
              <w:spacing w:after="0"/>
            </w:pPr>
            <w:r/>
            <w:r>
              <w:rPr>
                <w:rFonts w:ascii="Arial" w:hAnsi="Arial" w:eastAsia="Arial"/>
                <w:b/>
                <w:color w:val="FFFFFF"/>
                <w:sz w:val="16"/>
              </w:rPr>
              <w:t>AUD ex GST</w:t>
            </w:r>
          </w:p>
        </w:tc>
        <w:tc>
          <w:tcPr>
            <w:tcW w:type="dxa" w:w="3969"/>
            <w:shd w:fill="E87722"/>
            <w:vAlign w:val="center"/>
          </w:tcPr>
          <w:p>
            <w:pPr>
              <w:spacing w:after="0"/>
            </w:pPr>
            <w:r/>
            <w:r>
              <w:rPr>
                <w:rFonts w:ascii="Arial" w:hAnsi="Arial" w:eastAsia="Arial"/>
                <w:b/>
                <w:color w:val="FFFFFF"/>
                <w:sz w:val="16"/>
              </w:rPr>
              <w:t>Interpretation</w:t>
            </w:r>
          </w:p>
        </w:tc>
      </w:tr>
      <w:tr>
        <w:tc>
          <w:tcPr>
            <w:tcW w:type="dxa" w:w="3969"/>
            <w:vAlign w:val="center"/>
          </w:tcPr>
          <w:p>
            <w:pPr>
              <w:spacing w:after="0"/>
            </w:pPr>
            <w:r/>
            <w:r>
              <w:rPr>
                <w:rFonts w:ascii="Arial" w:hAnsi="Arial" w:eastAsia="Arial"/>
                <w:b w:val="0"/>
                <w:color w:val="1A1A1A"/>
                <w:sz w:val="16"/>
              </w:rPr>
              <w:t>Current safe-access basis including optional EJ access</w:t>
            </w:r>
          </w:p>
        </w:tc>
        <w:tc>
          <w:tcPr>
            <w:tcW w:type="dxa" w:w="2268"/>
            <w:vAlign w:val="center"/>
          </w:tcPr>
          <w:p>
            <w:pPr>
              <w:spacing w:after="0"/>
            </w:pPr>
            <w:r/>
            <w:r>
              <w:rPr>
                <w:rFonts w:ascii="Arial" w:hAnsi="Arial" w:eastAsia="Arial"/>
                <w:b w:val="0"/>
                <w:color w:val="1A1A1A"/>
                <w:sz w:val="16"/>
              </w:rPr>
              <w:t>9,321,982</w:t>
            </w:r>
          </w:p>
        </w:tc>
        <w:tc>
          <w:tcPr>
            <w:tcW w:type="dxa" w:w="3969"/>
            <w:vAlign w:val="center"/>
          </w:tcPr>
          <w:p>
            <w:pPr>
              <w:spacing w:after="0"/>
            </w:pPr>
            <w:r/>
            <w:r>
              <w:rPr>
                <w:rFonts w:ascii="Arial" w:hAnsi="Arial" w:eastAsia="Arial"/>
                <w:b w:val="0"/>
                <w:color w:val="1A1A1A"/>
                <w:sz w:val="16"/>
              </w:rPr>
              <w:t>Executed contract pricing basis</w:t>
            </w:r>
          </w:p>
        </w:tc>
      </w:tr>
      <w:tr>
        <w:tc>
          <w:tcPr>
            <w:tcW w:type="dxa" w:w="3969"/>
            <w:vAlign w:val="center"/>
          </w:tcPr>
          <w:p>
            <w:pPr>
              <w:spacing w:after="0"/>
            </w:pPr>
            <w:r/>
            <w:r>
              <w:rPr>
                <w:rFonts w:ascii="Arial" w:hAnsi="Arial" w:eastAsia="Arial"/>
                <w:b w:val="0"/>
                <w:color w:val="1A1A1A"/>
                <w:sz w:val="16"/>
              </w:rPr>
              <w:t>Safe-access basis excluding optional EJ access</w:t>
            </w:r>
          </w:p>
        </w:tc>
        <w:tc>
          <w:tcPr>
            <w:tcW w:type="dxa" w:w="2268"/>
            <w:vAlign w:val="center"/>
          </w:tcPr>
          <w:p>
            <w:pPr>
              <w:spacing w:after="0"/>
            </w:pPr>
            <w:r/>
            <w:r>
              <w:rPr>
                <w:rFonts w:ascii="Arial" w:hAnsi="Arial" w:eastAsia="Arial"/>
                <w:b w:val="0"/>
                <w:color w:val="1A1A1A"/>
                <w:sz w:val="16"/>
              </w:rPr>
              <w:t>8,190,472</w:t>
            </w:r>
          </w:p>
        </w:tc>
        <w:tc>
          <w:tcPr>
            <w:tcW w:type="dxa" w:w="3969"/>
            <w:vAlign w:val="center"/>
          </w:tcPr>
          <w:p>
            <w:pPr>
              <w:spacing w:after="0"/>
            </w:pPr>
            <w:r/>
            <w:r>
              <w:rPr>
                <w:rFonts w:ascii="Arial" w:hAnsi="Arial" w:eastAsia="Arial"/>
                <w:b w:val="0"/>
                <w:color w:val="1A1A1A"/>
                <w:sz w:val="16"/>
              </w:rPr>
              <w:t>Derived from executed pricing</w:t>
            </w:r>
          </w:p>
        </w:tc>
      </w:tr>
      <w:tr>
        <w:tc>
          <w:tcPr>
            <w:tcW w:type="dxa" w:w="3969"/>
            <w:vAlign w:val="center"/>
          </w:tcPr>
          <w:p>
            <w:pPr>
              <w:spacing w:after="0"/>
            </w:pPr>
            <w:r/>
            <w:r>
              <w:rPr>
                <w:rFonts w:ascii="Arial" w:hAnsi="Arial" w:eastAsia="Arial"/>
                <w:b w:val="0"/>
                <w:color w:val="1A1A1A"/>
                <w:sz w:val="16"/>
              </w:rPr>
              <w:t>Bespoke access tooling</w:t>
            </w:r>
          </w:p>
        </w:tc>
        <w:tc>
          <w:tcPr>
            <w:tcW w:type="dxa" w:w="2268"/>
            <w:vAlign w:val="center"/>
          </w:tcPr>
          <w:p>
            <w:pPr>
              <w:spacing w:after="0"/>
            </w:pPr>
            <w:r/>
            <w:r>
              <w:rPr>
                <w:rFonts w:ascii="Arial" w:hAnsi="Arial" w:eastAsia="Arial"/>
                <w:b w:val="0"/>
                <w:color w:val="1A1A1A"/>
                <w:sz w:val="16"/>
              </w:rPr>
              <w:t>1,085,000</w:t>
            </w:r>
          </w:p>
        </w:tc>
        <w:tc>
          <w:tcPr>
            <w:tcW w:type="dxa" w:w="3969"/>
            <w:vAlign w:val="center"/>
          </w:tcPr>
          <w:p>
            <w:pPr>
              <w:spacing w:after="0"/>
            </w:pPr>
            <w:r/>
            <w:r>
              <w:rPr>
                <w:rFonts w:ascii="Arial" w:hAnsi="Arial" w:eastAsia="Arial"/>
                <w:b w:val="0"/>
                <w:color w:val="1A1A1A"/>
                <w:sz w:val="16"/>
              </w:rPr>
              <w:t>Separate contract item</w:t>
            </w:r>
          </w:p>
        </w:tc>
      </w:tr>
      <w:tr>
        <w:tc>
          <w:tcPr>
            <w:tcW w:type="dxa" w:w="3969"/>
            <w:vAlign w:val="center"/>
          </w:tcPr>
          <w:p>
            <w:pPr>
              <w:spacing w:after="0"/>
            </w:pPr>
            <w:r/>
            <w:r>
              <w:rPr>
                <w:rFonts w:ascii="Arial" w:hAnsi="Arial" w:eastAsia="Arial"/>
                <w:b w:val="0"/>
                <w:color w:val="1A1A1A"/>
                <w:sz w:val="16"/>
              </w:rPr>
              <w:t>Base access excluding optional EJ plus tooling</w:t>
            </w:r>
          </w:p>
        </w:tc>
        <w:tc>
          <w:tcPr>
            <w:tcW w:type="dxa" w:w="2268"/>
            <w:vAlign w:val="center"/>
          </w:tcPr>
          <w:p>
            <w:pPr>
              <w:spacing w:after="0"/>
            </w:pPr>
            <w:r/>
            <w:r>
              <w:rPr>
                <w:rFonts w:ascii="Arial" w:hAnsi="Arial" w:eastAsia="Arial"/>
                <w:b w:val="0"/>
                <w:color w:val="1A1A1A"/>
                <w:sz w:val="16"/>
              </w:rPr>
              <w:t>9,275,472</w:t>
            </w:r>
          </w:p>
        </w:tc>
        <w:tc>
          <w:tcPr>
            <w:tcW w:type="dxa" w:w="3969"/>
            <w:vAlign w:val="center"/>
          </w:tcPr>
          <w:p>
            <w:pPr>
              <w:spacing w:after="0"/>
            </w:pPr>
            <w:r/>
            <w:r>
              <w:rPr>
                <w:rFonts w:ascii="Arial" w:hAnsi="Arial" w:eastAsia="Arial"/>
                <w:b w:val="0"/>
                <w:color w:val="1A1A1A"/>
                <w:sz w:val="16"/>
              </w:rPr>
              <w:t>Reference only, not remaining avoidable cost</w:t>
            </w:r>
          </w:p>
        </w:tc>
      </w:tr>
    </w:tbl>
    <w:p>
      <w:pPr>
        <w:spacing w:after="0"/>
      </w:pPr>
    </w:p>
    <w:p>
      <w:pPr>
        <w:pStyle w:val="Heading2"/>
      </w:pPr>
      <w:r>
        <w:t>15.2 Proposed cost model</w:t>
      </w:r>
    </w:p>
    <w:p>
      <w:r>
        <w:t>The companion workbook builds the proposed cost by fixed engineering, set capital, marine mobilisation, time-related spread, set-related weekly cost and variable production cost. Yellow inputs are editable. The current totals use Endura working allowances because a structured GGC/JUB/containment quotation was not verified. They are not supplier rates or budget commitments.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134"/>
            <w:shd w:fill="E87722"/>
            <w:vAlign w:val="center"/>
          </w:tcPr>
          <w:p>
            <w:pPr>
              <w:spacing w:after="0"/>
            </w:pPr>
            <w:r/>
            <w:r>
              <w:rPr>
                <w:rFonts w:ascii="Arial" w:hAnsi="Arial" w:eastAsia="Arial"/>
                <w:b/>
                <w:color w:val="FFFFFF"/>
                <w:sz w:val="16"/>
              </w:rPr>
              <w:t>Scenario</w:t>
            </w:r>
          </w:p>
        </w:tc>
        <w:tc>
          <w:tcPr>
            <w:tcW w:type="dxa" w:w="1134"/>
            <w:shd w:fill="E87722"/>
            <w:vAlign w:val="center"/>
          </w:tcPr>
          <w:p>
            <w:pPr>
              <w:spacing w:after="0"/>
            </w:pPr>
            <w:r/>
            <w:r>
              <w:rPr>
                <w:rFonts w:ascii="Arial" w:hAnsi="Arial" w:eastAsia="Arial"/>
                <w:b/>
                <w:color w:val="FFFFFF"/>
                <w:sz w:val="16"/>
              </w:rPr>
              <w:t>Sets</w:t>
            </w:r>
          </w:p>
        </w:tc>
        <w:tc>
          <w:tcPr>
            <w:tcW w:type="dxa" w:w="1701"/>
            <w:shd w:fill="E87722"/>
            <w:vAlign w:val="center"/>
          </w:tcPr>
          <w:p>
            <w:pPr>
              <w:spacing w:after="0"/>
            </w:pPr>
            <w:r/>
            <w:r>
              <w:rPr>
                <w:rFonts w:ascii="Arial" w:hAnsi="Arial" w:eastAsia="Arial"/>
                <w:b/>
                <w:color w:val="FFFFFF"/>
                <w:sz w:val="16"/>
              </w:rPr>
              <w:t>Model weeks</w:t>
            </w:r>
          </w:p>
        </w:tc>
        <w:tc>
          <w:tcPr>
            <w:tcW w:type="dxa" w:w="2268"/>
            <w:shd w:fill="E87722"/>
            <w:vAlign w:val="center"/>
          </w:tcPr>
          <w:p>
            <w:pPr>
              <w:spacing w:after="0"/>
            </w:pPr>
            <w:r/>
            <w:r>
              <w:rPr>
                <w:rFonts w:ascii="Arial" w:hAnsi="Arial" w:eastAsia="Arial"/>
                <w:b/>
                <w:color w:val="FFFFFF"/>
                <w:sz w:val="16"/>
              </w:rPr>
              <w:t>Working total</w:t>
            </w:r>
          </w:p>
        </w:tc>
        <w:tc>
          <w:tcPr>
            <w:tcW w:type="dxa" w:w="1701"/>
            <w:shd w:fill="E87722"/>
            <w:vAlign w:val="center"/>
          </w:tcPr>
          <w:p>
            <w:pPr>
              <w:spacing w:after="0"/>
            </w:pPr>
            <w:r/>
            <w:r>
              <w:rPr>
                <w:rFonts w:ascii="Arial" w:hAnsi="Arial" w:eastAsia="Arial"/>
                <w:b/>
                <w:color w:val="FFFFFF"/>
                <w:sz w:val="16"/>
              </w:rPr>
              <w:t>Cost/bent</w:t>
            </w:r>
          </w:p>
        </w:tc>
        <w:tc>
          <w:tcPr>
            <w:tcW w:type="dxa" w:w="3969"/>
            <w:shd w:fill="E87722"/>
            <w:vAlign w:val="center"/>
          </w:tcPr>
          <w:p>
            <w:pPr>
              <w:spacing w:after="0"/>
            </w:pPr>
            <w:r/>
            <w:r>
              <w:rPr>
                <w:rFonts w:ascii="Arial" w:hAnsi="Arial" w:eastAsia="Arial"/>
                <w:b/>
                <w:color w:val="FFFFFF"/>
                <w:sz w:val="16"/>
              </w:rPr>
              <w:t>Qualification</w:t>
            </w:r>
          </w:p>
        </w:tc>
      </w:tr>
      <w:tr>
        <w:tc>
          <w:tcPr>
            <w:tcW w:type="dxa" w:w="1134"/>
            <w:vAlign w:val="center"/>
          </w:tcPr>
          <w:p>
            <w:pPr>
              <w:spacing w:after="0"/>
            </w:pPr>
            <w:r/>
            <w:r>
              <w:rPr>
                <w:rFonts w:ascii="Arial" w:hAnsi="Arial" w:eastAsia="Arial"/>
                <w:b w:val="0"/>
                <w:color w:val="1A1A1A"/>
                <w:sz w:val="16"/>
              </w:rPr>
              <w:t>S1</w:t>
            </w:r>
          </w:p>
        </w:tc>
        <w:tc>
          <w:tcPr>
            <w:tcW w:type="dxa" w:w="1134"/>
            <w:vAlign w:val="center"/>
          </w:tcPr>
          <w:p>
            <w:pPr>
              <w:spacing w:after="0"/>
            </w:pPr>
            <w:r/>
            <w:r>
              <w:rPr>
                <w:rFonts w:ascii="Arial" w:hAnsi="Arial" w:eastAsia="Arial"/>
                <w:b w:val="0"/>
                <w:color w:val="1A1A1A"/>
                <w:sz w:val="16"/>
              </w:rPr>
              <w:t>11</w:t>
            </w:r>
          </w:p>
        </w:tc>
        <w:tc>
          <w:tcPr>
            <w:tcW w:type="dxa" w:w="1701"/>
            <w:vAlign w:val="center"/>
          </w:tcPr>
          <w:p>
            <w:pPr>
              <w:spacing w:after="0"/>
            </w:pPr>
            <w:r/>
            <w:r>
              <w:rPr>
                <w:rFonts w:ascii="Arial" w:hAnsi="Arial" w:eastAsia="Arial"/>
                <w:b w:val="0"/>
                <w:color w:val="1A1A1A"/>
                <w:sz w:val="16"/>
              </w:rPr>
              <w:t>56.7</w:t>
            </w:r>
          </w:p>
        </w:tc>
        <w:tc>
          <w:tcPr>
            <w:tcW w:type="dxa" w:w="2268"/>
            <w:vAlign w:val="center"/>
          </w:tcPr>
          <w:p>
            <w:pPr>
              <w:spacing w:after="0"/>
            </w:pPr>
            <w:r/>
            <w:r>
              <w:rPr>
                <w:rFonts w:ascii="Arial" w:hAnsi="Arial" w:eastAsia="Arial"/>
                <w:b w:val="0"/>
                <w:color w:val="1A1A1A"/>
                <w:sz w:val="16"/>
              </w:rPr>
              <w:t>$51.7M</w:t>
            </w:r>
          </w:p>
        </w:tc>
        <w:tc>
          <w:tcPr>
            <w:tcW w:type="dxa" w:w="1701"/>
            <w:vAlign w:val="center"/>
          </w:tcPr>
          <w:p>
            <w:pPr>
              <w:spacing w:after="0"/>
            </w:pPr>
            <w:r/>
            <w:r>
              <w:rPr>
                <w:rFonts w:ascii="Arial" w:hAnsi="Arial" w:eastAsia="Arial"/>
                <w:b w:val="0"/>
                <w:color w:val="1A1A1A"/>
                <w:sz w:val="16"/>
              </w:rPr>
              <w:t>$228k</w:t>
            </w:r>
          </w:p>
        </w:tc>
        <w:tc>
          <w:tcPr>
            <w:tcW w:type="dxa" w:w="3969"/>
            <w:vAlign w:val="center"/>
          </w:tcPr>
          <w:p>
            <w:pPr>
              <w:spacing w:after="0"/>
            </w:pPr>
            <w:r/>
            <w:r>
              <w:rPr>
                <w:rFonts w:ascii="Arial" w:hAnsi="Arial" w:eastAsia="Arial"/>
                <w:b w:val="0"/>
                <w:color w:val="1A1A1A"/>
                <w:sz w:val="16"/>
              </w:rPr>
              <w:t>Before omitted work and final calendar</w:t>
            </w:r>
          </w:p>
        </w:tc>
      </w:tr>
      <w:tr>
        <w:tc>
          <w:tcPr>
            <w:tcW w:type="dxa" w:w="1134"/>
            <w:vAlign w:val="center"/>
          </w:tcPr>
          <w:p>
            <w:pPr>
              <w:spacing w:after="0"/>
            </w:pPr>
            <w:r/>
            <w:r>
              <w:rPr>
                <w:rFonts w:ascii="Arial" w:hAnsi="Arial" w:eastAsia="Arial"/>
                <w:b w:val="0"/>
                <w:color w:val="1A1A1A"/>
                <w:sz w:val="16"/>
              </w:rPr>
              <w:t>S2</w:t>
            </w:r>
          </w:p>
        </w:tc>
        <w:tc>
          <w:tcPr>
            <w:tcW w:type="dxa" w:w="1134"/>
            <w:vAlign w:val="center"/>
          </w:tcPr>
          <w:p>
            <w:pPr>
              <w:spacing w:after="0"/>
            </w:pPr>
            <w:r/>
            <w:r>
              <w:rPr>
                <w:rFonts w:ascii="Arial" w:hAnsi="Arial" w:eastAsia="Arial"/>
                <w:b w:val="0"/>
                <w:color w:val="1A1A1A"/>
                <w:sz w:val="16"/>
              </w:rPr>
              <w:t>9</w:t>
            </w:r>
          </w:p>
        </w:tc>
        <w:tc>
          <w:tcPr>
            <w:tcW w:type="dxa" w:w="1701"/>
            <w:vAlign w:val="center"/>
          </w:tcPr>
          <w:p>
            <w:pPr>
              <w:spacing w:after="0"/>
            </w:pPr>
            <w:r/>
            <w:r>
              <w:rPr>
                <w:rFonts w:ascii="Arial" w:hAnsi="Arial" w:eastAsia="Arial"/>
                <w:b w:val="0"/>
                <w:color w:val="1A1A1A"/>
                <w:sz w:val="16"/>
              </w:rPr>
              <w:t>55.7</w:t>
            </w:r>
          </w:p>
        </w:tc>
        <w:tc>
          <w:tcPr>
            <w:tcW w:type="dxa" w:w="2268"/>
            <w:vAlign w:val="center"/>
          </w:tcPr>
          <w:p>
            <w:pPr>
              <w:spacing w:after="0"/>
            </w:pPr>
            <w:r/>
            <w:r>
              <w:rPr>
                <w:rFonts w:ascii="Arial" w:hAnsi="Arial" w:eastAsia="Arial"/>
                <w:b w:val="0"/>
                <w:color w:val="1A1A1A"/>
                <w:sz w:val="16"/>
              </w:rPr>
              <w:t>$47.2M</w:t>
            </w:r>
          </w:p>
        </w:tc>
        <w:tc>
          <w:tcPr>
            <w:tcW w:type="dxa" w:w="1701"/>
            <w:vAlign w:val="center"/>
          </w:tcPr>
          <w:p>
            <w:pPr>
              <w:spacing w:after="0"/>
            </w:pPr>
            <w:r/>
            <w:r>
              <w:rPr>
                <w:rFonts w:ascii="Arial" w:hAnsi="Arial" w:eastAsia="Arial"/>
                <w:b w:val="0"/>
                <w:color w:val="1A1A1A"/>
                <w:sz w:val="16"/>
              </w:rPr>
              <w:t>$208k</w:t>
            </w:r>
          </w:p>
        </w:tc>
        <w:tc>
          <w:tcPr>
            <w:tcW w:type="dxa" w:w="3969"/>
            <w:vAlign w:val="center"/>
          </w:tcPr>
          <w:p>
            <w:pPr>
              <w:spacing w:after="0"/>
            </w:pPr>
            <w:r/>
            <w:r>
              <w:rPr>
                <w:rFonts w:ascii="Arial" w:hAnsi="Arial" w:eastAsia="Arial"/>
                <w:b w:val="0"/>
                <w:color w:val="1A1A1A"/>
                <w:sz w:val="16"/>
              </w:rPr>
              <w:t>Before omitted work and final calendar</w:t>
            </w:r>
          </w:p>
        </w:tc>
      </w:tr>
      <w:tr>
        <w:tc>
          <w:tcPr>
            <w:tcW w:type="dxa" w:w="1134"/>
            <w:vAlign w:val="center"/>
          </w:tcPr>
          <w:p>
            <w:pPr>
              <w:spacing w:after="0"/>
            </w:pPr>
            <w:r/>
            <w:r>
              <w:rPr>
                <w:rFonts w:ascii="Arial" w:hAnsi="Arial" w:eastAsia="Arial"/>
                <w:b w:val="0"/>
                <w:color w:val="1A1A1A"/>
                <w:sz w:val="16"/>
              </w:rPr>
              <w:t>S3</w:t>
            </w:r>
          </w:p>
        </w:tc>
        <w:tc>
          <w:tcPr>
            <w:tcW w:type="dxa" w:w="1134"/>
            <w:vAlign w:val="center"/>
          </w:tcPr>
          <w:p>
            <w:pPr>
              <w:spacing w:after="0"/>
            </w:pPr>
            <w:r/>
            <w:r>
              <w:rPr>
                <w:rFonts w:ascii="Arial" w:hAnsi="Arial" w:eastAsia="Arial"/>
                <w:b w:val="0"/>
                <w:color w:val="1A1A1A"/>
                <w:sz w:val="16"/>
              </w:rPr>
              <w:t>7</w:t>
            </w:r>
          </w:p>
        </w:tc>
        <w:tc>
          <w:tcPr>
            <w:tcW w:type="dxa" w:w="1701"/>
            <w:vAlign w:val="center"/>
          </w:tcPr>
          <w:p>
            <w:pPr>
              <w:spacing w:after="0"/>
            </w:pPr>
            <w:r/>
            <w:r>
              <w:rPr>
                <w:rFonts w:ascii="Arial" w:hAnsi="Arial" w:eastAsia="Arial"/>
                <w:b w:val="0"/>
                <w:color w:val="1A1A1A"/>
                <w:sz w:val="16"/>
              </w:rPr>
              <w:t>52.5</w:t>
            </w:r>
          </w:p>
        </w:tc>
        <w:tc>
          <w:tcPr>
            <w:tcW w:type="dxa" w:w="2268"/>
            <w:vAlign w:val="center"/>
          </w:tcPr>
          <w:p>
            <w:pPr>
              <w:spacing w:after="0"/>
            </w:pPr>
            <w:r/>
            <w:r>
              <w:rPr>
                <w:rFonts w:ascii="Arial" w:hAnsi="Arial" w:eastAsia="Arial"/>
                <w:b w:val="0"/>
                <w:color w:val="1A1A1A"/>
                <w:sz w:val="16"/>
              </w:rPr>
              <w:t>$41.9M</w:t>
            </w:r>
          </w:p>
        </w:tc>
        <w:tc>
          <w:tcPr>
            <w:tcW w:type="dxa" w:w="1701"/>
            <w:vAlign w:val="center"/>
          </w:tcPr>
          <w:p>
            <w:pPr>
              <w:spacing w:after="0"/>
            </w:pPr>
            <w:r/>
            <w:r>
              <w:rPr>
                <w:rFonts w:ascii="Arial" w:hAnsi="Arial" w:eastAsia="Arial"/>
                <w:b w:val="0"/>
                <w:color w:val="1A1A1A"/>
                <w:sz w:val="16"/>
              </w:rPr>
              <w:t>$185k</w:t>
            </w:r>
          </w:p>
        </w:tc>
        <w:tc>
          <w:tcPr>
            <w:tcW w:type="dxa" w:w="3969"/>
            <w:vAlign w:val="center"/>
          </w:tcPr>
          <w:p>
            <w:pPr>
              <w:spacing w:after="0"/>
            </w:pPr>
            <w:r/>
            <w:r>
              <w:rPr>
                <w:rFonts w:ascii="Arial" w:hAnsi="Arial" w:eastAsia="Arial"/>
                <w:b w:val="0"/>
                <w:color w:val="1A1A1A"/>
                <w:sz w:val="16"/>
              </w:rPr>
              <w:t>Before omitted work and final calendar</w:t>
            </w:r>
          </w:p>
        </w:tc>
      </w:tr>
      <w:tr>
        <w:tc>
          <w:tcPr>
            <w:tcW w:type="dxa" w:w="1134"/>
            <w:vAlign w:val="center"/>
          </w:tcPr>
          <w:p>
            <w:pPr>
              <w:spacing w:after="0"/>
            </w:pPr>
            <w:r/>
            <w:r>
              <w:rPr>
                <w:rFonts w:ascii="Arial" w:hAnsi="Arial" w:eastAsia="Arial"/>
                <w:b w:val="0"/>
                <w:color w:val="1A1A1A"/>
                <w:sz w:val="16"/>
              </w:rPr>
              <w:t>S4</w:t>
            </w:r>
          </w:p>
        </w:tc>
        <w:tc>
          <w:tcPr>
            <w:tcW w:type="dxa" w:w="1134"/>
            <w:vAlign w:val="center"/>
          </w:tcPr>
          <w:p>
            <w:pPr>
              <w:spacing w:after="0"/>
            </w:pPr>
            <w:r/>
            <w:r>
              <w:rPr>
                <w:rFonts w:ascii="Arial" w:hAnsi="Arial" w:eastAsia="Arial"/>
                <w:b w:val="0"/>
                <w:color w:val="1A1A1A"/>
                <w:sz w:val="16"/>
              </w:rPr>
              <w:t>6</w:t>
            </w:r>
          </w:p>
        </w:tc>
        <w:tc>
          <w:tcPr>
            <w:tcW w:type="dxa" w:w="1701"/>
            <w:vAlign w:val="center"/>
          </w:tcPr>
          <w:p>
            <w:pPr>
              <w:spacing w:after="0"/>
            </w:pPr>
            <w:r/>
            <w:r>
              <w:rPr>
                <w:rFonts w:ascii="Arial" w:hAnsi="Arial" w:eastAsia="Arial"/>
                <w:b w:val="0"/>
                <w:color w:val="1A1A1A"/>
                <w:sz w:val="16"/>
              </w:rPr>
              <w:t>55.5</w:t>
            </w:r>
          </w:p>
        </w:tc>
        <w:tc>
          <w:tcPr>
            <w:tcW w:type="dxa" w:w="2268"/>
            <w:vAlign w:val="center"/>
          </w:tcPr>
          <w:p>
            <w:pPr>
              <w:spacing w:after="0"/>
            </w:pPr>
            <w:r/>
            <w:r>
              <w:rPr>
                <w:rFonts w:ascii="Arial" w:hAnsi="Arial" w:eastAsia="Arial"/>
                <w:b w:val="0"/>
                <w:color w:val="1A1A1A"/>
                <w:sz w:val="16"/>
              </w:rPr>
              <w:t>$41.2M</w:t>
            </w:r>
          </w:p>
        </w:tc>
        <w:tc>
          <w:tcPr>
            <w:tcW w:type="dxa" w:w="1701"/>
            <w:vAlign w:val="center"/>
          </w:tcPr>
          <w:p>
            <w:pPr>
              <w:spacing w:after="0"/>
            </w:pPr>
            <w:r/>
            <w:r>
              <w:rPr>
                <w:rFonts w:ascii="Arial" w:hAnsi="Arial" w:eastAsia="Arial"/>
                <w:b w:val="0"/>
                <w:color w:val="1A1A1A"/>
                <w:sz w:val="16"/>
              </w:rPr>
              <w:t>$181k</w:t>
            </w:r>
          </w:p>
        </w:tc>
        <w:tc>
          <w:tcPr>
            <w:tcW w:type="dxa" w:w="3969"/>
            <w:vAlign w:val="center"/>
          </w:tcPr>
          <w:p>
            <w:pPr>
              <w:spacing w:after="0"/>
            </w:pPr>
            <w:r/>
            <w:r>
              <w:rPr>
                <w:rFonts w:ascii="Arial" w:hAnsi="Arial" w:eastAsia="Arial"/>
                <w:b w:val="0"/>
                <w:color w:val="1A1A1A"/>
                <w:sz w:val="16"/>
              </w:rPr>
              <w:t>Before omitted work and final calendar</w:t>
            </w:r>
          </w:p>
        </w:tc>
      </w:tr>
    </w:tbl>
    <w:p>
      <w:pPr>
        <w:spacing w:after="0"/>
      </w:pP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cost_sensitivity.png"/>
                    <pic:cNvPicPr/>
                  </pic:nvPicPr>
                  <pic:blipFill>
                    <a:blip r:embed="rId18"/>
                    <a:stretch>
                      <a:fillRect/>
                    </a:stretch>
                  </pic:blipFill>
                  <pic:spPr>
                    <a:xfrm>
                      <a:off x="0" y="0"/>
                      <a:ext cx="5852160" cy="3291840"/>
                    </a:xfrm>
                    <a:prstGeom prst="rect"/>
                  </pic:spPr>
                </pic:pic>
              </a:graphicData>
            </a:graphic>
          </wp:inline>
        </w:drawing>
      </w:r>
    </w:p>
    <w:p>
      <w:pPr>
        <w:pStyle w:val="FigureCaption"/>
        <w:jc w:val="center"/>
      </w:pPr>
      <w:r>
        <w:t>Figure 7. Parametric cost sensitivity using working allowances, not quotations.</w:t>
      </w:r>
    </w:p>
    <w:p>
      <w:r>
        <w:t>A valid commercial comparison requires the same remaining scope, same bent families, same calendar, same quality standard and the same risk treatment. The current contract access value is not automatically avoidable, and the proposed campaign total cannot be closed until supplier rates and the bent register are received.</w:t>
      </w:r>
    </w:p>
    <w:p>
      <w:pPr>
        <w:spacing w:before="0" w:after="120"/>
      </w:pPr>
      <w:r>
        <w:rPr>
          <w:rFonts w:ascii="Arial" w:hAnsi="Arial"/>
          <w:i/>
          <w:color w:val="646464"/>
          <w:sz w:val="16"/>
        </w:rPr>
        <w:t>Source basis: [S02], [S09]</w:t>
      </w:r>
    </w:p>
    <w:p>
      <w:pPr>
        <w:pStyle w:val="Heading1"/>
      </w:pPr>
      <w:r>
        <w:t>16. Multi-criteria assessment</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2835"/>
            <w:shd w:fill="E87722"/>
            <w:vAlign w:val="center"/>
          </w:tcPr>
          <w:p>
            <w:pPr>
              <w:spacing w:after="0"/>
            </w:pPr>
            <w:r/>
            <w:r>
              <w:rPr>
                <w:rFonts w:ascii="Arial" w:hAnsi="Arial" w:eastAsia="Arial"/>
                <w:b/>
                <w:color w:val="FFFFFF"/>
                <w:sz w:val="14"/>
              </w:rPr>
              <w:t>Criterion</w:t>
            </w:r>
          </w:p>
        </w:tc>
        <w:tc>
          <w:tcPr>
            <w:tcW w:type="dxa" w:w="1134"/>
            <w:shd w:fill="E87722"/>
            <w:vAlign w:val="center"/>
          </w:tcPr>
          <w:p>
            <w:pPr>
              <w:spacing w:after="0"/>
            </w:pPr>
            <w:r/>
            <w:r>
              <w:rPr>
                <w:rFonts w:ascii="Arial" w:hAnsi="Arial" w:eastAsia="Arial"/>
                <w:b/>
                <w:color w:val="FFFFFF"/>
                <w:sz w:val="14"/>
              </w:rPr>
              <w:t>Weight</w:t>
            </w:r>
          </w:p>
        </w:tc>
        <w:tc>
          <w:tcPr>
            <w:tcW w:type="dxa" w:w="1134"/>
            <w:shd w:fill="E87722"/>
            <w:vAlign w:val="center"/>
          </w:tcPr>
          <w:p>
            <w:pPr>
              <w:spacing w:after="0"/>
            </w:pPr>
            <w:r/>
            <w:r>
              <w:rPr>
                <w:rFonts w:ascii="Arial" w:hAnsi="Arial" w:eastAsia="Arial"/>
                <w:b/>
                <w:color w:val="FFFFFF"/>
                <w:sz w:val="14"/>
              </w:rPr>
              <w:t>Scaffold</w:t>
            </w:r>
          </w:p>
        </w:tc>
        <w:tc>
          <w:tcPr>
            <w:tcW w:type="dxa" w:w="1134"/>
            <w:shd w:fill="E87722"/>
            <w:vAlign w:val="center"/>
          </w:tcPr>
          <w:p>
            <w:pPr>
              <w:spacing w:after="0"/>
            </w:pPr>
            <w:r/>
            <w:r>
              <w:rPr>
                <w:rFonts w:ascii="Arial" w:hAnsi="Arial" w:eastAsia="Arial"/>
                <w:b/>
                <w:color w:val="FFFFFF"/>
                <w:sz w:val="14"/>
              </w:rPr>
              <w:t>JUB direct</w:t>
            </w:r>
          </w:p>
        </w:tc>
        <w:tc>
          <w:tcPr>
            <w:tcW w:type="dxa" w:w="1134"/>
            <w:shd w:fill="E87722"/>
            <w:vAlign w:val="center"/>
          </w:tcPr>
          <w:p>
            <w:pPr>
              <w:spacing w:after="0"/>
            </w:pPr>
            <w:r/>
            <w:r>
              <w:rPr>
                <w:rFonts w:ascii="Arial" w:hAnsi="Arial" w:eastAsia="Arial"/>
                <w:b/>
                <w:color w:val="FFFFFF"/>
                <w:sz w:val="14"/>
              </w:rPr>
              <w:t>Pontoon</w:t>
            </w:r>
          </w:p>
        </w:tc>
        <w:tc>
          <w:tcPr>
            <w:tcW w:type="dxa" w:w="1701"/>
            <w:shd w:fill="E87722"/>
            <w:vAlign w:val="center"/>
          </w:tcPr>
          <w:p>
            <w:pPr>
              <w:spacing w:after="0"/>
            </w:pPr>
            <w:r/>
            <w:r>
              <w:rPr>
                <w:rFonts w:ascii="Arial" w:hAnsi="Arial" w:eastAsia="Arial"/>
                <w:b/>
                <w:color w:val="FFFFFF"/>
                <w:sz w:val="14"/>
              </w:rPr>
              <w:t>Suspended + JUB</w:t>
            </w:r>
          </w:p>
        </w:tc>
        <w:tc>
          <w:tcPr>
            <w:tcW w:type="dxa" w:w="1134"/>
            <w:shd w:fill="E87722"/>
            <w:vAlign w:val="center"/>
          </w:tcPr>
          <w:p>
            <w:pPr>
              <w:spacing w:after="0"/>
            </w:pPr>
            <w:r/>
            <w:r>
              <w:rPr>
                <w:rFonts w:ascii="Arial" w:hAnsi="Arial" w:eastAsia="Arial"/>
                <w:b/>
                <w:color w:val="FFFFFF"/>
                <w:sz w:val="14"/>
              </w:rPr>
              <w:t>Rope</w:t>
            </w:r>
          </w:p>
        </w:tc>
        <w:tc>
          <w:tcPr>
            <w:tcW w:type="dxa" w:w="1134"/>
            <w:shd w:fill="E87722"/>
            <w:vAlign w:val="center"/>
          </w:tcPr>
          <w:p>
            <w:pPr>
              <w:spacing w:after="0"/>
            </w:pPr>
            <w:r/>
            <w:r>
              <w:rPr>
                <w:rFonts w:ascii="Arial" w:hAnsi="Arial" w:eastAsia="Arial"/>
                <w:b/>
                <w:color w:val="FFFFFF"/>
                <w:sz w:val="14"/>
              </w:rPr>
              <w:t>Hybrid</w:t>
            </w:r>
          </w:p>
        </w:tc>
      </w:tr>
      <w:tr>
        <w:tc>
          <w:tcPr>
            <w:tcW w:type="dxa" w:w="2835"/>
            <w:vAlign w:val="center"/>
          </w:tcPr>
          <w:p>
            <w:pPr>
              <w:spacing w:after="0"/>
            </w:pPr>
            <w:r/>
            <w:r>
              <w:rPr>
                <w:rFonts w:ascii="Arial" w:hAnsi="Arial" w:eastAsia="Arial"/>
                <w:b w:val="0"/>
                <w:color w:val="1A1A1A"/>
                <w:sz w:val="14"/>
              </w:rPr>
              <w:t>Productivity / scalability</w:t>
            </w:r>
          </w:p>
        </w:tc>
        <w:tc>
          <w:tcPr>
            <w:tcW w:type="dxa" w:w="1134"/>
            <w:vAlign w:val="center"/>
          </w:tcPr>
          <w:p>
            <w:pPr>
              <w:spacing w:after="0"/>
            </w:pPr>
            <w:r/>
            <w:r>
              <w:rPr>
                <w:rFonts w:ascii="Arial" w:hAnsi="Arial" w:eastAsia="Arial"/>
                <w:b w:val="0"/>
                <w:color w:val="1A1A1A"/>
                <w:sz w:val="14"/>
              </w:rPr>
              <w:t>20%</w:t>
            </w:r>
          </w:p>
        </w:tc>
        <w:tc>
          <w:tcPr>
            <w:tcW w:type="dxa" w:w="1134"/>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3</w:t>
            </w:r>
          </w:p>
        </w:tc>
        <w:tc>
          <w:tcPr>
            <w:tcW w:type="dxa" w:w="1701"/>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4</w:t>
            </w:r>
          </w:p>
        </w:tc>
      </w:tr>
      <w:tr>
        <w:tc>
          <w:tcPr>
            <w:tcW w:type="dxa" w:w="2835"/>
            <w:vAlign w:val="center"/>
          </w:tcPr>
          <w:p>
            <w:pPr>
              <w:spacing w:after="0"/>
            </w:pPr>
            <w:r/>
            <w:r>
              <w:rPr>
                <w:rFonts w:ascii="Arial" w:hAnsi="Arial" w:eastAsia="Arial"/>
                <w:b w:val="0"/>
                <w:color w:val="1A1A1A"/>
                <w:sz w:val="14"/>
              </w:rPr>
              <w:t>Weather resilience</w:t>
            </w:r>
          </w:p>
        </w:tc>
        <w:tc>
          <w:tcPr>
            <w:tcW w:type="dxa" w:w="1134"/>
            <w:vAlign w:val="center"/>
          </w:tcPr>
          <w:p>
            <w:pPr>
              <w:spacing w:after="0"/>
            </w:pPr>
            <w:r/>
            <w:r>
              <w:rPr>
                <w:rFonts w:ascii="Arial" w:hAnsi="Arial" w:eastAsia="Arial"/>
                <w:b w:val="0"/>
                <w:color w:val="1A1A1A"/>
                <w:sz w:val="14"/>
              </w:rPr>
              <w:t>10%</w:t>
            </w:r>
          </w:p>
        </w:tc>
        <w:tc>
          <w:tcPr>
            <w:tcW w:type="dxa" w:w="1134"/>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2</w:t>
            </w:r>
          </w:p>
        </w:tc>
        <w:tc>
          <w:tcPr>
            <w:tcW w:type="dxa" w:w="1701"/>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4</w:t>
            </w:r>
          </w:p>
        </w:tc>
      </w:tr>
      <w:tr>
        <w:tc>
          <w:tcPr>
            <w:tcW w:type="dxa" w:w="2835"/>
            <w:vAlign w:val="center"/>
          </w:tcPr>
          <w:p>
            <w:pPr>
              <w:spacing w:after="0"/>
            </w:pPr>
            <w:r/>
            <w:r>
              <w:rPr>
                <w:rFonts w:ascii="Arial" w:hAnsi="Arial" w:eastAsia="Arial"/>
                <w:b w:val="0"/>
                <w:color w:val="1A1A1A"/>
                <w:sz w:val="14"/>
              </w:rPr>
              <w:t>Tide independence</w:t>
            </w:r>
          </w:p>
        </w:tc>
        <w:tc>
          <w:tcPr>
            <w:tcW w:type="dxa" w:w="1134"/>
            <w:vAlign w:val="center"/>
          </w:tcPr>
          <w:p>
            <w:pPr>
              <w:spacing w:after="0"/>
            </w:pPr>
            <w:r/>
            <w:r>
              <w:rPr>
                <w:rFonts w:ascii="Arial" w:hAnsi="Arial" w:eastAsia="Arial"/>
                <w:b w:val="0"/>
                <w:color w:val="1A1A1A"/>
                <w:sz w:val="14"/>
              </w:rPr>
              <w:t>8%</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5</w:t>
            </w:r>
          </w:p>
        </w:tc>
        <w:tc>
          <w:tcPr>
            <w:tcW w:type="dxa" w:w="1134"/>
            <w:vAlign w:val="center"/>
          </w:tcPr>
          <w:p>
            <w:pPr>
              <w:spacing w:after="0"/>
            </w:pPr>
            <w:r/>
            <w:r>
              <w:rPr>
                <w:rFonts w:ascii="Arial" w:hAnsi="Arial" w:eastAsia="Arial"/>
                <w:b w:val="0"/>
                <w:color w:val="1A1A1A"/>
                <w:sz w:val="14"/>
              </w:rPr>
              <w:t>2</w:t>
            </w:r>
          </w:p>
        </w:tc>
        <w:tc>
          <w:tcPr>
            <w:tcW w:type="dxa" w:w="1701"/>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4</w:t>
            </w:r>
          </w:p>
        </w:tc>
      </w:tr>
      <w:tr>
        <w:tc>
          <w:tcPr>
            <w:tcW w:type="dxa" w:w="2835"/>
            <w:vAlign w:val="center"/>
          </w:tcPr>
          <w:p>
            <w:pPr>
              <w:spacing w:after="0"/>
            </w:pPr>
            <w:r/>
            <w:r>
              <w:rPr>
                <w:rFonts w:ascii="Arial" w:hAnsi="Arial" w:eastAsia="Arial"/>
                <w:b w:val="0"/>
                <w:color w:val="1A1A1A"/>
                <w:sz w:val="14"/>
              </w:rPr>
              <w:t>Environmental containment</w:t>
            </w:r>
          </w:p>
        </w:tc>
        <w:tc>
          <w:tcPr>
            <w:tcW w:type="dxa" w:w="1134"/>
            <w:vAlign w:val="center"/>
          </w:tcPr>
          <w:p>
            <w:pPr>
              <w:spacing w:after="0"/>
            </w:pPr>
            <w:r/>
            <w:r>
              <w:rPr>
                <w:rFonts w:ascii="Arial" w:hAnsi="Arial" w:eastAsia="Arial"/>
                <w:b w:val="0"/>
                <w:color w:val="1A1A1A"/>
                <w:sz w:val="14"/>
              </w:rPr>
              <w:t>12%</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3</w:t>
            </w:r>
          </w:p>
        </w:tc>
        <w:tc>
          <w:tcPr>
            <w:tcW w:type="dxa" w:w="1701"/>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4</w:t>
            </w:r>
          </w:p>
        </w:tc>
      </w:tr>
      <w:tr>
        <w:tc>
          <w:tcPr>
            <w:tcW w:type="dxa" w:w="2835"/>
            <w:vAlign w:val="center"/>
          </w:tcPr>
          <w:p>
            <w:pPr>
              <w:spacing w:after="0"/>
            </w:pPr>
            <w:r/>
            <w:r>
              <w:rPr>
                <w:rFonts w:ascii="Arial" w:hAnsi="Arial" w:eastAsia="Arial"/>
                <w:b w:val="0"/>
                <w:color w:val="1A1A1A"/>
                <w:sz w:val="14"/>
              </w:rPr>
              <w:t>Structural / seabed interfaces</w:t>
            </w:r>
          </w:p>
        </w:tc>
        <w:tc>
          <w:tcPr>
            <w:tcW w:type="dxa" w:w="1134"/>
            <w:vAlign w:val="center"/>
          </w:tcPr>
          <w:p>
            <w:pPr>
              <w:spacing w:after="0"/>
            </w:pPr>
            <w:r/>
            <w:r>
              <w:rPr>
                <w:rFonts w:ascii="Arial" w:hAnsi="Arial" w:eastAsia="Arial"/>
                <w:b w:val="0"/>
                <w:color w:val="1A1A1A"/>
                <w:sz w:val="14"/>
              </w:rPr>
              <w:t>8%</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4</w:t>
            </w:r>
          </w:p>
        </w:tc>
        <w:tc>
          <w:tcPr>
            <w:tcW w:type="dxa" w:w="1701"/>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3</w:t>
            </w:r>
          </w:p>
        </w:tc>
      </w:tr>
      <w:tr>
        <w:tc>
          <w:tcPr>
            <w:tcW w:type="dxa" w:w="2835"/>
            <w:vAlign w:val="center"/>
          </w:tcPr>
          <w:p>
            <w:pPr>
              <w:spacing w:after="0"/>
            </w:pPr>
            <w:r/>
            <w:r>
              <w:rPr>
                <w:rFonts w:ascii="Arial" w:hAnsi="Arial" w:eastAsia="Arial"/>
                <w:b w:val="0"/>
                <w:color w:val="1A1A1A"/>
                <w:sz w:val="14"/>
              </w:rPr>
              <w:t>Roadway / terminal interference</w:t>
            </w:r>
          </w:p>
        </w:tc>
        <w:tc>
          <w:tcPr>
            <w:tcW w:type="dxa" w:w="1134"/>
            <w:vAlign w:val="center"/>
          </w:tcPr>
          <w:p>
            <w:pPr>
              <w:spacing w:after="0"/>
            </w:pPr>
            <w:r/>
            <w:r>
              <w:rPr>
                <w:rFonts w:ascii="Arial" w:hAnsi="Arial" w:eastAsia="Arial"/>
                <w:b w:val="0"/>
                <w:color w:val="1A1A1A"/>
                <w:sz w:val="14"/>
              </w:rPr>
              <w:t>10%</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4</w:t>
            </w:r>
          </w:p>
        </w:tc>
        <w:tc>
          <w:tcPr>
            <w:tcW w:type="dxa" w:w="1701"/>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4</w:t>
            </w:r>
          </w:p>
        </w:tc>
      </w:tr>
      <w:tr>
        <w:tc>
          <w:tcPr>
            <w:tcW w:type="dxa" w:w="2835"/>
            <w:vAlign w:val="center"/>
          </w:tcPr>
          <w:p>
            <w:pPr>
              <w:spacing w:after="0"/>
            </w:pPr>
            <w:r/>
            <w:r>
              <w:rPr>
                <w:rFonts w:ascii="Arial" w:hAnsi="Arial" w:eastAsia="Arial"/>
                <w:b w:val="0"/>
                <w:color w:val="1A1A1A"/>
                <w:sz w:val="14"/>
              </w:rPr>
              <w:t>Shipping make-safe</w:t>
            </w:r>
          </w:p>
        </w:tc>
        <w:tc>
          <w:tcPr>
            <w:tcW w:type="dxa" w:w="1134"/>
            <w:vAlign w:val="center"/>
          </w:tcPr>
          <w:p>
            <w:pPr>
              <w:spacing w:after="0"/>
            </w:pPr>
            <w:r/>
            <w:r>
              <w:rPr>
                <w:rFonts w:ascii="Arial" w:hAnsi="Arial" w:eastAsia="Arial"/>
                <w:b w:val="0"/>
                <w:color w:val="1A1A1A"/>
                <w:sz w:val="14"/>
              </w:rPr>
              <w:t>7%</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3</w:t>
            </w:r>
          </w:p>
        </w:tc>
        <w:tc>
          <w:tcPr>
            <w:tcW w:type="dxa" w:w="1701"/>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3</w:t>
            </w:r>
          </w:p>
        </w:tc>
      </w:tr>
      <w:tr>
        <w:tc>
          <w:tcPr>
            <w:tcW w:type="dxa" w:w="2835"/>
            <w:vAlign w:val="center"/>
          </w:tcPr>
          <w:p>
            <w:pPr>
              <w:spacing w:after="0"/>
            </w:pPr>
            <w:r/>
            <w:r>
              <w:rPr>
                <w:rFonts w:ascii="Arial" w:hAnsi="Arial" w:eastAsia="Arial"/>
                <w:b w:val="0"/>
                <w:color w:val="1A1A1A"/>
                <w:sz w:val="14"/>
              </w:rPr>
              <w:t>Cyclone recovery</w:t>
            </w:r>
          </w:p>
        </w:tc>
        <w:tc>
          <w:tcPr>
            <w:tcW w:type="dxa" w:w="1134"/>
            <w:vAlign w:val="center"/>
          </w:tcPr>
          <w:p>
            <w:pPr>
              <w:spacing w:after="0"/>
            </w:pPr>
            <w:r/>
            <w:r>
              <w:rPr>
                <w:rFonts w:ascii="Arial" w:hAnsi="Arial" w:eastAsia="Arial"/>
                <w:b w:val="0"/>
                <w:color w:val="1A1A1A"/>
                <w:sz w:val="14"/>
              </w:rPr>
              <w:t>8%</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3</w:t>
            </w:r>
          </w:p>
        </w:tc>
        <w:tc>
          <w:tcPr>
            <w:tcW w:type="dxa" w:w="1701"/>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3</w:t>
            </w:r>
          </w:p>
        </w:tc>
      </w:tr>
      <w:tr>
        <w:tc>
          <w:tcPr>
            <w:tcW w:type="dxa" w:w="2835"/>
            <w:vAlign w:val="center"/>
          </w:tcPr>
          <w:p>
            <w:pPr>
              <w:spacing w:after="0"/>
            </w:pPr>
            <w:r/>
            <w:r>
              <w:rPr>
                <w:rFonts w:ascii="Arial" w:hAnsi="Arial" w:eastAsia="Arial"/>
                <w:b w:val="0"/>
                <w:color w:val="1A1A1A"/>
                <w:sz w:val="14"/>
              </w:rPr>
              <w:t>Safety in design / rescue</w:t>
            </w:r>
          </w:p>
        </w:tc>
        <w:tc>
          <w:tcPr>
            <w:tcW w:type="dxa" w:w="1134"/>
            <w:vAlign w:val="center"/>
          </w:tcPr>
          <w:p>
            <w:pPr>
              <w:spacing w:after="0"/>
            </w:pPr>
            <w:r/>
            <w:r>
              <w:rPr>
                <w:rFonts w:ascii="Arial" w:hAnsi="Arial" w:eastAsia="Arial"/>
                <w:b w:val="0"/>
                <w:color w:val="1A1A1A"/>
                <w:sz w:val="14"/>
              </w:rPr>
              <w:t>7%</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3</w:t>
            </w:r>
          </w:p>
        </w:tc>
        <w:tc>
          <w:tcPr>
            <w:tcW w:type="dxa" w:w="1701"/>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3</w:t>
            </w:r>
          </w:p>
        </w:tc>
      </w:tr>
      <w:tr>
        <w:tc>
          <w:tcPr>
            <w:tcW w:type="dxa" w:w="2835"/>
            <w:vAlign w:val="center"/>
          </w:tcPr>
          <w:p>
            <w:pPr>
              <w:spacing w:after="0"/>
            </w:pPr>
            <w:r/>
            <w:r>
              <w:rPr>
                <w:rFonts w:ascii="Arial" w:hAnsi="Arial" w:eastAsia="Arial"/>
                <w:b w:val="0"/>
                <w:color w:val="1A1A1A"/>
                <w:sz w:val="14"/>
              </w:rPr>
              <w:t>Mobilisation / availability</w:t>
            </w:r>
          </w:p>
        </w:tc>
        <w:tc>
          <w:tcPr>
            <w:tcW w:type="dxa" w:w="1134"/>
            <w:vAlign w:val="center"/>
          </w:tcPr>
          <w:p>
            <w:pPr>
              <w:spacing w:after="0"/>
            </w:pPr>
            <w:r/>
            <w:r>
              <w:rPr>
                <w:rFonts w:ascii="Arial" w:hAnsi="Arial" w:eastAsia="Arial"/>
                <w:b w:val="0"/>
                <w:color w:val="1A1A1A"/>
                <w:sz w:val="14"/>
              </w:rPr>
              <w:t>5%</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3</w:t>
            </w:r>
          </w:p>
        </w:tc>
        <w:tc>
          <w:tcPr>
            <w:tcW w:type="dxa" w:w="1701"/>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3</w:t>
            </w:r>
          </w:p>
        </w:tc>
      </w:tr>
      <w:tr>
        <w:tc>
          <w:tcPr>
            <w:tcW w:type="dxa" w:w="2835"/>
            <w:vAlign w:val="center"/>
          </w:tcPr>
          <w:p>
            <w:pPr>
              <w:spacing w:after="0"/>
            </w:pPr>
            <w:r/>
            <w:r>
              <w:rPr>
                <w:rFonts w:ascii="Arial" w:hAnsi="Arial" w:eastAsia="Arial"/>
                <w:b w:val="0"/>
                <w:color w:val="1A1A1A"/>
                <w:sz w:val="14"/>
              </w:rPr>
              <w:t>Cost confidence</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2</w:t>
            </w:r>
          </w:p>
        </w:tc>
        <w:tc>
          <w:tcPr>
            <w:tcW w:type="dxa" w:w="1701"/>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2</w:t>
            </w:r>
          </w:p>
        </w:tc>
      </w:tr>
      <w:tr>
        <w:tc>
          <w:tcPr>
            <w:tcW w:type="dxa" w:w="2835"/>
            <w:vAlign w:val="center"/>
          </w:tcPr>
          <w:p>
            <w:pPr>
              <w:spacing w:after="0"/>
            </w:pPr>
            <w:r/>
            <w:r>
              <w:rPr>
                <w:rFonts w:ascii="Arial" w:hAnsi="Arial" w:eastAsia="Arial"/>
                <w:b w:val="0"/>
                <w:color w:val="1A1A1A"/>
                <w:sz w:val="14"/>
              </w:rPr>
              <w:t>Approvals / insurance</w:t>
            </w:r>
          </w:p>
        </w:tc>
        <w:tc>
          <w:tcPr>
            <w:tcW w:type="dxa" w:w="1134"/>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4</w:t>
            </w:r>
          </w:p>
        </w:tc>
        <w:tc>
          <w:tcPr>
            <w:tcW w:type="dxa" w:w="1134"/>
            <w:vAlign w:val="center"/>
          </w:tcPr>
          <w:p>
            <w:pPr>
              <w:spacing w:after="0"/>
            </w:pPr>
            <w:r/>
            <w:r>
              <w:rPr>
                <w:rFonts w:ascii="Arial" w:hAnsi="Arial" w:eastAsia="Arial"/>
                <w:b w:val="0"/>
                <w:color w:val="1A1A1A"/>
                <w:sz w:val="14"/>
              </w:rPr>
              <w:t>1</w:t>
            </w:r>
          </w:p>
        </w:tc>
        <w:tc>
          <w:tcPr>
            <w:tcW w:type="dxa" w:w="1134"/>
            <w:vAlign w:val="center"/>
          </w:tcPr>
          <w:p>
            <w:pPr>
              <w:spacing w:after="0"/>
            </w:pPr>
            <w:r/>
            <w:r>
              <w:rPr>
                <w:rFonts w:ascii="Arial" w:hAnsi="Arial" w:eastAsia="Arial"/>
                <w:b w:val="0"/>
                <w:color w:val="1A1A1A"/>
                <w:sz w:val="14"/>
              </w:rPr>
              <w:t>2</w:t>
            </w:r>
          </w:p>
        </w:tc>
        <w:tc>
          <w:tcPr>
            <w:tcW w:type="dxa" w:w="1701"/>
            <w:vAlign w:val="center"/>
          </w:tcPr>
          <w:p>
            <w:pPr>
              <w:spacing w:after="0"/>
            </w:pPr>
            <w:r/>
            <w:r>
              <w:rPr>
                <w:rFonts w:ascii="Arial" w:hAnsi="Arial" w:eastAsia="Arial"/>
                <w:b w:val="0"/>
                <w:color w:val="1A1A1A"/>
                <w:sz w:val="14"/>
              </w:rPr>
              <w:t>2</w:t>
            </w:r>
          </w:p>
        </w:tc>
        <w:tc>
          <w:tcPr>
            <w:tcW w:type="dxa" w:w="1134"/>
            <w:vAlign w:val="center"/>
          </w:tcPr>
          <w:p>
            <w:pPr>
              <w:spacing w:after="0"/>
            </w:pPr>
            <w:r/>
            <w:r>
              <w:rPr>
                <w:rFonts w:ascii="Arial" w:hAnsi="Arial" w:eastAsia="Arial"/>
                <w:b w:val="0"/>
                <w:color w:val="1A1A1A"/>
                <w:sz w:val="14"/>
              </w:rPr>
              <w:t>3</w:t>
            </w:r>
          </w:p>
        </w:tc>
        <w:tc>
          <w:tcPr>
            <w:tcW w:type="dxa" w:w="1134"/>
            <w:vAlign w:val="center"/>
          </w:tcPr>
          <w:p>
            <w:pPr>
              <w:spacing w:after="0"/>
            </w:pPr>
            <w:r/>
            <w:r>
              <w:rPr>
                <w:rFonts w:ascii="Arial" w:hAnsi="Arial" w:eastAsia="Arial"/>
                <w:b w:val="0"/>
                <w:color w:val="1A1A1A"/>
                <w:sz w:val="14"/>
              </w:rPr>
              <w:t>3</w:t>
            </w:r>
          </w:p>
        </w:tc>
      </w:tr>
    </w:tbl>
    <w:p>
      <w:pPr>
        <w:spacing w:after="0"/>
      </w:pP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535"/>
            <w:shd w:fill="E87722"/>
            <w:vAlign w:val="center"/>
          </w:tcPr>
          <w:p>
            <w:pPr>
              <w:spacing w:after="0"/>
            </w:pPr>
            <w:r/>
            <w:r>
              <w:rPr>
                <w:rFonts w:ascii="Arial" w:hAnsi="Arial" w:eastAsia="Arial"/>
                <w:b/>
                <w:color w:val="FFFFFF"/>
                <w:sz w:val="16"/>
              </w:rPr>
              <w:t>Option</w:t>
            </w:r>
          </w:p>
        </w:tc>
        <w:tc>
          <w:tcPr>
            <w:tcW w:type="dxa" w:w="2268"/>
            <w:shd w:fill="E87722"/>
            <w:vAlign w:val="center"/>
          </w:tcPr>
          <w:p>
            <w:pPr>
              <w:spacing w:after="0"/>
            </w:pPr>
            <w:r/>
            <w:r>
              <w:rPr>
                <w:rFonts w:ascii="Arial" w:hAnsi="Arial" w:eastAsia="Arial"/>
                <w:b/>
                <w:color w:val="FFFFFF"/>
                <w:sz w:val="16"/>
              </w:rPr>
              <w:t>Weighted score / 5</w:t>
            </w:r>
          </w:p>
        </w:tc>
      </w:tr>
      <w:tr>
        <w:tc>
          <w:tcPr>
            <w:tcW w:type="dxa" w:w="4535"/>
            <w:vAlign w:val="center"/>
          </w:tcPr>
          <w:p>
            <w:pPr>
              <w:spacing w:after="0"/>
            </w:pPr>
            <w:r/>
            <w:r>
              <w:rPr>
                <w:rFonts w:ascii="Arial" w:hAnsi="Arial" w:eastAsia="Arial"/>
                <w:b w:val="0"/>
                <w:color w:val="1A1A1A"/>
                <w:sz w:val="16"/>
              </w:rPr>
              <w:t>Current scaffold</w:t>
            </w:r>
          </w:p>
        </w:tc>
        <w:tc>
          <w:tcPr>
            <w:tcW w:type="dxa" w:w="2268"/>
            <w:vAlign w:val="center"/>
          </w:tcPr>
          <w:p>
            <w:pPr>
              <w:spacing w:after="0"/>
            </w:pPr>
            <w:r/>
            <w:r>
              <w:rPr>
                <w:rFonts w:ascii="Arial" w:hAnsi="Arial" w:eastAsia="Arial"/>
                <w:b w:val="0"/>
                <w:color w:val="1A1A1A"/>
                <w:sz w:val="16"/>
              </w:rPr>
              <w:t>2.44</w:t>
            </w:r>
          </w:p>
        </w:tc>
      </w:tr>
      <w:tr>
        <w:tc>
          <w:tcPr>
            <w:tcW w:type="dxa" w:w="4535"/>
            <w:vAlign w:val="center"/>
          </w:tcPr>
          <w:p>
            <w:pPr>
              <w:spacing w:after="0"/>
            </w:pPr>
            <w:r/>
            <w:r>
              <w:rPr>
                <w:rFonts w:ascii="Arial" w:hAnsi="Arial" w:eastAsia="Arial"/>
                <w:b w:val="0"/>
                <w:color w:val="1A1A1A"/>
                <w:sz w:val="16"/>
              </w:rPr>
              <w:t>JUB direct</w:t>
            </w:r>
          </w:p>
        </w:tc>
        <w:tc>
          <w:tcPr>
            <w:tcW w:type="dxa" w:w="2268"/>
            <w:vAlign w:val="center"/>
          </w:tcPr>
          <w:p>
            <w:pPr>
              <w:spacing w:after="0"/>
            </w:pPr>
            <w:r/>
            <w:r>
              <w:rPr>
                <w:rFonts w:ascii="Arial" w:hAnsi="Arial" w:eastAsia="Arial"/>
                <w:b w:val="0"/>
                <w:color w:val="1A1A1A"/>
                <w:sz w:val="16"/>
              </w:rPr>
              <w:t>2.96</w:t>
            </w:r>
          </w:p>
        </w:tc>
      </w:tr>
      <w:tr>
        <w:tc>
          <w:tcPr>
            <w:tcW w:type="dxa" w:w="4535"/>
            <w:vAlign w:val="center"/>
          </w:tcPr>
          <w:p>
            <w:pPr>
              <w:spacing w:after="0"/>
            </w:pPr>
            <w:r/>
            <w:r>
              <w:rPr>
                <w:rFonts w:ascii="Arial" w:hAnsi="Arial" w:eastAsia="Arial"/>
                <w:b w:val="0"/>
                <w:color w:val="1A1A1A"/>
                <w:sz w:val="16"/>
              </w:rPr>
              <w:t>Modular/spud pontoon</w:t>
            </w:r>
          </w:p>
        </w:tc>
        <w:tc>
          <w:tcPr>
            <w:tcW w:type="dxa" w:w="2268"/>
            <w:vAlign w:val="center"/>
          </w:tcPr>
          <w:p>
            <w:pPr>
              <w:spacing w:after="0"/>
            </w:pPr>
            <w:r/>
            <w:r>
              <w:rPr>
                <w:rFonts w:ascii="Arial" w:hAnsi="Arial" w:eastAsia="Arial"/>
                <w:b w:val="0"/>
                <w:color w:val="1A1A1A"/>
                <w:sz w:val="16"/>
              </w:rPr>
              <w:t>2.95</w:t>
            </w:r>
          </w:p>
        </w:tc>
      </w:tr>
      <w:tr>
        <w:tc>
          <w:tcPr>
            <w:tcW w:type="dxa" w:w="4535"/>
            <w:vAlign w:val="center"/>
          </w:tcPr>
          <w:p>
            <w:pPr>
              <w:spacing w:after="0"/>
            </w:pPr>
            <w:r/>
            <w:r>
              <w:rPr>
                <w:rFonts w:ascii="Arial" w:hAnsi="Arial" w:eastAsia="Arial"/>
                <w:b w:val="0"/>
                <w:color w:val="1A1A1A"/>
                <w:sz w:val="16"/>
              </w:rPr>
              <w:t>Suspended + JUB</w:t>
            </w:r>
          </w:p>
        </w:tc>
        <w:tc>
          <w:tcPr>
            <w:tcW w:type="dxa" w:w="2268"/>
            <w:vAlign w:val="center"/>
          </w:tcPr>
          <w:p>
            <w:pPr>
              <w:spacing w:after="0"/>
            </w:pPr>
            <w:r/>
            <w:r>
              <w:rPr>
                <w:rFonts w:ascii="Arial" w:hAnsi="Arial" w:eastAsia="Arial"/>
                <w:b w:val="0"/>
                <w:color w:val="1A1A1A"/>
                <w:sz w:val="16"/>
              </w:rPr>
              <w:t>3.29</w:t>
            </w:r>
          </w:p>
        </w:tc>
      </w:tr>
      <w:tr>
        <w:tc>
          <w:tcPr>
            <w:tcW w:type="dxa" w:w="4535"/>
            <w:vAlign w:val="center"/>
          </w:tcPr>
          <w:p>
            <w:pPr>
              <w:spacing w:after="0"/>
            </w:pPr>
            <w:r/>
            <w:r>
              <w:rPr>
                <w:rFonts w:ascii="Arial" w:hAnsi="Arial" w:eastAsia="Arial"/>
                <w:b w:val="0"/>
                <w:color w:val="1A1A1A"/>
                <w:sz w:val="16"/>
              </w:rPr>
              <w:t>Rope access</w:t>
            </w:r>
          </w:p>
        </w:tc>
        <w:tc>
          <w:tcPr>
            <w:tcW w:type="dxa" w:w="2268"/>
            <w:vAlign w:val="center"/>
          </w:tcPr>
          <w:p>
            <w:pPr>
              <w:spacing w:after="0"/>
            </w:pPr>
            <w:r/>
            <w:r>
              <w:rPr>
                <w:rFonts w:ascii="Arial" w:hAnsi="Arial" w:eastAsia="Arial"/>
                <w:b w:val="0"/>
                <w:color w:val="1A1A1A"/>
                <w:sz w:val="16"/>
              </w:rPr>
              <w:t>2.63</w:t>
            </w:r>
          </w:p>
        </w:tc>
      </w:tr>
      <w:tr>
        <w:tc>
          <w:tcPr>
            <w:tcW w:type="dxa" w:w="4535"/>
            <w:vAlign w:val="center"/>
          </w:tcPr>
          <w:p>
            <w:pPr>
              <w:spacing w:after="0"/>
            </w:pPr>
            <w:r/>
            <w:r>
              <w:rPr>
                <w:rFonts w:ascii="Arial" w:hAnsi="Arial" w:eastAsia="Arial"/>
                <w:b w:val="0"/>
                <w:color w:val="1A1A1A"/>
                <w:sz w:val="16"/>
              </w:rPr>
              <w:t>Hybrid</w:t>
            </w:r>
          </w:p>
        </w:tc>
        <w:tc>
          <w:tcPr>
            <w:tcW w:type="dxa" w:w="2268"/>
            <w:vAlign w:val="center"/>
          </w:tcPr>
          <w:p>
            <w:pPr>
              <w:spacing w:after="0"/>
            </w:pPr>
            <w:r/>
            <w:r>
              <w:rPr>
                <w:rFonts w:ascii="Arial" w:hAnsi="Arial" w:eastAsia="Arial"/>
                <w:b w:val="0"/>
                <w:color w:val="1A1A1A"/>
                <w:sz w:val="16"/>
              </w:rPr>
              <w:t>3.57</w:t>
            </w:r>
          </w:p>
        </w:tc>
      </w:tr>
    </w:tbl>
    <w:p>
      <w:pPr>
        <w:spacing w:after="0"/>
      </w:pPr>
    </w:p>
    <w:p>
      <w:r>
        <w:t>The recommended direction is a hybrid campaign. Suspended floating platforms with JUB logistics are developed for the typical-bent population. Other methods remain available for anchored, passing-bay, special, underpass and expansion-joint locations where geometry or loading makes the reference set unsuitable.</w:t>
      </w:r>
    </w:p>
    <w:p>
      <w:pPr>
        <w:pStyle w:val="Heading1"/>
      </w:pPr>
      <w:r>
        <w:t>17. Market sounding and supplier position</w:t>
      </w:r>
    </w:p>
    <w:p>
      <w:r>
        <w:t>The supplied GGC pack contains relevant platform, lifting and workboat precedent, including modular aluminium access-platform information, lift-plan/methodology precedent and a small workboat. This supports continued supplier engagement. It does not establish the mass, capacity, winch travel, containment, temporary-works interface, availability or commercial rate for the proposed Lucinda system.</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835"/>
            <w:shd w:fill="E87722"/>
            <w:vAlign w:val="center"/>
          </w:tcPr>
          <w:p>
            <w:pPr>
              <w:spacing w:after="0"/>
            </w:pPr>
            <w:r/>
            <w:r>
              <w:rPr>
                <w:rFonts w:ascii="Arial" w:hAnsi="Arial" w:eastAsia="Arial"/>
                <w:b/>
                <w:color w:val="FFFFFF"/>
                <w:sz w:val="16"/>
              </w:rPr>
              <w:t>Market input</w:t>
            </w:r>
          </w:p>
        </w:tc>
        <w:tc>
          <w:tcPr>
            <w:tcW w:type="dxa" w:w="3402"/>
            <w:shd w:fill="E87722"/>
            <w:vAlign w:val="center"/>
          </w:tcPr>
          <w:p>
            <w:pPr>
              <w:spacing w:after="0"/>
            </w:pPr>
            <w:r/>
            <w:r>
              <w:rPr>
                <w:rFonts w:ascii="Arial" w:hAnsi="Arial" w:eastAsia="Arial"/>
                <w:b/>
                <w:color w:val="FFFFFF"/>
                <w:sz w:val="16"/>
              </w:rPr>
              <w:t>Evidence received</w:t>
            </w:r>
          </w:p>
        </w:tc>
        <w:tc>
          <w:tcPr>
            <w:tcW w:type="dxa" w:w="3969"/>
            <w:shd w:fill="E87722"/>
            <w:vAlign w:val="center"/>
          </w:tcPr>
          <w:p>
            <w:pPr>
              <w:spacing w:after="0"/>
            </w:pPr>
            <w:r/>
            <w:r>
              <w:rPr>
                <w:rFonts w:ascii="Arial" w:hAnsi="Arial" w:eastAsia="Arial"/>
                <w:b/>
                <w:color w:val="FFFFFF"/>
                <w:sz w:val="16"/>
              </w:rPr>
              <w:t>Information still required</w:t>
            </w:r>
          </w:p>
        </w:tc>
      </w:tr>
      <w:tr>
        <w:tc>
          <w:tcPr>
            <w:tcW w:type="dxa" w:w="2835"/>
            <w:vAlign w:val="center"/>
          </w:tcPr>
          <w:p>
            <w:pPr>
              <w:spacing w:after="0"/>
            </w:pPr>
            <w:r/>
            <w:r>
              <w:rPr>
                <w:rFonts w:ascii="Arial" w:hAnsi="Arial" w:eastAsia="Arial"/>
                <w:b w:val="0"/>
                <w:color w:val="1A1A1A"/>
                <w:sz w:val="16"/>
              </w:rPr>
              <w:t>Floating platform</w:t>
            </w:r>
          </w:p>
        </w:tc>
        <w:tc>
          <w:tcPr>
            <w:tcW w:type="dxa" w:w="3402"/>
            <w:vAlign w:val="center"/>
          </w:tcPr>
          <w:p>
            <w:pPr>
              <w:spacing w:after="0"/>
            </w:pPr>
            <w:r/>
            <w:r>
              <w:rPr>
                <w:rFonts w:ascii="Arial" w:hAnsi="Arial" w:eastAsia="Arial"/>
                <w:b w:val="0"/>
                <w:color w:val="1A1A1A"/>
                <w:sz w:val="16"/>
              </w:rPr>
              <w:t>Photos, drawings and prior lifting precedent</w:t>
            </w:r>
          </w:p>
        </w:tc>
        <w:tc>
          <w:tcPr>
            <w:tcW w:type="dxa" w:w="3969"/>
            <w:vAlign w:val="center"/>
          </w:tcPr>
          <w:p>
            <w:pPr>
              <w:spacing w:after="0"/>
            </w:pPr>
            <w:r/>
            <w:r>
              <w:rPr>
                <w:rFonts w:ascii="Arial" w:hAnsi="Arial" w:eastAsia="Arial"/>
                <w:b w:val="0"/>
                <w:color w:val="1A1A1A"/>
                <w:sz w:val="16"/>
              </w:rPr>
              <w:t>Certified mass, buoyancy, deck capacity, winch system, travel and rate</w:t>
            </w:r>
          </w:p>
        </w:tc>
      </w:tr>
      <w:tr>
        <w:tc>
          <w:tcPr>
            <w:tcW w:type="dxa" w:w="2835"/>
            <w:vAlign w:val="center"/>
          </w:tcPr>
          <w:p>
            <w:pPr>
              <w:spacing w:after="0"/>
            </w:pPr>
            <w:r/>
            <w:r>
              <w:rPr>
                <w:rFonts w:ascii="Arial" w:hAnsi="Arial" w:eastAsia="Arial"/>
                <w:b w:val="0"/>
                <w:color w:val="1A1A1A"/>
                <w:sz w:val="16"/>
              </w:rPr>
              <w:t>Workboat</w:t>
            </w:r>
          </w:p>
        </w:tc>
        <w:tc>
          <w:tcPr>
            <w:tcW w:type="dxa" w:w="3402"/>
            <w:vAlign w:val="center"/>
          </w:tcPr>
          <w:p>
            <w:pPr>
              <w:spacing w:after="0"/>
            </w:pPr>
            <w:r/>
            <w:r>
              <w:rPr>
                <w:rFonts w:ascii="Arial" w:hAnsi="Arial" w:eastAsia="Arial"/>
                <w:b w:val="0"/>
                <w:color w:val="1A1A1A"/>
                <w:sz w:val="16"/>
              </w:rPr>
              <w:t>Capability precedent</w:t>
            </w:r>
          </w:p>
        </w:tc>
        <w:tc>
          <w:tcPr>
            <w:tcW w:type="dxa" w:w="3969"/>
            <w:vAlign w:val="center"/>
          </w:tcPr>
          <w:p>
            <w:pPr>
              <w:spacing w:after="0"/>
            </w:pPr>
            <w:r/>
            <w:r>
              <w:rPr>
                <w:rFonts w:ascii="Arial" w:hAnsi="Arial" w:eastAsia="Arial"/>
                <w:b w:val="0"/>
                <w:color w:val="1A1A1A"/>
                <w:sz w:val="16"/>
              </w:rPr>
              <w:t>Survey status, operating limits, crew and commercial rate</w:t>
            </w:r>
          </w:p>
        </w:tc>
      </w:tr>
      <w:tr>
        <w:tc>
          <w:tcPr>
            <w:tcW w:type="dxa" w:w="2835"/>
            <w:vAlign w:val="center"/>
          </w:tcPr>
          <w:p>
            <w:pPr>
              <w:spacing w:after="0"/>
            </w:pPr>
            <w:r/>
            <w:r>
              <w:rPr>
                <w:rFonts w:ascii="Arial" w:hAnsi="Arial" w:eastAsia="Arial"/>
                <w:b w:val="0"/>
                <w:color w:val="1A1A1A"/>
                <w:sz w:val="16"/>
              </w:rPr>
              <w:t>Pile containment</w:t>
            </w:r>
          </w:p>
        </w:tc>
        <w:tc>
          <w:tcPr>
            <w:tcW w:type="dxa" w:w="3402"/>
            <w:vAlign w:val="center"/>
          </w:tcPr>
          <w:p>
            <w:pPr>
              <w:spacing w:after="0"/>
            </w:pPr>
            <w:r/>
            <w:r>
              <w:rPr>
                <w:rFonts w:ascii="Arial" w:hAnsi="Arial" w:eastAsia="Arial"/>
                <w:b w:val="0"/>
                <w:color w:val="1A1A1A"/>
                <w:sz w:val="16"/>
              </w:rPr>
              <w:t>Concept only</w:t>
            </w:r>
          </w:p>
        </w:tc>
        <w:tc>
          <w:tcPr>
            <w:tcW w:type="dxa" w:w="3969"/>
            <w:vAlign w:val="center"/>
          </w:tcPr>
          <w:p>
            <w:pPr>
              <w:spacing w:after="0"/>
            </w:pPr>
            <w:r/>
            <w:r>
              <w:rPr>
                <w:rFonts w:ascii="Arial" w:hAnsi="Arial" w:eastAsia="Arial"/>
                <w:b w:val="0"/>
                <w:color w:val="1A1A1A"/>
                <w:sz w:val="16"/>
              </w:rPr>
              <w:t>Supplier system, mass, seal, extraction, wind and movement cycle</w:t>
            </w:r>
          </w:p>
        </w:tc>
      </w:tr>
      <w:tr>
        <w:tc>
          <w:tcPr>
            <w:tcW w:type="dxa" w:w="2835"/>
            <w:vAlign w:val="center"/>
          </w:tcPr>
          <w:p>
            <w:pPr>
              <w:spacing w:after="0"/>
            </w:pPr>
            <w:r/>
            <w:r>
              <w:rPr>
                <w:rFonts w:ascii="Arial" w:hAnsi="Arial" w:eastAsia="Arial"/>
                <w:b w:val="0"/>
                <w:color w:val="1A1A1A"/>
                <w:sz w:val="16"/>
              </w:rPr>
              <w:t>Headstock containment</w:t>
            </w:r>
          </w:p>
        </w:tc>
        <w:tc>
          <w:tcPr>
            <w:tcW w:type="dxa" w:w="3402"/>
            <w:vAlign w:val="center"/>
          </w:tcPr>
          <w:p>
            <w:pPr>
              <w:spacing w:after="0"/>
            </w:pPr>
            <w:r/>
            <w:r>
              <w:rPr>
                <w:rFonts w:ascii="Arial" w:hAnsi="Arial" w:eastAsia="Arial"/>
                <w:b w:val="0"/>
                <w:color w:val="1A1A1A"/>
                <w:sz w:val="16"/>
              </w:rPr>
              <w:t>No accepted supplier design</w:t>
            </w:r>
          </w:p>
        </w:tc>
        <w:tc>
          <w:tcPr>
            <w:tcW w:type="dxa" w:w="3969"/>
            <w:vAlign w:val="center"/>
          </w:tcPr>
          <w:p>
            <w:pPr>
              <w:spacing w:after="0"/>
            </w:pPr>
            <w:r/>
            <w:r>
              <w:rPr>
                <w:rFonts w:ascii="Arial" w:hAnsi="Arial" w:eastAsia="Arial"/>
                <w:b w:val="0"/>
                <w:color w:val="1A1A1A"/>
                <w:sz w:val="16"/>
              </w:rPr>
              <w:t>Complete enclosure geometry and cycle</w:t>
            </w:r>
          </w:p>
        </w:tc>
      </w:tr>
      <w:tr>
        <w:tc>
          <w:tcPr>
            <w:tcW w:type="dxa" w:w="2835"/>
            <w:vAlign w:val="center"/>
          </w:tcPr>
          <w:p>
            <w:pPr>
              <w:spacing w:after="0"/>
            </w:pPr>
            <w:r/>
            <w:r>
              <w:rPr>
                <w:rFonts w:ascii="Arial" w:hAnsi="Arial" w:eastAsia="Arial"/>
                <w:b w:val="0"/>
                <w:color w:val="1A1A1A"/>
                <w:sz w:val="16"/>
              </w:rPr>
              <w:t>JUB</w:t>
            </w:r>
          </w:p>
        </w:tc>
        <w:tc>
          <w:tcPr>
            <w:tcW w:type="dxa" w:w="3402"/>
            <w:vAlign w:val="center"/>
          </w:tcPr>
          <w:p>
            <w:pPr>
              <w:spacing w:after="0"/>
            </w:pPr>
            <w:r/>
            <w:r>
              <w:rPr>
                <w:rFonts w:ascii="Arial" w:hAnsi="Arial" w:eastAsia="Arial"/>
                <w:b w:val="0"/>
                <w:color w:val="1A1A1A"/>
                <w:sz w:val="16"/>
              </w:rPr>
              <w:t>Generic candidate information only</w:t>
            </w:r>
          </w:p>
        </w:tc>
        <w:tc>
          <w:tcPr>
            <w:tcW w:type="dxa" w:w="3969"/>
            <w:vAlign w:val="center"/>
          </w:tcPr>
          <w:p>
            <w:pPr>
              <w:spacing w:after="0"/>
            </w:pPr>
            <w:r/>
            <w:r>
              <w:rPr>
                <w:rFonts w:ascii="Arial" w:hAnsi="Arial" w:eastAsia="Arial"/>
                <w:b w:val="0"/>
                <w:color w:val="1A1A1A"/>
                <w:sz w:val="16"/>
              </w:rPr>
              <w:t>Selected unit, crane chart, bathymetry, coverage and rate</w:t>
            </w:r>
          </w:p>
        </w:tc>
      </w:tr>
      <w:tr>
        <w:tc>
          <w:tcPr>
            <w:tcW w:type="dxa" w:w="2835"/>
            <w:vAlign w:val="center"/>
          </w:tcPr>
          <w:p>
            <w:pPr>
              <w:spacing w:after="0"/>
            </w:pPr>
            <w:r/>
            <w:r>
              <w:rPr>
                <w:rFonts w:ascii="Arial" w:hAnsi="Arial" w:eastAsia="Arial"/>
                <w:b w:val="0"/>
                <w:color w:val="1A1A1A"/>
                <w:sz w:val="16"/>
              </w:rPr>
              <w:t>Coating / jackets</w:t>
            </w:r>
          </w:p>
        </w:tc>
        <w:tc>
          <w:tcPr>
            <w:tcW w:type="dxa" w:w="3402"/>
            <w:vAlign w:val="center"/>
          </w:tcPr>
          <w:p>
            <w:pPr>
              <w:spacing w:after="0"/>
            </w:pPr>
            <w:r/>
            <w:r>
              <w:rPr>
                <w:rFonts w:ascii="Arial" w:hAnsi="Arial" w:eastAsia="Arial"/>
                <w:b w:val="0"/>
                <w:color w:val="1A1A1A"/>
                <w:sz w:val="16"/>
              </w:rPr>
              <w:t>Project product basis</w:t>
            </w:r>
          </w:p>
        </w:tc>
        <w:tc>
          <w:tcPr>
            <w:tcW w:type="dxa" w:w="3969"/>
            <w:vAlign w:val="center"/>
          </w:tcPr>
          <w:p>
            <w:pPr>
              <w:spacing w:after="0"/>
            </w:pPr>
            <w:r/>
            <w:r>
              <w:rPr>
                <w:rFonts w:ascii="Arial" w:hAnsi="Arial" w:eastAsia="Arial"/>
                <w:b w:val="0"/>
                <w:color w:val="1A1A1A"/>
                <w:sz w:val="16"/>
              </w:rPr>
              <w:t>Manufacturer confirmation, below-LAT method and trial cycle</w:t>
            </w:r>
          </w:p>
        </w:tc>
      </w:tr>
    </w:tbl>
    <w:p>
      <w:pPr>
        <w:spacing w:after="0"/>
      </w:pPr>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Commercial evidence</w:t>
            </w:r>
          </w:p>
        </w:tc>
        <w:tc>
          <w:tcPr>
            <w:tcW w:type="dxa" w:w="4986"/>
            <w:shd w:fill="FAF7F1"/>
            <w:vAlign w:val="center"/>
          </w:tcPr>
          <w:p>
            <w:pPr>
              <w:spacing w:after="0"/>
            </w:pPr>
            <w:r/>
            <w:r>
              <w:rPr>
                <w:rFonts w:ascii="Arial" w:hAnsi="Arial" w:eastAsia="Arial"/>
                <w:b w:val="0"/>
                <w:color w:val="1A1A1A"/>
                <w:sz w:val="17"/>
              </w:rPr>
              <w:t>The raw OCR evidence from the GGC folder is preserved in the workbook. No OCR amount has been treated as a verified quotation.</w:t>
            </w:r>
          </w:p>
        </w:tc>
      </w:tr>
    </w:tbl>
    <w:p>
      <w:pPr>
        <w:spacing w:after="0"/>
      </w:pPr>
    </w:p>
    <w:p>
      <w:r>
        <w:br w:type="page"/>
      </w:r>
    </w:p>
    <w:p>
      <w:pPr>
        <w:pStyle w:val="Heading1"/>
      </w:pPr>
      <w:r>
        <w:t>18. Proving campaign and acceptance gates</w:t>
      </w:r>
    </w:p>
    <w:p>
      <w:r>
        <w:t>A proving campaign is the control point between concept selection and fleet procurement. It should cover representative typical bents and measure the complete accepted cycle, not isolated trade production.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E87722"/>
            <w:vAlign w:val="center"/>
          </w:tcPr>
          <w:p>
            <w:pPr>
              <w:spacing w:after="0"/>
            </w:pPr>
            <w:r/>
            <w:r>
              <w:rPr>
                <w:rFonts w:ascii="Arial" w:hAnsi="Arial" w:eastAsia="Arial"/>
                <w:b/>
                <w:color w:val="FFFFFF"/>
                <w:sz w:val="16"/>
              </w:rPr>
              <w:t>Gate</w:t>
            </w:r>
          </w:p>
        </w:tc>
        <w:tc>
          <w:tcPr>
            <w:tcW w:type="dxa" w:w="7370"/>
            <w:shd w:fill="E87722"/>
            <w:vAlign w:val="center"/>
          </w:tcPr>
          <w:p>
            <w:pPr>
              <w:spacing w:after="0"/>
            </w:pPr>
            <w:r/>
            <w:r>
              <w:rPr>
                <w:rFonts w:ascii="Arial" w:hAnsi="Arial" w:eastAsia="Arial"/>
                <w:b/>
                <w:color w:val="FFFFFF"/>
                <w:sz w:val="16"/>
              </w:rPr>
              <w:t>Acceptance requirement</w:t>
            </w:r>
          </w:p>
        </w:tc>
      </w:tr>
      <w:tr>
        <w:tc>
          <w:tcPr>
            <w:tcW w:type="dxa" w:w="2835"/>
            <w:vAlign w:val="center"/>
          </w:tcPr>
          <w:p>
            <w:pPr>
              <w:spacing w:after="0"/>
            </w:pPr>
            <w:r/>
            <w:r>
              <w:rPr>
                <w:rFonts w:ascii="Arial" w:hAnsi="Arial" w:eastAsia="Arial"/>
                <w:b w:val="0"/>
                <w:color w:val="1A1A1A"/>
                <w:sz w:val="16"/>
              </w:rPr>
              <w:t>Scope and inspection</w:t>
            </w:r>
          </w:p>
        </w:tc>
        <w:tc>
          <w:tcPr>
            <w:tcW w:type="dxa" w:w="7370"/>
            <w:vAlign w:val="center"/>
          </w:tcPr>
          <w:p>
            <w:pPr>
              <w:spacing w:after="0"/>
            </w:pPr>
            <w:r/>
            <w:r>
              <w:rPr>
                <w:rFonts w:ascii="Arial" w:hAnsi="Arial" w:eastAsia="Arial"/>
                <w:b w:val="0"/>
                <w:color w:val="1A1A1A"/>
                <w:sz w:val="16"/>
              </w:rPr>
              <w:t>As-built geometry and remaining scope confirmed; accepted inspection dossier</w:t>
            </w:r>
          </w:p>
        </w:tc>
      </w:tr>
      <w:tr>
        <w:tc>
          <w:tcPr>
            <w:tcW w:type="dxa" w:w="2835"/>
            <w:vAlign w:val="center"/>
          </w:tcPr>
          <w:p>
            <w:pPr>
              <w:spacing w:after="0"/>
            </w:pPr>
            <w:r/>
            <w:r>
              <w:rPr>
                <w:rFonts w:ascii="Arial" w:hAnsi="Arial" w:eastAsia="Arial"/>
                <w:b w:val="0"/>
                <w:color w:val="1A1A1A"/>
                <w:sz w:val="16"/>
              </w:rPr>
              <w:t>Platform / suspension</w:t>
            </w:r>
          </w:p>
        </w:tc>
        <w:tc>
          <w:tcPr>
            <w:tcW w:type="dxa" w:w="7370"/>
            <w:vAlign w:val="center"/>
          </w:tcPr>
          <w:p>
            <w:pPr>
              <w:spacing w:after="0"/>
            </w:pPr>
            <w:r/>
            <w:r>
              <w:rPr>
                <w:rFonts w:ascii="Arial" w:hAnsi="Arial" w:eastAsia="Arial"/>
                <w:b w:val="0"/>
                <w:color w:val="1A1A1A"/>
                <w:sz w:val="16"/>
              </w:rPr>
              <w:t>Mass, CoG, proof load, controlled travel, restraint, fault recovery and survival passed</w:t>
            </w:r>
          </w:p>
        </w:tc>
      </w:tr>
      <w:tr>
        <w:tc>
          <w:tcPr>
            <w:tcW w:type="dxa" w:w="2835"/>
            <w:vAlign w:val="center"/>
          </w:tcPr>
          <w:p>
            <w:pPr>
              <w:spacing w:after="0"/>
            </w:pPr>
            <w:r/>
            <w:r>
              <w:rPr>
                <w:rFonts w:ascii="Arial" w:hAnsi="Arial" w:eastAsia="Arial"/>
                <w:b w:val="0"/>
                <w:color w:val="1A1A1A"/>
                <w:sz w:val="16"/>
              </w:rPr>
              <w:t>Traversing decks</w:t>
            </w:r>
          </w:p>
        </w:tc>
        <w:tc>
          <w:tcPr>
            <w:tcW w:type="dxa" w:w="7370"/>
            <w:vAlign w:val="center"/>
          </w:tcPr>
          <w:p>
            <w:pPr>
              <w:spacing w:after="0"/>
            </w:pPr>
            <w:r/>
            <w:r>
              <w:rPr>
                <w:rFonts w:ascii="Arial" w:hAnsi="Arial" w:eastAsia="Arial"/>
                <w:b w:val="0"/>
                <w:color w:val="1A1A1A"/>
                <w:sz w:val="16"/>
              </w:rPr>
              <w:t>Load path, locking, edge protection and relative movement accepted</w:t>
            </w:r>
          </w:p>
        </w:tc>
      </w:tr>
      <w:tr>
        <w:tc>
          <w:tcPr>
            <w:tcW w:type="dxa" w:w="2835"/>
            <w:vAlign w:val="center"/>
          </w:tcPr>
          <w:p>
            <w:pPr>
              <w:spacing w:after="0"/>
            </w:pPr>
            <w:r/>
            <w:r>
              <w:rPr>
                <w:rFonts w:ascii="Arial" w:hAnsi="Arial" w:eastAsia="Arial"/>
                <w:b w:val="0"/>
                <w:color w:val="1A1A1A"/>
                <w:sz w:val="16"/>
              </w:rPr>
              <w:t>Containment</w:t>
            </w:r>
          </w:p>
        </w:tc>
        <w:tc>
          <w:tcPr>
            <w:tcW w:type="dxa" w:w="7370"/>
            <w:vAlign w:val="center"/>
          </w:tcPr>
          <w:p>
            <w:pPr>
              <w:spacing w:after="0"/>
            </w:pPr>
            <w:r/>
            <w:r>
              <w:rPr>
                <w:rFonts w:ascii="Arial" w:hAnsi="Arial" w:eastAsia="Arial"/>
                <w:b w:val="0"/>
                <w:color w:val="1A1A1A"/>
                <w:sz w:val="16"/>
              </w:rPr>
              <w:t>Pressure, filtration, boundary monitoring, exposure, waste recovery and wind limits achieved</w:t>
            </w:r>
          </w:p>
        </w:tc>
      </w:tr>
      <w:tr>
        <w:tc>
          <w:tcPr>
            <w:tcW w:type="dxa" w:w="2835"/>
            <w:vAlign w:val="center"/>
          </w:tcPr>
          <w:p>
            <w:pPr>
              <w:spacing w:after="0"/>
            </w:pPr>
            <w:r/>
            <w:r>
              <w:rPr>
                <w:rFonts w:ascii="Arial" w:hAnsi="Arial" w:eastAsia="Arial"/>
                <w:b w:val="0"/>
                <w:color w:val="1A1A1A"/>
                <w:sz w:val="16"/>
              </w:rPr>
              <w:t>Approval workflow</w:t>
            </w:r>
          </w:p>
        </w:tc>
        <w:tc>
          <w:tcPr>
            <w:tcW w:type="dxa" w:w="7370"/>
            <w:vAlign w:val="center"/>
          </w:tcPr>
          <w:p>
            <w:pPr>
              <w:spacing w:after="0"/>
            </w:pPr>
            <w:r/>
            <w:r>
              <w:rPr>
                <w:rFonts w:ascii="Arial" w:hAnsi="Arial" w:eastAsia="Arial"/>
                <w:b w:val="0"/>
                <w:color w:val="1A1A1A"/>
                <w:sz w:val="16"/>
              </w:rPr>
              <w:t>One bent-level submission or accepted repair-library process demonstrated</w:t>
            </w:r>
          </w:p>
        </w:tc>
      </w:tr>
      <w:tr>
        <w:tc>
          <w:tcPr>
            <w:tcW w:type="dxa" w:w="2835"/>
            <w:vAlign w:val="center"/>
          </w:tcPr>
          <w:p>
            <w:pPr>
              <w:spacing w:after="0"/>
            </w:pPr>
            <w:r/>
            <w:r>
              <w:rPr>
                <w:rFonts w:ascii="Arial" w:hAnsi="Arial" w:eastAsia="Arial"/>
                <w:b w:val="0"/>
                <w:color w:val="1A1A1A"/>
                <w:sz w:val="16"/>
              </w:rPr>
              <w:t>Welding</w:t>
            </w:r>
          </w:p>
        </w:tc>
        <w:tc>
          <w:tcPr>
            <w:tcW w:type="dxa" w:w="7370"/>
            <w:vAlign w:val="center"/>
          </w:tcPr>
          <w:p>
            <w:pPr>
              <w:spacing w:after="0"/>
            </w:pPr>
            <w:r/>
            <w:r>
              <w:rPr>
                <w:rFonts w:ascii="Arial" w:hAnsi="Arial" w:eastAsia="Arial"/>
                <w:b w:val="0"/>
                <w:color w:val="1A1A1A"/>
                <w:sz w:val="16"/>
              </w:rPr>
              <w:t>Accepted lm/crew-shift measured over complete shifts including fit-up, NDT and rework</w:t>
            </w:r>
          </w:p>
        </w:tc>
      </w:tr>
      <w:tr>
        <w:tc>
          <w:tcPr>
            <w:tcW w:type="dxa" w:w="2835"/>
            <w:vAlign w:val="center"/>
          </w:tcPr>
          <w:p>
            <w:pPr>
              <w:spacing w:after="0"/>
            </w:pPr>
            <w:r/>
            <w:r>
              <w:rPr>
                <w:rFonts w:ascii="Arial" w:hAnsi="Arial" w:eastAsia="Arial"/>
                <w:b w:val="0"/>
                <w:color w:val="1A1A1A"/>
                <w:sz w:val="16"/>
              </w:rPr>
              <w:t>Coating</w:t>
            </w:r>
          </w:p>
        </w:tc>
        <w:tc>
          <w:tcPr>
            <w:tcW w:type="dxa" w:w="7370"/>
            <w:vAlign w:val="center"/>
          </w:tcPr>
          <w:p>
            <w:pPr>
              <w:spacing w:after="0"/>
            </w:pPr>
            <w:r/>
            <w:r>
              <w:rPr>
                <w:rFonts w:ascii="Arial" w:hAnsi="Arial" w:eastAsia="Arial"/>
                <w:b w:val="0"/>
                <w:color w:val="1A1A1A"/>
                <w:sz w:val="16"/>
              </w:rPr>
              <w:t>Full G01 work-lot elapsed cycle achieved including stripe, wash/dry, recoat and QA</w:t>
            </w:r>
          </w:p>
        </w:tc>
      </w:tr>
      <w:tr>
        <w:tc>
          <w:tcPr>
            <w:tcW w:type="dxa" w:w="2835"/>
            <w:vAlign w:val="center"/>
          </w:tcPr>
          <w:p>
            <w:pPr>
              <w:spacing w:after="0"/>
            </w:pPr>
            <w:r/>
            <w:r>
              <w:rPr>
                <w:rFonts w:ascii="Arial" w:hAnsi="Arial" w:eastAsia="Arial"/>
                <w:b w:val="0"/>
                <w:color w:val="1A1A1A"/>
                <w:sz w:val="16"/>
              </w:rPr>
              <w:t>Jackets</w:t>
            </w:r>
          </w:p>
        </w:tc>
        <w:tc>
          <w:tcPr>
            <w:tcW w:type="dxa" w:w="7370"/>
            <w:vAlign w:val="center"/>
          </w:tcPr>
          <w:p>
            <w:pPr>
              <w:spacing w:after="0"/>
            </w:pPr>
            <w:r/>
            <w:r>
              <w:rPr>
                <w:rFonts w:ascii="Arial" w:hAnsi="Arial" w:eastAsia="Arial"/>
                <w:b w:val="0"/>
                <w:color w:val="1A1A1A"/>
                <w:sz w:val="16"/>
              </w:rPr>
              <w:t>Accessible and below-LAT methods accepted, with lower termination verified</w:t>
            </w:r>
          </w:p>
        </w:tc>
      </w:tr>
      <w:tr>
        <w:tc>
          <w:tcPr>
            <w:tcW w:type="dxa" w:w="2835"/>
            <w:vAlign w:val="center"/>
          </w:tcPr>
          <w:p>
            <w:pPr>
              <w:spacing w:after="0"/>
            </w:pPr>
            <w:r/>
            <w:r>
              <w:rPr>
                <w:rFonts w:ascii="Arial" w:hAnsi="Arial" w:eastAsia="Arial"/>
                <w:b w:val="0"/>
                <w:color w:val="1A1A1A"/>
                <w:sz w:val="16"/>
              </w:rPr>
              <w:t>Relocation</w:t>
            </w:r>
          </w:p>
        </w:tc>
        <w:tc>
          <w:tcPr>
            <w:tcW w:type="dxa" w:w="7370"/>
            <w:vAlign w:val="center"/>
          </w:tcPr>
          <w:p>
            <w:pPr>
              <w:spacing w:after="0"/>
            </w:pPr>
            <w:r/>
            <w:r>
              <w:rPr>
                <w:rFonts w:ascii="Arial" w:hAnsi="Arial" w:eastAsia="Arial"/>
                <w:b w:val="0"/>
                <w:color w:val="1A1A1A"/>
                <w:sz w:val="16"/>
              </w:rPr>
              <w:t>Full 11 h package replaced by measured float, connect, tower, services and proof cycle</w:t>
            </w:r>
          </w:p>
        </w:tc>
      </w:tr>
      <w:tr>
        <w:tc>
          <w:tcPr>
            <w:tcW w:type="dxa" w:w="2835"/>
            <w:vAlign w:val="center"/>
          </w:tcPr>
          <w:p>
            <w:pPr>
              <w:spacing w:after="0"/>
            </w:pPr>
            <w:r/>
            <w:r>
              <w:rPr>
                <w:rFonts w:ascii="Arial" w:hAnsi="Arial" w:eastAsia="Arial"/>
                <w:b w:val="0"/>
                <w:color w:val="1A1A1A"/>
                <w:sz w:val="16"/>
              </w:rPr>
              <w:t>SIMOPS and rescue</w:t>
            </w:r>
          </w:p>
        </w:tc>
        <w:tc>
          <w:tcPr>
            <w:tcW w:type="dxa" w:w="7370"/>
            <w:vAlign w:val="center"/>
          </w:tcPr>
          <w:p>
            <w:pPr>
              <w:spacing w:after="0"/>
            </w:pPr>
            <w:r/>
            <w:r>
              <w:rPr>
                <w:rFonts w:ascii="Arial" w:hAnsi="Arial" w:eastAsia="Arial"/>
                <w:b w:val="0"/>
                <w:color w:val="1A1A1A"/>
                <w:sz w:val="16"/>
              </w:rPr>
              <w:t>Safe separation, egress, emergency lowering and stretcher drill passed</w:t>
            </w:r>
          </w:p>
        </w:tc>
      </w:tr>
      <w:tr>
        <w:tc>
          <w:tcPr>
            <w:tcW w:type="dxa" w:w="2835"/>
            <w:vAlign w:val="center"/>
          </w:tcPr>
          <w:p>
            <w:pPr>
              <w:spacing w:after="0"/>
            </w:pPr>
            <w:r/>
            <w:r>
              <w:rPr>
                <w:rFonts w:ascii="Arial" w:hAnsi="Arial" w:eastAsia="Arial"/>
                <w:b w:val="0"/>
                <w:color w:val="1A1A1A"/>
                <w:sz w:val="16"/>
              </w:rPr>
              <w:t>Marine spread</w:t>
            </w:r>
          </w:p>
        </w:tc>
        <w:tc>
          <w:tcPr>
            <w:tcW w:type="dxa" w:w="7370"/>
            <w:vAlign w:val="center"/>
          </w:tcPr>
          <w:p>
            <w:pPr>
              <w:spacing w:after="0"/>
            </w:pPr>
            <w:r/>
            <w:r>
              <w:rPr>
                <w:rFonts w:ascii="Arial" w:hAnsi="Arial" w:eastAsia="Arial"/>
                <w:b w:val="0"/>
                <w:color w:val="1A1A1A"/>
                <w:sz w:val="16"/>
              </w:rPr>
              <w:t>JUB reach, services, workboat, recovery and cyclone response demonstrated</w:t>
            </w:r>
          </w:p>
        </w:tc>
      </w:tr>
      <w:tr>
        <w:tc>
          <w:tcPr>
            <w:tcW w:type="dxa" w:w="2835"/>
            <w:vAlign w:val="center"/>
          </w:tcPr>
          <w:p>
            <w:pPr>
              <w:spacing w:after="0"/>
            </w:pPr>
            <w:r/>
            <w:r>
              <w:rPr>
                <w:rFonts w:ascii="Arial" w:hAnsi="Arial" w:eastAsia="Arial"/>
                <w:b w:val="0"/>
                <w:color w:val="1A1A1A"/>
                <w:sz w:val="16"/>
              </w:rPr>
              <w:t>Commercial</w:t>
            </w:r>
          </w:p>
        </w:tc>
        <w:tc>
          <w:tcPr>
            <w:tcW w:type="dxa" w:w="7370"/>
            <w:vAlign w:val="center"/>
          </w:tcPr>
          <w:p>
            <w:pPr>
              <w:spacing w:after="0"/>
            </w:pPr>
            <w:r/>
            <w:r>
              <w:rPr>
                <w:rFonts w:ascii="Arial" w:hAnsi="Arial" w:eastAsia="Arial"/>
                <w:b w:val="0"/>
                <w:color w:val="1A1A1A"/>
                <w:sz w:val="16"/>
              </w:rPr>
              <w:t>One reconciled supplier-priced cost model accepted</w:t>
            </w:r>
          </w:p>
        </w:tc>
      </w:tr>
    </w:tbl>
    <w:p>
      <w:pPr>
        <w:spacing w:after="0"/>
      </w:pPr>
    </w:p>
    <w:p>
      <w:r>
        <w:t>Production ramp-up should be released only when the accepted cycle and safe resource loading support the intended fleet. A failed gate should change the method or fleet, not be hidden inside contingency.</w:t>
      </w:r>
    </w:p>
    <w:p>
      <w:pPr>
        <w:pStyle w:val="Heading1"/>
      </w:pPr>
      <w:r>
        <w:t>19. Implementation and procurement roadmap</w:t>
      </w:r>
    </w:p>
    <w:p>
      <w:pPr>
        <w:pStyle w:val="ListNumber"/>
        <w:spacing w:after="40"/>
      </w:pPr>
      <w:r>
        <w:t>Confirm the STL priority and remaining bent register and classify every bent by family, condition, preservation and proposed access method.</w:t>
      </w:r>
    </w:p>
    <w:p>
      <w:pPr>
        <w:pStyle w:val="ListNumber"/>
        <w:spacing w:after="40"/>
      </w:pPr>
      <w:r>
        <w:t>Issue focused RFIs to GGC, the containment supplier, JUB providers, coating/jacket manufacturers and the reviewing engineer.</w:t>
      </w:r>
    </w:p>
    <w:p>
      <w:pPr>
        <w:pStyle w:val="ListNumber"/>
        <w:spacing w:after="40"/>
      </w:pPr>
      <w:r>
        <w:t>Develop dimensioned typical-bent and exception-family concept plates.</w:t>
      </w:r>
    </w:p>
    <w:p>
      <w:pPr>
        <w:pStyle w:val="ListNumber"/>
        <w:spacing w:after="40"/>
      </w:pPr>
      <w:r>
        <w:t>Prepare the RPEQ temporary-works design basis and independent-check plan.</w:t>
      </w:r>
    </w:p>
    <w:p>
      <w:pPr>
        <w:pStyle w:val="ListNumber"/>
        <w:spacing w:after="40"/>
      </w:pPr>
      <w:r>
        <w:t>Obtain supplier availability and firm commercial quotations on one common scope.</w:t>
      </w:r>
    </w:p>
    <w:p>
      <w:pPr>
        <w:pStyle w:val="ListNumber"/>
        <w:spacing w:after="40"/>
      </w:pPr>
      <w:r>
        <w:t>Hold the STL options workshop and confirm the preferred hybrid strategy.</w:t>
      </w:r>
    </w:p>
    <w:p>
      <w:pPr>
        <w:pStyle w:val="ListNumber"/>
        <w:spacing w:after="40"/>
      </w:pPr>
      <w:r>
        <w:t>Develop the proving-campaign tender package with measurable acceptance criteria.</w:t>
      </w:r>
    </w:p>
    <w:p>
      <w:pPr>
        <w:pStyle w:val="ListNumber"/>
        <w:spacing w:after="40"/>
      </w:pPr>
      <w:r>
        <w:t>Run the proving campaign and freeze the accepted cycle, fleet, SIMOPS, calendar and cost.</w:t>
      </w:r>
    </w:p>
    <w:p>
      <w:pPr>
        <w:pStyle w:val="ListNumber"/>
        <w:spacing w:after="40"/>
      </w:pPr>
      <w:r>
        <w:t>Issue the final procurement recommendation and implementation programme.</w:t>
      </w:r>
    </w:p>
    <w:p>
      <w:pPr>
        <w:jc w:val="center"/>
      </w:pPr>
      <w:r>
        <w:drawing>
          <wp:inline xmlns:a="http://schemas.openxmlformats.org/drawingml/2006/main" xmlns:pic="http://schemas.openxmlformats.org/drawingml/2006/picture">
            <wp:extent cx="6035040" cy="3319272"/>
            <wp:docPr id="10" name="Picture 10"/>
            <wp:cNvGraphicFramePr>
              <a:graphicFrameLocks noChangeAspect="1"/>
            </wp:cNvGraphicFramePr>
            <a:graphic>
              <a:graphicData uri="http://schemas.openxmlformats.org/drawingml/2006/picture">
                <pic:pic>
                  <pic:nvPicPr>
                    <pic:cNvPr id="0" name="implementation_roadmap.png"/>
                    <pic:cNvPicPr/>
                  </pic:nvPicPr>
                  <pic:blipFill>
                    <a:blip r:embed="rId17"/>
                    <a:stretch>
                      <a:fillRect/>
                    </a:stretch>
                  </pic:blipFill>
                  <pic:spPr>
                    <a:xfrm>
                      <a:off x="0" y="0"/>
                      <a:ext cx="6035040" cy="3319272"/>
                    </a:xfrm>
                    <a:prstGeom prst="rect"/>
                  </pic:spPr>
                </pic:pic>
              </a:graphicData>
            </a:graphic>
          </wp:inline>
        </w:drawing>
      </w:r>
    </w:p>
    <w:p>
      <w:pPr>
        <w:pStyle w:val="FigureCaption"/>
        <w:jc w:val="center"/>
      </w:pPr>
      <w:r>
        <w:t>Figure 8. Decision and implementation roadmap.</w:t>
      </w:r>
    </w:p>
    <w:p>
      <w:pPr>
        <w:pStyle w:val="Heading1"/>
      </w:pPr>
      <w:r>
        <w:t>20. Recommendation and decision required</w:t>
      </w:r>
    </w:p>
    <w:p>
      <w:r>
        <w:t>The current scaffold method is retained as the baseline but is not recommended as the sole recovery methodology for the typical-bent population. Its serial access cycle, roadway dependence and standing-hire exposure do not align with the required whole-scope stress rate.</w:t>
      </w:r>
    </w:p>
    <w:p>
      <w:r>
        <w:t>The suspended floating-platform and JUB logistics concept is recommended for supplier development and proving on typical bents. It is technically plausible and directly targets the dominant recoverable constraints. It is not yet demonstrated to meet the end-2028 requirement.</w:t>
      </w:r>
    </w:p>
    <w:p>
      <w:r>
        <w:t>A hybrid campaign is recommended. The preferred marine concept should be developed for typical bents, while conventional scaffold, rope access, direct JUB or other bespoke arrangements remain available for exception families.</w:t>
      </w:r>
    </w:p>
    <w:p>
      <w:r>
        <w:t>STL is asked to approve the following direction:</w:t>
      </w:r>
    </w:p>
    <w:p>
      <w:pPr>
        <w:pStyle w:val="ListBullet"/>
        <w:spacing w:after="40"/>
      </w:pPr>
      <w:r>
        <w:t>Proceed with supplier and temporary-works development of the preferred typical-bent concept.</w:t>
      </w:r>
    </w:p>
    <w:p>
      <w:pPr>
        <w:pStyle w:val="ListBullet"/>
        <w:spacing w:after="40"/>
      </w:pPr>
      <w:r>
        <w:t>Provide the current priority/closeout register, bathymetry, metocean and shipping forecast.</w:t>
      </w:r>
    </w:p>
    <w:p>
      <w:pPr>
        <w:pStyle w:val="ListBullet"/>
        <w:spacing w:after="40"/>
      </w:pPr>
      <w:r>
        <w:t>Authorise market soundings and a priced proving-campaign package.</w:t>
      </w:r>
    </w:p>
    <w:p>
      <w:pPr>
        <w:pStyle w:val="ListBullet"/>
        <w:spacing w:after="40"/>
      </w:pPr>
      <w:r>
        <w:t>Confirm the proposed one bent-level diagnostic and approval workflow with the reviewing engineer.</w:t>
      </w:r>
    </w:p>
    <w:p>
      <w:pPr>
        <w:pStyle w:val="ListBullet"/>
        <w:spacing w:after="40"/>
      </w:pPr>
      <w:r>
        <w:t>Return for a decision workshop before procurement commitment.</w:t>
      </w:r>
    </w:p>
    <w:tbl>
      <w:tblPr>
        <w:tblW w:type="auto" w:w="0"/>
        <w:jc w:val="center"/>
        <w:tblLayout w:type="fixed"/>
        <w:tblLook w:firstColumn="1" w:firstRow="1" w:lastColumn="0" w:lastRow="0" w:noHBand="0" w:noVBand="1" w:val="04A0"/>
      </w:tblPr>
      <w:tblGrid>
        <w:gridCol w:w="1247"/>
        <w:gridCol w:w="8220"/>
      </w:tblGrid>
      <w:tr>
        <w:tc>
          <w:tcPr>
            <w:tcW w:type="dxa" w:w="4986"/>
            <w:shd w:fill="1A1A1A"/>
            <w:vAlign w:val="center"/>
          </w:tcPr>
          <w:p>
            <w:pPr>
              <w:spacing w:after="0"/>
            </w:pPr>
            <w:r/>
            <w:r>
              <w:rPr>
                <w:rFonts w:ascii="Arial" w:hAnsi="Arial" w:eastAsia="Arial"/>
                <w:b/>
                <w:color w:val="FFFFFF"/>
                <w:sz w:val="17"/>
              </w:rPr>
              <w:t>Contract boundary</w:t>
            </w:r>
          </w:p>
        </w:tc>
        <w:tc>
          <w:tcPr>
            <w:tcW w:type="dxa" w:w="4986"/>
            <w:shd w:fill="FAF7F1"/>
            <w:vAlign w:val="center"/>
          </w:tcPr>
          <w:p>
            <w:pPr>
              <w:spacing w:after="0"/>
            </w:pPr>
            <w:r/>
            <w:r>
              <w:rPr>
                <w:rFonts w:ascii="Arial" w:hAnsi="Arial" w:eastAsia="Arial"/>
                <w:b w:val="0"/>
                <w:color w:val="1A1A1A"/>
                <w:sz w:val="17"/>
              </w:rPr>
              <w:t>This recommendation does not advise termination, variation or award of any contract. STL should make those decisions with its legal and commercial advisers after the methodology, programme and cost evidence is complete.</w:t>
            </w:r>
          </w:p>
        </w:tc>
      </w:tr>
    </w:tbl>
    <w:p>
      <w:pPr>
        <w:spacing w:after="0"/>
      </w:pPr>
    </w:p>
    <w:p>
      <w:r>
        <w:br w:type="page"/>
      </w:r>
    </w:p>
    <w:p>
      <w:pPr>
        <w:pStyle w:val="Heading1"/>
      </w:pPr>
      <w:r>
        <w:t>Appendix A. Proposal deliverable matrix</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4535"/>
            <w:shd w:fill="E87722"/>
            <w:vAlign w:val="center"/>
          </w:tcPr>
          <w:p>
            <w:pPr>
              <w:spacing w:after="0"/>
            </w:pPr>
            <w:r/>
            <w:r>
              <w:rPr>
                <w:rFonts w:ascii="Arial" w:hAnsi="Arial" w:eastAsia="Arial"/>
                <w:b/>
                <w:color w:val="FFFFFF"/>
                <w:sz w:val="15"/>
              </w:rPr>
              <w:t>Proposal commitment</w:t>
            </w:r>
          </w:p>
        </w:tc>
        <w:tc>
          <w:tcPr>
            <w:tcW w:type="dxa" w:w="4535"/>
            <w:shd w:fill="E87722"/>
            <w:vAlign w:val="center"/>
          </w:tcPr>
          <w:p>
            <w:pPr>
              <w:spacing w:after="0"/>
            </w:pPr>
            <w:r/>
            <w:r>
              <w:rPr>
                <w:rFonts w:ascii="Arial" w:hAnsi="Arial" w:eastAsia="Arial"/>
                <w:b/>
                <w:color w:val="FFFFFF"/>
                <w:sz w:val="15"/>
              </w:rPr>
              <w:t>Response</w:t>
            </w:r>
          </w:p>
        </w:tc>
        <w:tc>
          <w:tcPr>
            <w:tcW w:type="dxa" w:w="2268"/>
            <w:shd w:fill="E87722"/>
            <w:vAlign w:val="center"/>
          </w:tcPr>
          <w:p>
            <w:pPr>
              <w:spacing w:after="0"/>
            </w:pPr>
            <w:r/>
            <w:r>
              <w:rPr>
                <w:rFonts w:ascii="Arial" w:hAnsi="Arial" w:eastAsia="Arial"/>
                <w:b/>
                <w:color w:val="FFFFFF"/>
                <w:sz w:val="15"/>
              </w:rPr>
              <w:t>Current status</w:t>
            </w:r>
          </w:p>
        </w:tc>
      </w:tr>
      <w:tr>
        <w:tc>
          <w:tcPr>
            <w:tcW w:type="dxa" w:w="4535"/>
            <w:vAlign w:val="center"/>
          </w:tcPr>
          <w:p>
            <w:pPr>
              <w:spacing w:after="0"/>
            </w:pPr>
            <w:r/>
            <w:r>
              <w:rPr>
                <w:rFonts w:ascii="Arial" w:hAnsi="Arial" w:eastAsia="Arial"/>
                <w:b w:val="0"/>
                <w:color w:val="1A1A1A"/>
                <w:sz w:val="15"/>
              </w:rPr>
              <w:t>Constraint envelope</w:t>
            </w:r>
          </w:p>
        </w:tc>
        <w:tc>
          <w:tcPr>
            <w:tcW w:type="dxa" w:w="4535"/>
            <w:vAlign w:val="center"/>
          </w:tcPr>
          <w:p>
            <w:pPr>
              <w:spacing w:after="0"/>
            </w:pPr>
            <w:r/>
            <w:r>
              <w:rPr>
                <w:rFonts w:ascii="Arial" w:hAnsi="Arial" w:eastAsia="Arial"/>
                <w:b w:val="0"/>
                <w:color w:val="1A1A1A"/>
                <w:sz w:val="15"/>
              </w:rPr>
              <w:t>Sections 5, 10-12</w:t>
            </w:r>
          </w:p>
        </w:tc>
        <w:tc>
          <w:tcPr>
            <w:tcW w:type="dxa" w:w="2268"/>
            <w:vAlign w:val="center"/>
          </w:tcPr>
          <w:p>
            <w:pPr>
              <w:spacing w:after="0"/>
            </w:pPr>
            <w:r/>
            <w:r>
              <w:rPr>
                <w:rFonts w:ascii="Arial" w:hAnsi="Arial" w:eastAsia="Arial"/>
                <w:b w:val="0"/>
                <w:color w:val="1A1A1A"/>
                <w:sz w:val="15"/>
              </w:rPr>
              <w:t>Partially complete</w:t>
            </w:r>
          </w:p>
        </w:tc>
      </w:tr>
      <w:tr>
        <w:tc>
          <w:tcPr>
            <w:tcW w:type="dxa" w:w="4535"/>
            <w:vAlign w:val="center"/>
          </w:tcPr>
          <w:p>
            <w:pPr>
              <w:spacing w:after="0"/>
            </w:pPr>
            <w:r/>
            <w:r>
              <w:rPr>
                <w:rFonts w:ascii="Arial" w:hAnsi="Arial" w:eastAsia="Arial"/>
                <w:b w:val="0"/>
                <w:color w:val="1A1A1A"/>
                <w:sz w:val="15"/>
              </w:rPr>
              <w:t>Option screening</w:t>
            </w:r>
          </w:p>
        </w:tc>
        <w:tc>
          <w:tcPr>
            <w:tcW w:type="dxa" w:w="4535"/>
            <w:vAlign w:val="center"/>
          </w:tcPr>
          <w:p>
            <w:pPr>
              <w:spacing w:after="0"/>
            </w:pPr>
            <w:r/>
            <w:r>
              <w:rPr>
                <w:rFonts w:ascii="Arial" w:hAnsi="Arial" w:eastAsia="Arial"/>
                <w:b w:val="0"/>
                <w:color w:val="1A1A1A"/>
                <w:sz w:val="15"/>
              </w:rPr>
              <w:t>Sections 7 and 16</w:t>
            </w:r>
          </w:p>
        </w:tc>
        <w:tc>
          <w:tcPr>
            <w:tcW w:type="dxa" w:w="2268"/>
            <w:vAlign w:val="center"/>
          </w:tcPr>
          <w:p>
            <w:pPr>
              <w:spacing w:after="0"/>
            </w:pPr>
            <w:r/>
            <w:r>
              <w:rPr>
                <w:rFonts w:ascii="Arial" w:hAnsi="Arial" w:eastAsia="Arial"/>
                <w:b w:val="0"/>
                <w:color w:val="1A1A1A"/>
                <w:sz w:val="15"/>
              </w:rPr>
              <w:t>Complete for workshop</w:t>
            </w:r>
          </w:p>
        </w:tc>
      </w:tr>
      <w:tr>
        <w:tc>
          <w:tcPr>
            <w:tcW w:type="dxa" w:w="4535"/>
            <w:vAlign w:val="center"/>
          </w:tcPr>
          <w:p>
            <w:pPr>
              <w:spacing w:after="0"/>
            </w:pPr>
            <w:r/>
            <w:r>
              <w:rPr>
                <w:rFonts w:ascii="Arial" w:hAnsi="Arial" w:eastAsia="Arial"/>
                <w:b w:val="0"/>
                <w:color w:val="1A1A1A"/>
                <w:sz w:val="15"/>
              </w:rPr>
              <w:t>Concept development</w:t>
            </w:r>
          </w:p>
        </w:tc>
        <w:tc>
          <w:tcPr>
            <w:tcW w:type="dxa" w:w="4535"/>
            <w:vAlign w:val="center"/>
          </w:tcPr>
          <w:p>
            <w:pPr>
              <w:spacing w:after="0"/>
            </w:pPr>
            <w:r/>
            <w:r>
              <w:rPr>
                <w:rFonts w:ascii="Arial" w:hAnsi="Arial" w:eastAsia="Arial"/>
                <w:b w:val="0"/>
                <w:color w:val="1A1A1A"/>
                <w:sz w:val="15"/>
              </w:rPr>
              <w:t>Sections 8-12</w:t>
            </w:r>
          </w:p>
        </w:tc>
        <w:tc>
          <w:tcPr>
            <w:tcW w:type="dxa" w:w="2268"/>
            <w:vAlign w:val="center"/>
          </w:tcPr>
          <w:p>
            <w:pPr>
              <w:spacing w:after="0"/>
            </w:pPr>
            <w:r/>
            <w:r>
              <w:rPr>
                <w:rFonts w:ascii="Arial" w:hAnsi="Arial" w:eastAsia="Arial"/>
                <w:b w:val="0"/>
                <w:color w:val="1A1A1A"/>
                <w:sz w:val="15"/>
              </w:rPr>
              <w:t>Complete at concept level</w:t>
            </w:r>
          </w:p>
        </w:tc>
      </w:tr>
      <w:tr>
        <w:tc>
          <w:tcPr>
            <w:tcW w:type="dxa" w:w="4535"/>
            <w:vAlign w:val="center"/>
          </w:tcPr>
          <w:p>
            <w:pPr>
              <w:spacing w:after="0"/>
            </w:pPr>
            <w:r/>
            <w:r>
              <w:rPr>
                <w:rFonts w:ascii="Arial" w:hAnsi="Arial" w:eastAsia="Arial"/>
                <w:b w:val="0"/>
                <w:color w:val="1A1A1A"/>
                <w:sz w:val="15"/>
              </w:rPr>
              <w:t>Deployment and relocation cycle</w:t>
            </w:r>
          </w:p>
        </w:tc>
        <w:tc>
          <w:tcPr>
            <w:tcW w:type="dxa" w:w="4535"/>
            <w:vAlign w:val="center"/>
          </w:tcPr>
          <w:p>
            <w:pPr>
              <w:spacing w:after="0"/>
            </w:pPr>
            <w:r/>
            <w:r>
              <w:rPr>
                <w:rFonts w:ascii="Arial" w:hAnsi="Arial" w:eastAsia="Arial"/>
                <w:b w:val="0"/>
                <w:color w:val="1A1A1A"/>
                <w:sz w:val="15"/>
              </w:rPr>
              <w:t>Section 9</w:t>
            </w:r>
          </w:p>
        </w:tc>
        <w:tc>
          <w:tcPr>
            <w:tcW w:type="dxa" w:w="2268"/>
            <w:vAlign w:val="center"/>
          </w:tcPr>
          <w:p>
            <w:pPr>
              <w:spacing w:after="0"/>
            </w:pPr>
            <w:r/>
            <w:r>
              <w:rPr>
                <w:rFonts w:ascii="Arial" w:hAnsi="Arial" w:eastAsia="Arial"/>
                <w:b w:val="0"/>
                <w:color w:val="1A1A1A"/>
                <w:sz w:val="15"/>
              </w:rPr>
              <w:t>Working basis established</w:t>
            </w:r>
          </w:p>
        </w:tc>
      </w:tr>
      <w:tr>
        <w:tc>
          <w:tcPr>
            <w:tcW w:type="dxa" w:w="4535"/>
            <w:vAlign w:val="center"/>
          </w:tcPr>
          <w:p>
            <w:pPr>
              <w:spacing w:after="0"/>
            </w:pPr>
            <w:r/>
            <w:r>
              <w:rPr>
                <w:rFonts w:ascii="Arial" w:hAnsi="Arial" w:eastAsia="Arial"/>
                <w:b w:val="0"/>
                <w:color w:val="1A1A1A"/>
                <w:sz w:val="15"/>
              </w:rPr>
              <w:t>Operability</w:t>
            </w:r>
          </w:p>
        </w:tc>
        <w:tc>
          <w:tcPr>
            <w:tcW w:type="dxa" w:w="4535"/>
            <w:vAlign w:val="center"/>
          </w:tcPr>
          <w:p>
            <w:pPr>
              <w:spacing w:after="0"/>
            </w:pPr>
            <w:r/>
            <w:r>
              <w:rPr>
                <w:rFonts w:ascii="Arial" w:hAnsi="Arial" w:eastAsia="Arial"/>
                <w:b w:val="0"/>
                <w:color w:val="1A1A1A"/>
                <w:sz w:val="15"/>
              </w:rPr>
              <w:t>Sections 10 and 12</w:t>
            </w:r>
          </w:p>
        </w:tc>
        <w:tc>
          <w:tcPr>
            <w:tcW w:type="dxa" w:w="2268"/>
            <w:vAlign w:val="center"/>
          </w:tcPr>
          <w:p>
            <w:pPr>
              <w:spacing w:after="0"/>
            </w:pPr>
            <w:r/>
            <w:r>
              <w:rPr>
                <w:rFonts w:ascii="Arial" w:hAnsi="Arial" w:eastAsia="Arial"/>
                <w:b w:val="0"/>
                <w:color w:val="1A1A1A"/>
                <w:sz w:val="15"/>
              </w:rPr>
              <w:t>Conditional</w:t>
            </w:r>
          </w:p>
        </w:tc>
      </w:tr>
      <w:tr>
        <w:tc>
          <w:tcPr>
            <w:tcW w:type="dxa" w:w="4535"/>
            <w:vAlign w:val="center"/>
          </w:tcPr>
          <w:p>
            <w:pPr>
              <w:spacing w:after="0"/>
            </w:pPr>
            <w:r/>
            <w:r>
              <w:rPr>
                <w:rFonts w:ascii="Arial" w:hAnsi="Arial" w:eastAsia="Arial"/>
                <w:b w:val="0"/>
                <w:color w:val="1A1A1A"/>
                <w:sz w:val="15"/>
              </w:rPr>
              <w:t>Containment and waste</w:t>
            </w:r>
          </w:p>
        </w:tc>
        <w:tc>
          <w:tcPr>
            <w:tcW w:type="dxa" w:w="4535"/>
            <w:vAlign w:val="center"/>
          </w:tcPr>
          <w:p>
            <w:pPr>
              <w:spacing w:after="0"/>
            </w:pPr>
            <w:r/>
            <w:r>
              <w:rPr>
                <w:rFonts w:ascii="Arial" w:hAnsi="Arial" w:eastAsia="Arial"/>
                <w:b w:val="0"/>
                <w:color w:val="1A1A1A"/>
                <w:sz w:val="15"/>
              </w:rPr>
              <w:t>Section 11</w:t>
            </w:r>
          </w:p>
        </w:tc>
        <w:tc>
          <w:tcPr>
            <w:tcW w:type="dxa" w:w="2268"/>
            <w:vAlign w:val="center"/>
          </w:tcPr>
          <w:p>
            <w:pPr>
              <w:spacing w:after="0"/>
            </w:pPr>
            <w:r/>
            <w:r>
              <w:rPr>
                <w:rFonts w:ascii="Arial" w:hAnsi="Arial" w:eastAsia="Arial"/>
                <w:b w:val="0"/>
                <w:color w:val="1A1A1A"/>
                <w:sz w:val="15"/>
              </w:rPr>
              <w:t>Conditional</w:t>
            </w:r>
          </w:p>
        </w:tc>
      </w:tr>
      <w:tr>
        <w:tc>
          <w:tcPr>
            <w:tcW w:type="dxa" w:w="4535"/>
            <w:vAlign w:val="center"/>
          </w:tcPr>
          <w:p>
            <w:pPr>
              <w:spacing w:after="0"/>
            </w:pPr>
            <w:r/>
            <w:r>
              <w:rPr>
                <w:rFonts w:ascii="Arial" w:hAnsi="Arial" w:eastAsia="Arial"/>
                <w:b w:val="0"/>
                <w:color w:val="1A1A1A"/>
                <w:sz w:val="15"/>
              </w:rPr>
              <w:t>Marine logistics</w:t>
            </w:r>
          </w:p>
        </w:tc>
        <w:tc>
          <w:tcPr>
            <w:tcW w:type="dxa" w:w="4535"/>
            <w:vAlign w:val="center"/>
          </w:tcPr>
          <w:p>
            <w:pPr>
              <w:spacing w:after="0"/>
            </w:pPr>
            <w:r/>
            <w:r>
              <w:rPr>
                <w:rFonts w:ascii="Arial" w:hAnsi="Arial" w:eastAsia="Arial"/>
                <w:b w:val="0"/>
                <w:color w:val="1A1A1A"/>
                <w:sz w:val="15"/>
              </w:rPr>
              <w:t>Section 10</w:t>
            </w:r>
          </w:p>
        </w:tc>
        <w:tc>
          <w:tcPr>
            <w:tcW w:type="dxa" w:w="2268"/>
            <w:vAlign w:val="center"/>
          </w:tcPr>
          <w:p>
            <w:pPr>
              <w:spacing w:after="0"/>
            </w:pPr>
            <w:r/>
            <w:r>
              <w:rPr>
                <w:rFonts w:ascii="Arial" w:hAnsi="Arial" w:eastAsia="Arial"/>
                <w:b w:val="0"/>
                <w:color w:val="1A1A1A"/>
                <w:sz w:val="15"/>
              </w:rPr>
              <w:t>Concept established</w:t>
            </w:r>
          </w:p>
        </w:tc>
      </w:tr>
      <w:tr>
        <w:tc>
          <w:tcPr>
            <w:tcW w:type="dxa" w:w="4535"/>
            <w:vAlign w:val="center"/>
          </w:tcPr>
          <w:p>
            <w:pPr>
              <w:spacing w:after="0"/>
            </w:pPr>
            <w:r/>
            <w:r>
              <w:rPr>
                <w:rFonts w:ascii="Arial" w:hAnsi="Arial" w:eastAsia="Arial"/>
                <w:b w:val="0"/>
                <w:color w:val="1A1A1A"/>
                <w:sz w:val="15"/>
              </w:rPr>
              <w:t>Structural interfaces</w:t>
            </w:r>
          </w:p>
        </w:tc>
        <w:tc>
          <w:tcPr>
            <w:tcW w:type="dxa" w:w="4535"/>
            <w:vAlign w:val="center"/>
          </w:tcPr>
          <w:p>
            <w:pPr>
              <w:spacing w:after="0"/>
            </w:pPr>
            <w:r/>
            <w:r>
              <w:rPr>
                <w:rFonts w:ascii="Arial" w:hAnsi="Arial" w:eastAsia="Arial"/>
                <w:b w:val="0"/>
                <w:color w:val="1A1A1A"/>
                <w:sz w:val="15"/>
              </w:rPr>
              <w:t>Section 12</w:t>
            </w:r>
          </w:p>
        </w:tc>
        <w:tc>
          <w:tcPr>
            <w:tcW w:type="dxa" w:w="2268"/>
            <w:vAlign w:val="center"/>
          </w:tcPr>
          <w:p>
            <w:pPr>
              <w:spacing w:after="0"/>
            </w:pPr>
            <w:r/>
            <w:r>
              <w:rPr>
                <w:rFonts w:ascii="Arial" w:hAnsi="Arial" w:eastAsia="Arial"/>
                <w:b w:val="0"/>
                <w:color w:val="1A1A1A"/>
                <w:sz w:val="15"/>
              </w:rPr>
              <w:t>Gate identified</w:t>
            </w:r>
          </w:p>
        </w:tc>
      </w:tr>
      <w:tr>
        <w:tc>
          <w:tcPr>
            <w:tcW w:type="dxa" w:w="4535"/>
            <w:vAlign w:val="center"/>
          </w:tcPr>
          <w:p>
            <w:pPr>
              <w:spacing w:after="0"/>
            </w:pPr>
            <w:r/>
            <w:r>
              <w:rPr>
                <w:rFonts w:ascii="Arial" w:hAnsi="Arial" w:eastAsia="Arial"/>
                <w:b w:val="0"/>
                <w:color w:val="1A1A1A"/>
                <w:sz w:val="15"/>
              </w:rPr>
              <w:t>Cyclone and shipping response</w:t>
            </w:r>
          </w:p>
        </w:tc>
        <w:tc>
          <w:tcPr>
            <w:tcW w:type="dxa" w:w="4535"/>
            <w:vAlign w:val="center"/>
          </w:tcPr>
          <w:p>
            <w:pPr>
              <w:spacing w:after="0"/>
            </w:pPr>
            <w:r/>
            <w:r>
              <w:rPr>
                <w:rFonts w:ascii="Arial" w:hAnsi="Arial" w:eastAsia="Arial"/>
                <w:b w:val="0"/>
                <w:color w:val="1A1A1A"/>
                <w:sz w:val="15"/>
              </w:rPr>
              <w:t>Section 12</w:t>
            </w:r>
          </w:p>
        </w:tc>
        <w:tc>
          <w:tcPr>
            <w:tcW w:type="dxa" w:w="2268"/>
            <w:vAlign w:val="center"/>
          </w:tcPr>
          <w:p>
            <w:pPr>
              <w:spacing w:after="0"/>
            </w:pPr>
            <w:r/>
            <w:r>
              <w:rPr>
                <w:rFonts w:ascii="Arial" w:hAnsi="Arial" w:eastAsia="Arial"/>
                <w:b w:val="0"/>
                <w:color w:val="1A1A1A"/>
                <w:sz w:val="15"/>
              </w:rPr>
              <w:t>Concept established</w:t>
            </w:r>
          </w:p>
        </w:tc>
      </w:tr>
      <w:tr>
        <w:tc>
          <w:tcPr>
            <w:tcW w:type="dxa" w:w="4535"/>
            <w:vAlign w:val="center"/>
          </w:tcPr>
          <w:p>
            <w:pPr>
              <w:spacing w:after="0"/>
            </w:pPr>
            <w:r/>
            <w:r>
              <w:rPr>
                <w:rFonts w:ascii="Arial" w:hAnsi="Arial" w:eastAsia="Arial"/>
                <w:b w:val="0"/>
                <w:color w:val="1A1A1A"/>
                <w:sz w:val="15"/>
              </w:rPr>
              <w:t>Programme comparison</w:t>
            </w:r>
          </w:p>
        </w:tc>
        <w:tc>
          <w:tcPr>
            <w:tcW w:type="dxa" w:w="4535"/>
            <w:vAlign w:val="center"/>
          </w:tcPr>
          <w:p>
            <w:pPr>
              <w:spacing w:after="0"/>
            </w:pPr>
            <w:r/>
            <w:r>
              <w:rPr>
                <w:rFonts w:ascii="Arial" w:hAnsi="Arial" w:eastAsia="Arial"/>
                <w:b w:val="0"/>
                <w:color w:val="1A1A1A"/>
                <w:sz w:val="15"/>
              </w:rPr>
              <w:t>Sections 13-14</w:t>
            </w:r>
          </w:p>
        </w:tc>
        <w:tc>
          <w:tcPr>
            <w:tcW w:type="dxa" w:w="2268"/>
            <w:vAlign w:val="center"/>
          </w:tcPr>
          <w:p>
            <w:pPr>
              <w:spacing w:after="0"/>
            </w:pPr>
            <w:r/>
            <w:r>
              <w:rPr>
                <w:rFonts w:ascii="Arial" w:hAnsi="Arial" w:eastAsia="Arial"/>
                <w:b w:val="0"/>
                <w:color w:val="1A1A1A"/>
                <w:sz w:val="15"/>
              </w:rPr>
              <w:t>Completed with qualifications</w:t>
            </w:r>
          </w:p>
        </w:tc>
      </w:tr>
      <w:tr>
        <w:tc>
          <w:tcPr>
            <w:tcW w:type="dxa" w:w="4535"/>
            <w:vAlign w:val="center"/>
          </w:tcPr>
          <w:p>
            <w:pPr>
              <w:spacing w:after="0"/>
            </w:pPr>
            <w:r/>
            <w:r>
              <w:rPr>
                <w:rFonts w:ascii="Arial" w:hAnsi="Arial" w:eastAsia="Arial"/>
                <w:b w:val="0"/>
                <w:color w:val="1A1A1A"/>
                <w:sz w:val="15"/>
              </w:rPr>
              <w:t>Cost comparison</w:t>
            </w:r>
          </w:p>
        </w:tc>
        <w:tc>
          <w:tcPr>
            <w:tcW w:type="dxa" w:w="4535"/>
            <w:vAlign w:val="center"/>
          </w:tcPr>
          <w:p>
            <w:pPr>
              <w:spacing w:after="0"/>
            </w:pPr>
            <w:r/>
            <w:r>
              <w:rPr>
                <w:rFonts w:ascii="Arial" w:hAnsi="Arial" w:eastAsia="Arial"/>
                <w:b w:val="0"/>
                <w:color w:val="1A1A1A"/>
                <w:sz w:val="15"/>
              </w:rPr>
              <w:t>Section 15</w:t>
            </w:r>
          </w:p>
        </w:tc>
        <w:tc>
          <w:tcPr>
            <w:tcW w:type="dxa" w:w="2268"/>
            <w:vAlign w:val="center"/>
          </w:tcPr>
          <w:p>
            <w:pPr>
              <w:spacing w:after="0"/>
            </w:pPr>
            <w:r/>
            <w:r>
              <w:rPr>
                <w:rFonts w:ascii="Arial" w:hAnsi="Arial" w:eastAsia="Arial"/>
                <w:b w:val="0"/>
                <w:color w:val="1A1A1A"/>
                <w:sz w:val="15"/>
              </w:rPr>
              <w:t>Structured, not commercially closed</w:t>
            </w:r>
          </w:p>
        </w:tc>
      </w:tr>
      <w:tr>
        <w:tc>
          <w:tcPr>
            <w:tcW w:type="dxa" w:w="4535"/>
            <w:vAlign w:val="center"/>
          </w:tcPr>
          <w:p>
            <w:pPr>
              <w:spacing w:after="0"/>
            </w:pPr>
            <w:r/>
            <w:r>
              <w:rPr>
                <w:rFonts w:ascii="Arial" w:hAnsi="Arial" w:eastAsia="Arial"/>
                <w:b w:val="0"/>
                <w:color w:val="1A1A1A"/>
                <w:sz w:val="15"/>
              </w:rPr>
              <w:t>Market soundings</w:t>
            </w:r>
          </w:p>
        </w:tc>
        <w:tc>
          <w:tcPr>
            <w:tcW w:type="dxa" w:w="4535"/>
            <w:vAlign w:val="center"/>
          </w:tcPr>
          <w:p>
            <w:pPr>
              <w:spacing w:after="0"/>
            </w:pPr>
            <w:r/>
            <w:r>
              <w:rPr>
                <w:rFonts w:ascii="Arial" w:hAnsi="Arial" w:eastAsia="Arial"/>
                <w:b w:val="0"/>
                <w:color w:val="1A1A1A"/>
                <w:sz w:val="15"/>
              </w:rPr>
              <w:t>Section 17</w:t>
            </w:r>
          </w:p>
        </w:tc>
        <w:tc>
          <w:tcPr>
            <w:tcW w:type="dxa" w:w="2268"/>
            <w:vAlign w:val="center"/>
          </w:tcPr>
          <w:p>
            <w:pPr>
              <w:spacing w:after="0"/>
            </w:pPr>
            <w:r/>
            <w:r>
              <w:rPr>
                <w:rFonts w:ascii="Arial" w:hAnsi="Arial" w:eastAsia="Arial"/>
                <w:b w:val="0"/>
                <w:color w:val="1A1A1A"/>
                <w:sz w:val="15"/>
              </w:rPr>
              <w:t>In progress</w:t>
            </w:r>
          </w:p>
        </w:tc>
      </w:tr>
      <w:tr>
        <w:tc>
          <w:tcPr>
            <w:tcW w:type="dxa" w:w="4535"/>
            <w:vAlign w:val="center"/>
          </w:tcPr>
          <w:p>
            <w:pPr>
              <w:spacing w:after="0"/>
            </w:pPr>
            <w:r/>
            <w:r>
              <w:rPr>
                <w:rFonts w:ascii="Arial" w:hAnsi="Arial" w:eastAsia="Arial"/>
                <w:b w:val="0"/>
                <w:color w:val="1A1A1A"/>
                <w:sz w:val="15"/>
              </w:rPr>
              <w:t>Implementation roadmap</w:t>
            </w:r>
          </w:p>
        </w:tc>
        <w:tc>
          <w:tcPr>
            <w:tcW w:type="dxa" w:w="4535"/>
            <w:vAlign w:val="center"/>
          </w:tcPr>
          <w:p>
            <w:pPr>
              <w:spacing w:after="0"/>
            </w:pPr>
            <w:r/>
            <w:r>
              <w:rPr>
                <w:rFonts w:ascii="Arial" w:hAnsi="Arial" w:eastAsia="Arial"/>
                <w:b w:val="0"/>
                <w:color w:val="1A1A1A"/>
                <w:sz w:val="15"/>
              </w:rPr>
              <w:t>Sections 18-19</w:t>
            </w:r>
          </w:p>
        </w:tc>
        <w:tc>
          <w:tcPr>
            <w:tcW w:type="dxa" w:w="2268"/>
            <w:vAlign w:val="center"/>
          </w:tcPr>
          <w:p>
            <w:pPr>
              <w:spacing w:after="0"/>
            </w:pPr>
            <w:r/>
            <w:r>
              <w:rPr>
                <w:rFonts w:ascii="Arial" w:hAnsi="Arial" w:eastAsia="Arial"/>
                <w:b w:val="0"/>
                <w:color w:val="1A1A1A"/>
                <w:sz w:val="15"/>
              </w:rPr>
              <w:t>Complete at concept level</w:t>
            </w:r>
          </w:p>
        </w:tc>
      </w:tr>
    </w:tbl>
    <w:p>
      <w:pPr>
        <w:spacing w:after="0"/>
      </w:pPr>
    </w:p>
    <w:p>
      <w:pPr>
        <w:pStyle w:val="Heading1"/>
      </w:pPr>
      <w:r>
        <w:t>Appendix B. Principal assumptions and open items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402"/>
            <w:shd w:fill="E87722"/>
            <w:vAlign w:val="center"/>
          </w:tcPr>
          <w:p>
            <w:pPr>
              <w:spacing w:after="0"/>
            </w:pPr>
            <w:r/>
            <w:r>
              <w:rPr>
                <w:rFonts w:ascii="Arial" w:hAnsi="Arial" w:eastAsia="Arial"/>
                <w:b/>
                <w:color w:val="FFFFFF"/>
                <w:sz w:val="16"/>
              </w:rPr>
              <w:t>Assumption</w:t>
            </w:r>
          </w:p>
        </w:tc>
        <w:tc>
          <w:tcPr>
            <w:tcW w:type="dxa" w:w="2835"/>
            <w:shd w:fill="E87722"/>
            <w:vAlign w:val="center"/>
          </w:tcPr>
          <w:p>
            <w:pPr>
              <w:spacing w:after="0"/>
            </w:pPr>
            <w:r/>
            <w:r>
              <w:rPr>
                <w:rFonts w:ascii="Arial" w:hAnsi="Arial" w:eastAsia="Arial"/>
                <w:b/>
                <w:color w:val="FFFFFF"/>
                <w:sz w:val="16"/>
              </w:rPr>
              <w:t>Current value</w:t>
            </w:r>
          </w:p>
        </w:tc>
        <w:tc>
          <w:tcPr>
            <w:tcW w:type="dxa" w:w="4535"/>
            <w:shd w:fill="E87722"/>
            <w:vAlign w:val="center"/>
          </w:tcPr>
          <w:p>
            <w:pPr>
              <w:spacing w:after="0"/>
            </w:pPr>
            <w:r/>
            <w:r>
              <w:rPr>
                <w:rFonts w:ascii="Arial" w:hAnsi="Arial" w:eastAsia="Arial"/>
                <w:b/>
                <w:color w:val="FFFFFF"/>
                <w:sz w:val="16"/>
              </w:rPr>
              <w:t>Treatment</w:t>
            </w:r>
          </w:p>
        </w:tc>
      </w:tr>
      <w:tr>
        <w:tc>
          <w:tcPr>
            <w:tcW w:type="dxa" w:w="3402"/>
            <w:vAlign w:val="center"/>
          </w:tcPr>
          <w:p>
            <w:pPr>
              <w:spacing w:after="0"/>
            </w:pPr>
            <w:r/>
            <w:r>
              <w:rPr>
                <w:rFonts w:ascii="Arial" w:hAnsi="Arial" w:eastAsia="Arial"/>
                <w:b w:val="0"/>
                <w:color w:val="1A1A1A"/>
                <w:sz w:val="16"/>
              </w:rPr>
              <w:t>Whole-scope quantity</w:t>
            </w:r>
          </w:p>
        </w:tc>
        <w:tc>
          <w:tcPr>
            <w:tcW w:type="dxa" w:w="2835"/>
            <w:vAlign w:val="center"/>
          </w:tcPr>
          <w:p>
            <w:pPr>
              <w:spacing w:after="0"/>
            </w:pPr>
            <w:r/>
            <w:r>
              <w:rPr>
                <w:rFonts w:ascii="Arial" w:hAnsi="Arial" w:eastAsia="Arial"/>
                <w:b w:val="0"/>
                <w:color w:val="1A1A1A"/>
                <w:sz w:val="16"/>
              </w:rPr>
              <w:t>227 bents</w:t>
            </w:r>
          </w:p>
        </w:tc>
        <w:tc>
          <w:tcPr>
            <w:tcW w:type="dxa" w:w="4535"/>
            <w:vAlign w:val="center"/>
          </w:tcPr>
          <w:p>
            <w:pPr>
              <w:spacing w:after="0"/>
            </w:pPr>
            <w:r/>
            <w:r>
              <w:rPr>
                <w:rFonts w:ascii="Arial" w:hAnsi="Arial" w:eastAsia="Arial"/>
                <w:b w:val="0"/>
                <w:color w:val="1A1A1A"/>
                <w:sz w:val="16"/>
              </w:rPr>
              <w:t>Stress test only, pending STL register</w:t>
            </w:r>
          </w:p>
        </w:tc>
      </w:tr>
      <w:tr>
        <w:tc>
          <w:tcPr>
            <w:tcW w:type="dxa" w:w="3402"/>
            <w:vAlign w:val="center"/>
          </w:tcPr>
          <w:p>
            <w:pPr>
              <w:spacing w:after="0"/>
            </w:pPr>
            <w:r/>
            <w:r>
              <w:rPr>
                <w:rFonts w:ascii="Arial" w:hAnsi="Arial" w:eastAsia="Arial"/>
                <w:b w:val="0"/>
                <w:color w:val="1A1A1A"/>
                <w:sz w:val="16"/>
              </w:rPr>
              <w:t>Available production period</w:t>
            </w:r>
          </w:p>
        </w:tc>
        <w:tc>
          <w:tcPr>
            <w:tcW w:type="dxa" w:w="2835"/>
            <w:vAlign w:val="center"/>
          </w:tcPr>
          <w:p>
            <w:pPr>
              <w:spacing w:after="0"/>
            </w:pPr>
            <w:r/>
            <w:r>
              <w:rPr>
                <w:rFonts w:ascii="Arial" w:hAnsi="Arial" w:eastAsia="Arial"/>
                <w:b w:val="0"/>
                <w:color w:val="1A1A1A"/>
                <w:sz w:val="16"/>
              </w:rPr>
              <w:t>Two nominal 30-week seasons</w:t>
            </w:r>
          </w:p>
        </w:tc>
        <w:tc>
          <w:tcPr>
            <w:tcW w:type="dxa" w:w="4535"/>
            <w:vAlign w:val="center"/>
          </w:tcPr>
          <w:p>
            <w:pPr>
              <w:spacing w:after="0"/>
            </w:pPr>
            <w:r/>
            <w:r>
              <w:rPr>
                <w:rFonts w:ascii="Arial" w:hAnsi="Arial" w:eastAsia="Arial"/>
                <w:b w:val="0"/>
                <w:color w:val="1A1A1A"/>
                <w:sz w:val="16"/>
              </w:rPr>
              <w:t>Dated calendar required</w:t>
            </w:r>
          </w:p>
        </w:tc>
      </w:tr>
      <w:tr>
        <w:tc>
          <w:tcPr>
            <w:tcW w:type="dxa" w:w="3402"/>
            <w:vAlign w:val="center"/>
          </w:tcPr>
          <w:p>
            <w:pPr>
              <w:spacing w:after="0"/>
            </w:pPr>
            <w:r/>
            <w:r>
              <w:rPr>
                <w:rFonts w:ascii="Arial" w:hAnsi="Arial" w:eastAsia="Arial"/>
                <w:b w:val="0"/>
                <w:color w:val="1A1A1A"/>
                <w:sz w:val="16"/>
              </w:rPr>
              <w:t>Residual availability</w:t>
            </w:r>
          </w:p>
        </w:tc>
        <w:tc>
          <w:tcPr>
            <w:tcW w:type="dxa" w:w="2835"/>
            <w:vAlign w:val="center"/>
          </w:tcPr>
          <w:p>
            <w:pPr>
              <w:spacing w:after="0"/>
            </w:pPr>
            <w:r/>
            <w:r>
              <w:rPr>
                <w:rFonts w:ascii="Arial" w:hAnsi="Arial" w:eastAsia="Arial"/>
                <w:b w:val="0"/>
                <w:color w:val="1A1A1A"/>
                <w:sz w:val="16"/>
              </w:rPr>
              <w:t>85%</w:t>
            </w:r>
          </w:p>
        </w:tc>
        <w:tc>
          <w:tcPr>
            <w:tcW w:type="dxa" w:w="4535"/>
            <w:vAlign w:val="center"/>
          </w:tcPr>
          <w:p>
            <w:pPr>
              <w:spacing w:after="0"/>
            </w:pPr>
            <w:r/>
            <w:r>
              <w:rPr>
                <w:rFonts w:ascii="Arial" w:hAnsi="Arial" w:eastAsia="Arial"/>
                <w:b w:val="0"/>
                <w:color w:val="1A1A1A"/>
                <w:sz w:val="16"/>
              </w:rPr>
              <w:t>Weather/breakdown only after explicit blocks</w:t>
            </w:r>
          </w:p>
        </w:tc>
      </w:tr>
      <w:tr>
        <w:tc>
          <w:tcPr>
            <w:tcW w:type="dxa" w:w="3402"/>
            <w:vAlign w:val="center"/>
          </w:tcPr>
          <w:p>
            <w:pPr>
              <w:spacing w:after="0"/>
            </w:pPr>
            <w:r/>
            <w:r>
              <w:rPr>
                <w:rFonts w:ascii="Arial" w:hAnsi="Arial" w:eastAsia="Arial"/>
                <w:b w:val="0"/>
                <w:color w:val="1A1A1A"/>
                <w:sz w:val="16"/>
              </w:rPr>
              <w:t>Typical weld quantity</w:t>
            </w:r>
          </w:p>
        </w:tc>
        <w:tc>
          <w:tcPr>
            <w:tcW w:type="dxa" w:w="2835"/>
            <w:vAlign w:val="center"/>
          </w:tcPr>
          <w:p>
            <w:pPr>
              <w:spacing w:after="0"/>
            </w:pPr>
            <w:r/>
            <w:r>
              <w:rPr>
                <w:rFonts w:ascii="Arial" w:hAnsi="Arial" w:eastAsia="Arial"/>
                <w:b w:val="0"/>
                <w:color w:val="1A1A1A"/>
                <w:sz w:val="16"/>
              </w:rPr>
              <w:t>52.56 lm/bent equivalent</w:t>
            </w:r>
          </w:p>
        </w:tc>
        <w:tc>
          <w:tcPr>
            <w:tcW w:type="dxa" w:w="4535"/>
            <w:vAlign w:val="center"/>
          </w:tcPr>
          <w:p>
            <w:pPr>
              <w:spacing w:after="0"/>
            </w:pPr>
            <w:r/>
            <w:r>
              <w:rPr>
                <w:rFonts w:ascii="Arial" w:hAnsi="Arial" w:eastAsia="Arial"/>
                <w:b w:val="0"/>
                <w:color w:val="1A1A1A"/>
                <w:sz w:val="16"/>
              </w:rPr>
              <w:t>Payment-data denominator, not final quantity</w:t>
            </w:r>
          </w:p>
        </w:tc>
      </w:tr>
      <w:tr>
        <w:tc>
          <w:tcPr>
            <w:tcW w:type="dxa" w:w="3402"/>
            <w:vAlign w:val="center"/>
          </w:tcPr>
          <w:p>
            <w:pPr>
              <w:spacing w:after="0"/>
            </w:pPr>
            <w:r/>
            <w:r>
              <w:rPr>
                <w:rFonts w:ascii="Arial" w:hAnsi="Arial" w:eastAsia="Arial"/>
                <w:b w:val="0"/>
                <w:color w:val="1A1A1A"/>
                <w:sz w:val="16"/>
              </w:rPr>
              <w:t>Approval hold</w:t>
            </w:r>
          </w:p>
        </w:tc>
        <w:tc>
          <w:tcPr>
            <w:tcW w:type="dxa" w:w="2835"/>
            <w:vAlign w:val="center"/>
          </w:tcPr>
          <w:p>
            <w:pPr>
              <w:spacing w:after="0"/>
            </w:pPr>
            <w:r/>
            <w:r>
              <w:rPr>
                <w:rFonts w:ascii="Arial" w:hAnsi="Arial" w:eastAsia="Arial"/>
                <w:b w:val="0"/>
                <w:color w:val="1A1A1A"/>
                <w:sz w:val="16"/>
              </w:rPr>
              <w:t>One three-day bent-level hold</w:t>
            </w:r>
          </w:p>
        </w:tc>
        <w:tc>
          <w:tcPr>
            <w:tcW w:type="dxa" w:w="4535"/>
            <w:vAlign w:val="center"/>
          </w:tcPr>
          <w:p>
            <w:pPr>
              <w:spacing w:after="0"/>
            </w:pPr>
            <w:r/>
            <w:r>
              <w:rPr>
                <w:rFonts w:ascii="Arial" w:hAnsi="Arial" w:eastAsia="Arial"/>
                <w:b w:val="0"/>
                <w:color w:val="1A1A1A"/>
                <w:sz w:val="16"/>
              </w:rPr>
              <w:t>Requires reviewing-engineer acceptance</w:t>
            </w:r>
          </w:p>
        </w:tc>
      </w:tr>
      <w:tr>
        <w:tc>
          <w:tcPr>
            <w:tcW w:type="dxa" w:w="3402"/>
            <w:vAlign w:val="center"/>
          </w:tcPr>
          <w:p>
            <w:pPr>
              <w:spacing w:after="0"/>
            </w:pPr>
            <w:r/>
            <w:r>
              <w:rPr>
                <w:rFonts w:ascii="Arial" w:hAnsi="Arial" w:eastAsia="Arial"/>
                <w:b w:val="0"/>
                <w:color w:val="1A1A1A"/>
                <w:sz w:val="16"/>
              </w:rPr>
              <w:t>Relocation</w:t>
            </w:r>
          </w:p>
        </w:tc>
        <w:tc>
          <w:tcPr>
            <w:tcW w:type="dxa" w:w="2835"/>
            <w:vAlign w:val="center"/>
          </w:tcPr>
          <w:p>
            <w:pPr>
              <w:spacing w:after="0"/>
            </w:pPr>
            <w:r/>
            <w:r>
              <w:rPr>
                <w:rFonts w:ascii="Arial" w:hAnsi="Arial" w:eastAsia="Arial"/>
                <w:b w:val="0"/>
                <w:color w:val="1A1A1A"/>
                <w:sz w:val="16"/>
              </w:rPr>
              <w:t>11 h/bent package</w:t>
            </w:r>
          </w:p>
        </w:tc>
        <w:tc>
          <w:tcPr>
            <w:tcW w:type="dxa" w:w="4535"/>
            <w:vAlign w:val="center"/>
          </w:tcPr>
          <w:p>
            <w:pPr>
              <w:spacing w:after="0"/>
            </w:pPr>
            <w:r/>
            <w:r>
              <w:rPr>
                <w:rFonts w:ascii="Arial" w:hAnsi="Arial" w:eastAsia="Arial"/>
                <w:b w:val="0"/>
                <w:color w:val="1A1A1A"/>
                <w:sz w:val="16"/>
              </w:rPr>
              <w:t>Proving measurement required</w:t>
            </w:r>
          </w:p>
        </w:tc>
      </w:tr>
      <w:tr>
        <w:tc>
          <w:tcPr>
            <w:tcW w:type="dxa" w:w="3402"/>
            <w:vAlign w:val="center"/>
          </w:tcPr>
          <w:p>
            <w:pPr>
              <w:spacing w:after="0"/>
            </w:pPr>
            <w:r/>
            <w:r>
              <w:rPr>
                <w:rFonts w:ascii="Arial" w:hAnsi="Arial" w:eastAsia="Arial"/>
                <w:b w:val="0"/>
                <w:color w:val="1A1A1A"/>
                <w:sz w:val="16"/>
              </w:rPr>
              <w:t>Active coating work</w:t>
            </w:r>
          </w:p>
        </w:tc>
        <w:tc>
          <w:tcPr>
            <w:tcW w:type="dxa" w:w="2835"/>
            <w:vAlign w:val="center"/>
          </w:tcPr>
          <w:p>
            <w:pPr>
              <w:spacing w:after="0"/>
            </w:pPr>
            <w:r/>
            <w:r>
              <w:rPr>
                <w:rFonts w:ascii="Arial" w:hAnsi="Arial" w:eastAsia="Arial"/>
                <w:b w:val="0"/>
                <w:color w:val="1A1A1A"/>
                <w:sz w:val="16"/>
              </w:rPr>
              <w:t>1.5 shifts</w:t>
            </w:r>
          </w:p>
        </w:tc>
        <w:tc>
          <w:tcPr>
            <w:tcW w:type="dxa" w:w="4535"/>
            <w:vAlign w:val="center"/>
          </w:tcPr>
          <w:p>
            <w:pPr>
              <w:spacing w:after="0"/>
            </w:pPr>
            <w:r/>
            <w:r>
              <w:rPr>
                <w:rFonts w:ascii="Arial" w:hAnsi="Arial" w:eastAsia="Arial"/>
                <w:b w:val="0"/>
                <w:color w:val="1A1A1A"/>
                <w:sz w:val="16"/>
              </w:rPr>
              <w:t>Elapsed wash/dry/recoat not included</w:t>
            </w:r>
          </w:p>
        </w:tc>
      </w:tr>
      <w:tr>
        <w:tc>
          <w:tcPr>
            <w:tcW w:type="dxa" w:w="3402"/>
            <w:vAlign w:val="center"/>
          </w:tcPr>
          <w:p>
            <w:pPr>
              <w:spacing w:after="0"/>
            </w:pPr>
            <w:r/>
            <w:r>
              <w:rPr>
                <w:rFonts w:ascii="Arial" w:hAnsi="Arial" w:eastAsia="Arial"/>
                <w:b w:val="0"/>
                <w:color w:val="1A1A1A"/>
                <w:sz w:val="16"/>
              </w:rPr>
              <w:t>Below-LAT jackets</w:t>
            </w:r>
          </w:p>
        </w:tc>
        <w:tc>
          <w:tcPr>
            <w:tcW w:type="dxa" w:w="2835"/>
            <w:vAlign w:val="center"/>
          </w:tcPr>
          <w:p>
            <w:pPr>
              <w:spacing w:after="0"/>
            </w:pPr>
            <w:r/>
            <w:r>
              <w:rPr>
                <w:rFonts w:ascii="Arial" w:hAnsi="Arial" w:eastAsia="Arial"/>
                <w:b w:val="0"/>
                <w:color w:val="1A1A1A"/>
                <w:sz w:val="16"/>
              </w:rPr>
              <w:t>Not modelled</w:t>
            </w:r>
          </w:p>
        </w:tc>
        <w:tc>
          <w:tcPr>
            <w:tcW w:type="dxa" w:w="4535"/>
            <w:vAlign w:val="center"/>
          </w:tcPr>
          <w:p>
            <w:pPr>
              <w:spacing w:after="0"/>
            </w:pPr>
            <w:r/>
            <w:r>
              <w:rPr>
                <w:rFonts w:ascii="Arial" w:hAnsi="Arial" w:eastAsia="Arial"/>
                <w:b w:val="0"/>
                <w:color w:val="1A1A1A"/>
                <w:sz w:val="16"/>
              </w:rPr>
              <w:t>Method required</w:t>
            </w:r>
          </w:p>
        </w:tc>
      </w:tr>
      <w:tr>
        <w:tc>
          <w:tcPr>
            <w:tcW w:type="dxa" w:w="3402"/>
            <w:vAlign w:val="center"/>
          </w:tcPr>
          <w:p>
            <w:pPr>
              <w:spacing w:after="0"/>
            </w:pPr>
            <w:r/>
            <w:r>
              <w:rPr>
                <w:rFonts w:ascii="Arial" w:hAnsi="Arial" w:eastAsia="Arial"/>
                <w:b w:val="0"/>
                <w:color w:val="1A1A1A"/>
                <w:sz w:val="16"/>
              </w:rPr>
              <w:t>Headstock containment</w:t>
            </w:r>
          </w:p>
        </w:tc>
        <w:tc>
          <w:tcPr>
            <w:tcW w:type="dxa" w:w="2835"/>
            <w:vAlign w:val="center"/>
          </w:tcPr>
          <w:p>
            <w:pPr>
              <w:spacing w:after="0"/>
            </w:pPr>
            <w:r/>
            <w:r>
              <w:rPr>
                <w:rFonts w:ascii="Arial" w:hAnsi="Arial" w:eastAsia="Arial"/>
                <w:b w:val="0"/>
                <w:color w:val="1A1A1A"/>
                <w:sz w:val="16"/>
              </w:rPr>
              <w:t>Not modelled</w:t>
            </w:r>
          </w:p>
        </w:tc>
        <w:tc>
          <w:tcPr>
            <w:tcW w:type="dxa" w:w="4535"/>
            <w:vAlign w:val="center"/>
          </w:tcPr>
          <w:p>
            <w:pPr>
              <w:spacing w:after="0"/>
            </w:pPr>
            <w:r/>
            <w:r>
              <w:rPr>
                <w:rFonts w:ascii="Arial" w:hAnsi="Arial" w:eastAsia="Arial"/>
                <w:b w:val="0"/>
                <w:color w:val="1A1A1A"/>
                <w:sz w:val="16"/>
              </w:rPr>
              <w:t>Supplier design required</w:t>
            </w:r>
          </w:p>
        </w:tc>
      </w:tr>
      <w:tr>
        <w:tc>
          <w:tcPr>
            <w:tcW w:type="dxa" w:w="3402"/>
            <w:vAlign w:val="center"/>
          </w:tcPr>
          <w:p>
            <w:pPr>
              <w:spacing w:after="0"/>
            </w:pPr>
            <w:r/>
            <w:r>
              <w:rPr>
                <w:rFonts w:ascii="Arial" w:hAnsi="Arial" w:eastAsia="Arial"/>
                <w:b w:val="0"/>
                <w:color w:val="1A1A1A"/>
                <w:sz w:val="16"/>
              </w:rPr>
              <w:t>Commercial rates</w:t>
            </w:r>
          </w:p>
        </w:tc>
        <w:tc>
          <w:tcPr>
            <w:tcW w:type="dxa" w:w="2835"/>
            <w:vAlign w:val="center"/>
          </w:tcPr>
          <w:p>
            <w:pPr>
              <w:spacing w:after="0"/>
            </w:pPr>
            <w:r/>
            <w:r>
              <w:rPr>
                <w:rFonts w:ascii="Arial" w:hAnsi="Arial" w:eastAsia="Arial"/>
                <w:b w:val="0"/>
                <w:color w:val="1A1A1A"/>
                <w:sz w:val="16"/>
              </w:rPr>
              <w:t>Endura working allowances</w:t>
            </w:r>
          </w:p>
        </w:tc>
        <w:tc>
          <w:tcPr>
            <w:tcW w:type="dxa" w:w="4535"/>
            <w:vAlign w:val="center"/>
          </w:tcPr>
          <w:p>
            <w:pPr>
              <w:spacing w:after="0"/>
            </w:pPr>
            <w:r/>
            <w:r>
              <w:rPr>
                <w:rFonts w:ascii="Arial" w:hAnsi="Arial" w:eastAsia="Arial"/>
                <w:b w:val="0"/>
                <w:color w:val="1A1A1A"/>
                <w:sz w:val="16"/>
              </w:rPr>
              <w:t>Replace with written quotations</w:t>
            </w:r>
          </w:p>
        </w:tc>
      </w:tr>
    </w:tbl>
    <w:p>
      <w:pPr>
        <w:spacing w:after="0"/>
      </w:pPr>
    </w:p>
    <w:p>
      <w:r>
        <w:t>The complete live RFI and gate register is in workbook sheet 12 Risks &amp; RFIs.</w:t>
      </w:r>
    </w:p>
    <w:p>
      <w:pPr>
        <w:pStyle w:val="Heading1"/>
      </w:pPr>
      <w:r>
        <w:t>Appendix C. Source register</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701"/>
            <w:shd w:fill="E87722"/>
            <w:vAlign w:val="center"/>
          </w:tcPr>
          <w:p>
            <w:pPr>
              <w:spacing w:after="0"/>
            </w:pPr>
            <w:r/>
            <w:r>
              <w:rPr>
                <w:rFonts w:ascii="Arial" w:hAnsi="Arial" w:eastAsia="Arial"/>
                <w:b/>
                <w:color w:val="FFFFFF"/>
                <w:sz w:val="16"/>
              </w:rPr>
              <w:t>Reference</w:t>
            </w:r>
          </w:p>
        </w:tc>
        <w:tc>
          <w:tcPr>
            <w:tcW w:type="dxa" w:w="8504"/>
            <w:shd w:fill="E87722"/>
            <w:vAlign w:val="center"/>
          </w:tcPr>
          <w:p>
            <w:pPr>
              <w:spacing w:after="0"/>
            </w:pPr>
            <w:r/>
            <w:r>
              <w:rPr>
                <w:rFonts w:ascii="Arial" w:hAnsi="Arial" w:eastAsia="Arial"/>
                <w:b/>
                <w:color w:val="FFFFFF"/>
                <w:sz w:val="16"/>
              </w:rPr>
              <w:t>Source</w:t>
            </w:r>
          </w:p>
        </w:tc>
      </w:tr>
      <w:tr>
        <w:tc>
          <w:tcPr>
            <w:tcW w:type="dxa" w:w="1701"/>
            <w:vAlign w:val="center"/>
          </w:tcPr>
          <w:p>
            <w:pPr>
              <w:spacing w:after="0"/>
            </w:pPr>
            <w:r/>
            <w:r>
              <w:rPr>
                <w:rFonts w:ascii="Arial" w:hAnsi="Arial" w:eastAsia="Arial"/>
                <w:b w:val="0"/>
                <w:color w:val="1A1A1A"/>
                <w:sz w:val="16"/>
              </w:rPr>
              <w:t>[S01]</w:t>
            </w:r>
          </w:p>
        </w:tc>
        <w:tc>
          <w:tcPr>
            <w:tcW w:type="dxa" w:w="8504"/>
            <w:vAlign w:val="center"/>
          </w:tcPr>
          <w:p>
            <w:pPr>
              <w:spacing w:after="0"/>
            </w:pPr>
            <w:r/>
            <w:r>
              <w:rPr>
                <w:rFonts w:ascii="Arial" w:hAnsi="Arial" w:eastAsia="Arial"/>
                <w:b w:val="0"/>
                <w:color w:val="1A1A1A"/>
                <w:sz w:val="16"/>
              </w:rPr>
              <w:t>ED-018-2026-01 STL Method Assessment Proposal Rev A</w:t>
            </w:r>
          </w:p>
        </w:tc>
      </w:tr>
      <w:tr>
        <w:tc>
          <w:tcPr>
            <w:tcW w:type="dxa" w:w="1701"/>
            <w:vAlign w:val="center"/>
          </w:tcPr>
          <w:p>
            <w:pPr>
              <w:spacing w:after="0"/>
            </w:pPr>
            <w:r/>
            <w:r>
              <w:rPr>
                <w:rFonts w:ascii="Arial" w:hAnsi="Arial" w:eastAsia="Arial"/>
                <w:b w:val="0"/>
                <w:color w:val="1A1A1A"/>
                <w:sz w:val="16"/>
              </w:rPr>
              <w:t>[S02]</w:t>
            </w:r>
          </w:p>
        </w:tc>
        <w:tc>
          <w:tcPr>
            <w:tcW w:type="dxa" w:w="8504"/>
            <w:vAlign w:val="center"/>
          </w:tcPr>
          <w:p>
            <w:pPr>
              <w:spacing w:after="0"/>
            </w:pPr>
            <w:r/>
            <w:r>
              <w:rPr>
                <w:rFonts w:ascii="Arial" w:hAnsi="Arial" w:eastAsia="Arial"/>
                <w:b w:val="0"/>
                <w:color w:val="1A1A1A"/>
                <w:sz w:val="16"/>
              </w:rPr>
              <w:t>AAB Contract Scope &amp; Specification, supplied pages 1-407</w:t>
            </w:r>
          </w:p>
        </w:tc>
      </w:tr>
      <w:tr>
        <w:tc>
          <w:tcPr>
            <w:tcW w:type="dxa" w:w="1701"/>
            <w:vAlign w:val="center"/>
          </w:tcPr>
          <w:p>
            <w:pPr>
              <w:spacing w:after="0"/>
            </w:pPr>
            <w:r/>
            <w:r>
              <w:rPr>
                <w:rFonts w:ascii="Arial" w:hAnsi="Arial" w:eastAsia="Arial"/>
                <w:b w:val="0"/>
                <w:color w:val="1A1A1A"/>
                <w:sz w:val="16"/>
              </w:rPr>
              <w:t>[S03]</w:t>
            </w:r>
          </w:p>
        </w:tc>
        <w:tc>
          <w:tcPr>
            <w:tcW w:type="dxa" w:w="8504"/>
            <w:vAlign w:val="center"/>
          </w:tcPr>
          <w:p>
            <w:pPr>
              <w:spacing w:after="0"/>
            </w:pPr>
            <w:r/>
            <w:r>
              <w:rPr>
                <w:rFonts w:ascii="Arial" w:hAnsi="Arial" w:eastAsia="Arial"/>
                <w:b w:val="0"/>
                <w:color w:val="1A1A1A"/>
                <w:sz w:val="16"/>
              </w:rPr>
              <w:t>Schedule.pdf and June 2026 programme screenshots/extraction</w:t>
            </w:r>
          </w:p>
        </w:tc>
      </w:tr>
      <w:tr>
        <w:tc>
          <w:tcPr>
            <w:tcW w:type="dxa" w:w="1701"/>
            <w:vAlign w:val="center"/>
          </w:tcPr>
          <w:p>
            <w:pPr>
              <w:spacing w:after="0"/>
            </w:pPr>
            <w:r/>
            <w:r>
              <w:rPr>
                <w:rFonts w:ascii="Arial" w:hAnsi="Arial" w:eastAsia="Arial"/>
                <w:b w:val="0"/>
                <w:color w:val="1A1A1A"/>
                <w:sz w:val="16"/>
              </w:rPr>
              <w:t>[S04]</w:t>
            </w:r>
          </w:p>
        </w:tc>
        <w:tc>
          <w:tcPr>
            <w:tcW w:type="dxa" w:w="8504"/>
            <w:vAlign w:val="center"/>
          </w:tcPr>
          <w:p>
            <w:pPr>
              <w:spacing w:after="0"/>
            </w:pPr>
            <w:r/>
            <w:r>
              <w:rPr>
                <w:rFonts w:ascii="Arial" w:hAnsi="Arial" w:eastAsia="Arial"/>
                <w:b w:val="0"/>
                <w:color w:val="1A1A1A"/>
                <w:sz w:val="16"/>
              </w:rPr>
              <w:t>AAB Claim Qty's.xlsx, March-July 2026</w:t>
            </w:r>
          </w:p>
        </w:tc>
      </w:tr>
      <w:tr>
        <w:tc>
          <w:tcPr>
            <w:tcW w:type="dxa" w:w="1701"/>
            <w:vAlign w:val="center"/>
          </w:tcPr>
          <w:p>
            <w:pPr>
              <w:spacing w:after="0"/>
            </w:pPr>
            <w:r/>
            <w:r>
              <w:rPr>
                <w:rFonts w:ascii="Arial" w:hAnsi="Arial" w:eastAsia="Arial"/>
                <w:b w:val="0"/>
                <w:color w:val="1A1A1A"/>
                <w:sz w:val="16"/>
              </w:rPr>
              <w:t>[S05]</w:t>
            </w:r>
          </w:p>
        </w:tc>
        <w:tc>
          <w:tcPr>
            <w:tcW w:type="dxa" w:w="8504"/>
            <w:vAlign w:val="center"/>
          </w:tcPr>
          <w:p>
            <w:pPr>
              <w:spacing w:after="0"/>
            </w:pPr>
            <w:r/>
            <w:r>
              <w:rPr>
                <w:rFonts w:ascii="Arial" w:hAnsi="Arial" w:eastAsia="Arial"/>
                <w:b w:val="0"/>
                <w:color w:val="1A1A1A"/>
                <w:sz w:val="16"/>
              </w:rPr>
              <w:t>SCMC-22020-REP-001 Rev 1, Phase 1 Summary Report</w:t>
            </w:r>
          </w:p>
        </w:tc>
      </w:tr>
      <w:tr>
        <w:tc>
          <w:tcPr>
            <w:tcW w:type="dxa" w:w="1701"/>
            <w:vAlign w:val="center"/>
          </w:tcPr>
          <w:p>
            <w:pPr>
              <w:spacing w:after="0"/>
            </w:pPr>
            <w:r/>
            <w:r>
              <w:rPr>
                <w:rFonts w:ascii="Arial" w:hAnsi="Arial" w:eastAsia="Arial"/>
                <w:b w:val="0"/>
                <w:color w:val="1A1A1A"/>
                <w:sz w:val="16"/>
              </w:rPr>
              <w:t>[S06]</w:t>
            </w:r>
          </w:p>
        </w:tc>
        <w:tc>
          <w:tcPr>
            <w:tcW w:type="dxa" w:w="8504"/>
            <w:vAlign w:val="center"/>
          </w:tcPr>
          <w:p>
            <w:pPr>
              <w:spacing w:after="0"/>
            </w:pPr>
            <w:r/>
            <w:r>
              <w:rPr>
                <w:rFonts w:ascii="Arial" w:hAnsi="Arial" w:eastAsia="Arial"/>
                <w:b w:val="0"/>
                <w:color w:val="1A1A1A"/>
                <w:sz w:val="16"/>
              </w:rPr>
              <w:t>JPHR inspection reports dated 10, 15 and 25 July 2026</w:t>
            </w:r>
          </w:p>
        </w:tc>
      </w:tr>
      <w:tr>
        <w:tc>
          <w:tcPr>
            <w:tcW w:type="dxa" w:w="1701"/>
            <w:vAlign w:val="center"/>
          </w:tcPr>
          <w:p>
            <w:pPr>
              <w:spacing w:after="0"/>
            </w:pPr>
            <w:r/>
            <w:r>
              <w:rPr>
                <w:rFonts w:ascii="Arial" w:hAnsi="Arial" w:eastAsia="Arial"/>
                <w:b w:val="0"/>
                <w:color w:val="1A1A1A"/>
                <w:sz w:val="16"/>
              </w:rPr>
              <w:t>[S07]</w:t>
            </w:r>
          </w:p>
        </w:tc>
        <w:tc>
          <w:tcPr>
            <w:tcW w:type="dxa" w:w="8504"/>
            <w:vAlign w:val="center"/>
          </w:tcPr>
          <w:p>
            <w:pPr>
              <w:spacing w:after="0"/>
            </w:pPr>
            <w:r/>
            <w:r>
              <w:rPr>
                <w:rFonts w:ascii="Arial" w:hAnsi="Arial" w:eastAsia="Arial"/>
                <w:b w:val="0"/>
                <w:color w:val="1A1A1A"/>
                <w:sz w:val="16"/>
              </w:rPr>
              <w:t>Drawing Package.pdf, including original/Aurecon/G01/G02 information</w:t>
            </w:r>
          </w:p>
        </w:tc>
      </w:tr>
      <w:tr>
        <w:tc>
          <w:tcPr>
            <w:tcW w:type="dxa" w:w="1701"/>
            <w:vAlign w:val="center"/>
          </w:tcPr>
          <w:p>
            <w:pPr>
              <w:spacing w:after="0"/>
            </w:pPr>
            <w:r/>
            <w:r>
              <w:rPr>
                <w:rFonts w:ascii="Arial" w:hAnsi="Arial" w:eastAsia="Arial"/>
                <w:b w:val="0"/>
                <w:color w:val="1A1A1A"/>
                <w:sz w:val="16"/>
              </w:rPr>
              <w:t>[S08]</w:t>
            </w:r>
          </w:p>
        </w:tc>
        <w:tc>
          <w:tcPr>
            <w:tcW w:type="dxa" w:w="8504"/>
            <w:vAlign w:val="center"/>
          </w:tcPr>
          <w:p>
            <w:pPr>
              <w:spacing w:after="0"/>
            </w:pPr>
            <w:r/>
            <w:r>
              <w:rPr>
                <w:rFonts w:ascii="Arial" w:hAnsi="Arial" w:eastAsia="Arial"/>
                <w:b w:val="0"/>
                <w:color w:val="1A1A1A"/>
                <w:sz w:val="16"/>
              </w:rPr>
              <w:t>Annual ship-loading profile screenshot</w:t>
            </w:r>
          </w:p>
        </w:tc>
      </w:tr>
      <w:tr>
        <w:tc>
          <w:tcPr>
            <w:tcW w:type="dxa" w:w="1701"/>
            <w:vAlign w:val="center"/>
          </w:tcPr>
          <w:p>
            <w:pPr>
              <w:spacing w:after="0"/>
            </w:pPr>
            <w:r/>
            <w:r>
              <w:rPr>
                <w:rFonts w:ascii="Arial" w:hAnsi="Arial" w:eastAsia="Arial"/>
                <w:b w:val="0"/>
                <w:color w:val="1A1A1A"/>
                <w:sz w:val="16"/>
              </w:rPr>
              <w:t>[S09]</w:t>
            </w:r>
          </w:p>
        </w:tc>
        <w:tc>
          <w:tcPr>
            <w:tcW w:type="dxa" w:w="8504"/>
            <w:vAlign w:val="center"/>
          </w:tcPr>
          <w:p>
            <w:pPr>
              <w:spacing w:after="0"/>
            </w:pPr>
            <w:r/>
            <w:r>
              <w:rPr>
                <w:rFonts w:ascii="Arial" w:hAnsi="Arial" w:eastAsia="Arial"/>
                <w:b w:val="0"/>
                <w:color w:val="1A1A1A"/>
                <w:sz w:val="16"/>
              </w:rPr>
              <w:t>GGC platform drawings, photos, workboat and prior lifting methodology/lift plan</w:t>
            </w:r>
          </w:p>
        </w:tc>
      </w:tr>
      <w:tr>
        <w:tc>
          <w:tcPr>
            <w:tcW w:type="dxa" w:w="1701"/>
            <w:vAlign w:val="center"/>
          </w:tcPr>
          <w:p>
            <w:pPr>
              <w:spacing w:after="0"/>
            </w:pPr>
            <w:r/>
            <w:r>
              <w:rPr>
                <w:rFonts w:ascii="Arial" w:hAnsi="Arial" w:eastAsia="Arial"/>
                <w:b w:val="0"/>
                <w:color w:val="1A1A1A"/>
                <w:sz w:val="16"/>
              </w:rPr>
              <w:t>[S10]</w:t>
            </w:r>
          </w:p>
        </w:tc>
        <w:tc>
          <w:tcPr>
            <w:tcW w:type="dxa" w:w="8504"/>
            <w:vAlign w:val="center"/>
          </w:tcPr>
          <w:p>
            <w:pPr>
              <w:spacing w:after="0"/>
            </w:pPr>
            <w:r/>
            <w:r>
              <w:rPr>
                <w:rFonts w:ascii="Arial" w:hAnsi="Arial" w:eastAsia="Arial"/>
                <w:b w:val="0"/>
                <w:color w:val="1A1A1A"/>
                <w:sz w:val="16"/>
              </w:rPr>
              <w:t>Lucinda Marine Access Concept Discussion presentation</w:t>
            </w:r>
          </w:p>
        </w:tc>
      </w:tr>
    </w:tbl>
    <w:p>
      <w:pPr>
        <w:spacing w:after="0"/>
      </w:pP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Commercial in confidence | Draft for internal review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Sugar Terminals Limited | Lucinda Jetty Access Methodology Options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E877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A1A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pPr>
    <w:rPr>
      <w:rFonts w:ascii="Arial" w:hAnsi="Arial" w:eastAsia="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