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IBM Plex Mono" w:cs="IBM Plex Mono" w:eastAsia="IBM Plex Mono" w:hAnsi="IBM Plex Mono"/>
          <w:color w:val="0B6E3F"/>
          <w:spacing w:val="200"/>
          <w:sz w:val="17"/>
          <w:szCs w:val="17"/>
        </w:rPr>
        <w:t xml:space="preserve">UX AUDIT &amp; REDESIGN REPORT</w:t>
      </w:r>
    </w:p>
    <w:p>
      <w:pPr>
        <w:spacing w:after="0"/>
      </w:pPr>
      <w:r>
        <w:rPr>
          <w:rFonts w:ascii="IBM Plex Sans" w:cs="IBM Plex Sans" w:eastAsia="IBM Plex Sans" w:hAnsi="IBM Plex Sans"/>
          <w:b/>
          <w:bCs/>
          <w:color w:val="0C0E12"/>
          <w:sz w:val="80"/>
          <w:szCs w:val="80"/>
        </w:rPr>
        <w:t xml:space="preserve">PokeSnipe</w:t>
      </w:r>
    </w:p>
    <w:p>
      <w:pPr>
        <w:spacing w:before="40" w:after="0"/>
      </w:pPr>
      <w:r>
        <w:rPr>
          <w:rFonts w:ascii="IBM Plex Sans" w:cs="IBM Plex Sans" w:eastAsia="IBM Plex Sans" w:hAnsi="IBM Plex Sans"/>
          <w:color w:val="8890A0"/>
          <w:sz w:val="56"/>
          <w:szCs w:val="56"/>
        </w:rPr>
        <w:t xml:space="preserve">Arbitrage Dashboard</w:t>
      </w:r>
    </w:p>
    <w:p>
      <w:pPr>
        <w:pBdr>
          <w:bottom w:val="single" w:color="0B6E3F" w:sz="2"/>
        </w:pBdr>
        <w:spacing w:before="400" w:after="400"/>
      </w:pPr>
    </w:p>
    <w:p>
      <w:pPr>
        <w:spacing w:after="480" w:line="300"/>
      </w:pPr>
      <w:r>
        <w:rPr>
          <w:rFonts w:ascii="IBM Plex Sans" w:cs="IBM Plex Sans" w:eastAsia="IBM Plex Sans" w:hAnsi="IBM Plex Sans"/>
          <w:i/>
          <w:iCs/>
          <w:color w:val="5A6070"/>
          <w:sz w:val="24"/>
          <w:szCs w:val="24"/>
        </w:rPr>
        <w:t xml:space="preserve">A comprehensive analysis of the dashboard interface and deal detail panel, with detailed recommendations for improving information hierarchy, visual clarity, and decision-making speed for Pokémon TCG arbitrage traders.</w:t>
      </w:r>
    </w:p>
    <w:p>
      <w:pPr>
        <w:spacing w:after="60"/>
      </w:pPr>
      <w:r>
        <w:rPr>
          <w:rFonts w:ascii="IBM Plex Mono" w:cs="IBM Plex Mono" w:eastAsia="IBM Plex Mono" w:hAnsi="IBM Plex Mono"/>
          <w:color w:val="B0B6C4"/>
          <w:spacing w:val="40"/>
          <w:sz w:val="17"/>
          <w:szCs w:val="17"/>
        </w:rPr>
        <w:t xml:space="preserve">Prepared  </w:t>
      </w:r>
      <w:r>
        <w:rPr>
          <w:rFonts w:ascii="IBM Plex Sans" w:cs="IBM Plex Sans" w:eastAsia="IBM Plex Sans" w:hAnsi="IBM Plex Sans"/>
          <w:color w:val="24272E"/>
          <w:sz w:val="21"/>
          <w:szCs w:val="21"/>
        </w:rPr>
        <w:t xml:space="preserve">February 2026</w:t>
      </w:r>
    </w:p>
    <w:p>
      <w:pPr>
        <w:spacing w:after="60"/>
      </w:pPr>
      <w:r>
        <w:rPr>
          <w:rFonts w:ascii="IBM Plex Mono" w:cs="IBM Plex Mono" w:eastAsia="IBM Plex Mono" w:hAnsi="IBM Plex Mono"/>
          <w:color w:val="B0B6C4"/>
          <w:spacing w:val="40"/>
          <w:sz w:val="17"/>
          <w:szCs w:val="17"/>
        </w:rPr>
        <w:t xml:space="preserve">Scope  </w:t>
      </w:r>
      <w:r>
        <w:rPr>
          <w:rFonts w:ascii="IBM Plex Sans" w:cs="IBM Plex Sans" w:eastAsia="IBM Plex Sans" w:hAnsi="IBM Plex Sans"/>
          <w:color w:val="24272E"/>
          <w:sz w:val="21"/>
          <w:szCs w:val="21"/>
        </w:rPr>
        <w:t xml:space="preserve">Dashboard + Deal Detail Panel</w:t>
      </w:r>
    </w:p>
    <w:p>
      <w:pPr>
        <w:spacing w:after="60"/>
      </w:pPr>
      <w:r>
        <w:rPr>
          <w:rFonts w:ascii="IBM Plex Mono" w:cs="IBM Plex Mono" w:eastAsia="IBM Plex Mono" w:hAnsi="IBM Plex Mono"/>
          <w:color w:val="B0B6C4"/>
          <w:spacing w:val="40"/>
          <w:sz w:val="17"/>
          <w:szCs w:val="17"/>
        </w:rPr>
        <w:t xml:space="preserve">Focus  </w:t>
      </w:r>
      <w:r>
        <w:rPr>
          <w:rFonts w:ascii="IBM Plex Sans" w:cs="IBM Plex Sans" w:eastAsia="IBM Plex Sans" w:hAnsi="IBM Plex Sans"/>
          <w:color w:val="24272E"/>
          <w:sz w:val="21"/>
          <w:szCs w:val="21"/>
        </w:rPr>
        <w:t xml:space="preserve">Information hierarchy, visual verification, decision speed</w:t>
      </w:r>
    </w:p>
    <w:p>
      <w:pPr>
        <w:spacing w:after="60"/>
      </w:pPr>
      <w:r>
        <w:rPr>
          <w:rFonts w:ascii="IBM Plex Mono" w:cs="IBM Plex Mono" w:eastAsia="IBM Plex Mono" w:hAnsi="IBM Plex Mono"/>
          <w:color w:val="B0B6C4"/>
          <w:spacing w:val="40"/>
          <w:sz w:val="17"/>
          <w:szCs w:val="17"/>
        </w:rPr>
        <w:t xml:space="preserve">Typography  </w:t>
      </w:r>
      <w:r>
        <w:rPr>
          <w:rFonts w:ascii="IBM Plex Sans" w:cs="IBM Plex Sans" w:eastAsia="IBM Plex Sans" w:hAnsi="IBM Plex Sans"/>
          <w:color w:val="24272E"/>
          <w:sz w:val="21"/>
          <w:szCs w:val="21"/>
        </w:rPr>
        <w:t xml:space="preserve">IBM Plex Sans + IBM Plex Mono</w:t>
      </w:r>
    </w:p>
    <w:p>
      <w:pPr>
        <w:sectPr>
          <w:pgSz w:w="12240" w:h="15840" w:orient="portrait"/>
          <w:pgMar w:top="2400" w:right="1200" w:bottom="1080" w:left="1440" w:header="708" w:footer="708" w:gutter="0"/>
          <w:pgNumType/>
          <w:docGrid w:linePitch="360"/>
        </w:sectPr>
      </w:pPr>
    </w:p>
    <w:p>
      <w:pPr>
        <w:spacing w:before="320" w:after="100"/>
      </w:pPr>
      <w:r>
        <w:rPr>
          <w:rFonts w:ascii="IBM Plex Mono" w:cs="IBM Plex Mono" w:eastAsia="IBM Plex Mono" w:hAnsi="IBM Plex Mono"/>
          <w:color w:val="8890A0"/>
          <w:spacing w:val="140"/>
          <w:sz w:val="14"/>
          <w:szCs w:val="14"/>
        </w:rPr>
        <w:t xml:space="preserve">EXECUTIVE SUMMARY</w:t>
      </w:r>
    </w:p>
    <w:p>
      <w:pPr>
        <w:pStyle w:val="Heading1"/>
        <w:spacing w:before="480" w:after="180"/>
      </w:pPr>
      <w:r>
        <w:rPr>
          <w:rFonts w:ascii="IBM Plex Sans" w:cs="IBM Plex Sans" w:eastAsia="IBM Plex Sans" w:hAnsi="IBM Plex Sans"/>
          <w:b/>
          <w:bCs/>
          <w:color w:val="0C0E12"/>
          <w:sz w:val="44"/>
          <w:szCs w:val="44"/>
        </w:rPr>
        <w:t xml:space="preserve">Overview</w:t>
      </w:r>
    </w:p>
    <w:p>
      <w:pPr>
        <w:spacing w:before="0" w:after="160" w:line="288"/>
      </w:pPr>
      <w:r>
        <w:rPr>
          <w:rFonts w:ascii="IBM Plex Sans" w:cs="IBM Plex Sans" w:eastAsia="IBM Plex Sans" w:hAnsi="IBM Plex Sans"/>
          <w:b w:val="false"/>
          <w:bCs w:val="false"/>
          <w:i w:val="false"/>
          <w:iCs w:val="false"/>
          <w:color w:val="24272E"/>
          <w:sz w:val="21"/>
          <w:szCs w:val="21"/>
        </w:rPr>
        <w:t xml:space="preserve">PokeSnipe surfaces underpriced eBay listings against TCGPlayer market values, enabling arbitrage traders to act on price discrepancies. The current interface is functional and information-dense, but several UX issues slow down the core user workflow: scanning deals, verifying card matches, and deciding whether to buy.</w:t>
      </w:r>
    </w:p>
    <w:p>
      <w:pPr>
        <w:spacing w:before="0" w:after="160" w:line="288"/>
      </w:pPr>
      <w:r>
        <w:rPr>
          <w:rFonts w:ascii="IBM Plex Sans" w:cs="IBM Plex Sans" w:eastAsia="IBM Plex Sans" w:hAnsi="IBM Plex Sans"/>
          <w:b w:val="false"/>
          <w:bCs w:val="false"/>
          <w:i w:val="false"/>
          <w:iCs w:val="false"/>
          <w:color w:val="24272E"/>
          <w:sz w:val="21"/>
          <w:szCs w:val="21"/>
        </w:rPr>
        <w:t xml:space="preserve">This report covers two primary surfaces: the main dashboard (deal list, filter bar, and layout) and the deal detail panel (card verification, pricing breakdown, and match confidence). The recommendations are organised into eleven areas of improvement across three parts.</w:t>
      </w:r>
    </w:p>
    <w:p>
      <w:pPr>
        <w:spacing w:before="120" w:after="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0B6E3F" w:sz="10"/>
              <w:bottom w:val="none" w:color="FFFFFF" w:sz="0"/>
              <w:right w:val="none" w:color="FFFFFF" w:sz="0"/>
            </w:tcBorders>
            <w:shd w:fill="F2FDF8" w:val="clear"/>
            <w:tcMar>
              <w:top w:type="dxa" w:w="180"/>
              <w:left w:type="dxa" w:w="280"/>
              <w:bottom w:type="dxa" w:w="180"/>
              <w:right w:type="dxa" w:w="280"/>
            </w:tcMar>
          </w:tcPr>
          <w:p>
            <w:pPr>
              <w:spacing w:after="80"/>
            </w:pPr>
            <w:r>
              <w:rPr>
                <w:rFonts w:ascii="IBM Plex Mono" w:cs="IBM Plex Mono" w:eastAsia="IBM Plex Mono" w:hAnsi="IBM Plex Mono"/>
                <w:b/>
                <w:bCs/>
                <w:color w:val="0B6E3F"/>
                <w:sz w:val="19"/>
                <w:szCs w:val="19"/>
              </w:rPr>
              <w:t xml:space="preserve">CORE THESIS</w:t>
            </w:r>
          </w:p>
          <w:p>
            <w:pPr>
              <w:spacing w:after="0" w:line="276"/>
            </w:pPr>
            <w:r>
              <w:rPr>
                <w:rFonts w:ascii="IBM Plex Sans" w:cs="IBM Plex Sans" w:eastAsia="IBM Plex Sans" w:hAnsi="IBM Plex Sans"/>
                <w:color w:val="24272E"/>
                <w:sz w:val="21"/>
                <w:szCs w:val="21"/>
              </w:rPr>
              <w:t xml:space="preserve">Every second of hesitation costs the trader a deal. The redesign prioritises decision speed by tightening information density on the list, transforming the detail panel from a data readout into a visual verification workbench, and eliminating UI noise that doesn’t directly serve the buy/pass decision.</w:t>
            </w:r>
          </w:p>
        </w:tc>
      </w:tr>
    </w:tbl>
    <w:p>
      <w:pPr>
        <w:spacing w:before="200" w:after="0"/>
      </w:pPr>
    </w:p>
    <w:p>
      <w:pPr>
        <w:spacing w:before="320" w:after="100"/>
      </w:pPr>
      <w:r>
        <w:rPr>
          <w:rFonts w:ascii="IBM Plex Mono" w:cs="IBM Plex Mono" w:eastAsia="IBM Plex Mono" w:hAnsi="IBM Plex Mono"/>
          <w:color w:val="8890A0"/>
          <w:spacing w:val="140"/>
          <w:sz w:val="14"/>
          <w:szCs w:val="14"/>
        </w:rPr>
        <w:t xml:space="preserve">KEY CHANGES</w:t>
      </w:r>
    </w:p>
    <w:p>
      <w:pPr>
        <w:pStyle w:val="ListParagraph"/>
        <w:numPr>
          <w:ilvl w:val="0"/>
          <w:numId w:val="2"/>
        </w:numPr>
        <w:spacing w:after="80" w:line="288"/>
      </w:pPr>
      <w:r>
        <w:rPr>
          <w:rFonts w:ascii="IBM Plex Sans" w:cs="IBM Plex Sans" w:eastAsia="IBM Plex Sans" w:hAnsi="IBM Plex Sans"/>
          <w:color w:val="24272E"/>
          <w:sz w:val="21"/>
          <w:szCs w:val="21"/>
        </w:rPr>
        <w:t xml:space="preserve">Dual-mode filter system: query-syntax primary input with pill fallback, replacing the undifferentiated pill row</w:t>
      </w:r>
    </w:p>
    <w:p>
      <w:pPr>
        <w:pStyle w:val="ListParagraph"/>
        <w:numPr>
          <w:ilvl w:val="0"/>
          <w:numId w:val="2"/>
        </w:numPr>
        <w:spacing w:after="80" w:line="288"/>
      </w:pPr>
      <w:r>
        <w:rPr>
          <w:rFonts w:ascii="IBM Plex Sans" w:cs="IBM Plex Sans" w:eastAsia="IBM Plex Sans" w:hAnsi="IBM Plex Sans"/>
          <w:color w:val="24272E"/>
          <w:sz w:val="21"/>
          <w:szCs w:val="21"/>
        </w:rPr>
        <w:t xml:space="preserve">Rhythm-based deal list with hero treatment for grail-tier items and dense rows for lower tiers</w:t>
      </w:r>
    </w:p>
    <w:p>
      <w:pPr>
        <w:pStyle w:val="ListParagraph"/>
        <w:numPr>
          <w:ilvl w:val="0"/>
          <w:numId w:val="2"/>
        </w:numPr>
        <w:spacing w:after="80" w:line="288"/>
      </w:pPr>
      <w:r>
        <w:rPr>
          <w:rFonts w:ascii="IBM Plex Sans" w:cs="IBM Plex Sans" w:eastAsia="IBM Plex Sans" w:hAnsi="IBM Plex Sans"/>
          <w:color w:val="24272E"/>
          <w:sz w:val="21"/>
          <w:szCs w:val="21"/>
        </w:rPr>
        <w:t xml:space="preserve">Arrival animation with shimmer sweep on new deals, plus a fading accent freshness indicator</w:t>
      </w:r>
    </w:p>
    <w:p>
      <w:pPr>
        <w:pStyle w:val="ListParagraph"/>
        <w:numPr>
          <w:ilvl w:val="0"/>
          <w:numId w:val="2"/>
        </w:numPr>
        <w:spacing w:after="80" w:line="288"/>
      </w:pPr>
      <w:r>
        <w:rPr>
          <w:rFonts w:ascii="IBM Plex Sans" w:cs="IBM Plex Sans" w:eastAsia="IBM Plex Sans" w:hAnsi="IBM Plex Sans"/>
          <w:color w:val="24272E"/>
          <w:sz w:val="21"/>
          <w:szCs w:val="21"/>
        </w:rPr>
        <w:t xml:space="preserve">Side-by-side eBay listing vs Scrydex reference image comparison with overlay diff toggle</w:t>
      </w:r>
    </w:p>
    <w:p>
      <w:pPr>
        <w:pStyle w:val="ListParagraph"/>
        <w:numPr>
          <w:ilvl w:val="0"/>
          <w:numId w:val="2"/>
        </w:numPr>
        <w:spacing w:after="80" w:line="288"/>
      </w:pPr>
      <w:r>
        <w:rPr>
          <w:rFonts w:ascii="IBM Plex Sans" w:cs="IBM Plex Sans" w:eastAsia="IBM Plex Sans" w:hAnsi="IBM Plex Sans"/>
          <w:color w:val="24272E"/>
          <w:sz w:val="21"/>
          <w:szCs w:val="21"/>
        </w:rPr>
        <w:t xml:space="preserve">Tier-specific visual drama: animated gradient glow behind profit for grails, clean static for flips</w:t>
      </w:r>
    </w:p>
    <w:p>
      <w:pPr>
        <w:pStyle w:val="ListParagraph"/>
        <w:numPr>
          <w:ilvl w:val="0"/>
          <w:numId w:val="2"/>
        </w:numPr>
        <w:spacing w:after="80" w:line="288"/>
      </w:pPr>
      <w:r>
        <w:rPr>
          <w:rFonts w:ascii="IBM Plex Sans" w:cs="IBM Plex Sans" w:eastAsia="IBM Plex Sans" w:hAnsi="IBM Plex Sans"/>
          <w:color w:val="24272E"/>
          <w:sz w:val="21"/>
          <w:szCs w:val="21"/>
        </w:rPr>
        <w:t xml:space="preserve">Simplified GBP-only pricing with on-demand USD/FX details</w:t>
      </w:r>
    </w:p>
    <w:p>
      <w:pPr>
        <w:pStyle w:val="ListParagraph"/>
        <w:numPr>
          <w:ilvl w:val="0"/>
          <w:numId w:val="2"/>
        </w:numPr>
        <w:spacing w:after="80" w:line="288"/>
      </w:pPr>
      <w:r>
        <w:rPr>
          <w:rFonts w:ascii="IBM Plex Sans" w:cs="IBM Plex Sans" w:eastAsia="IBM Plex Sans" w:hAnsi="IBM Plex Sans"/>
          <w:color w:val="24272E"/>
          <w:sz w:val="21"/>
          <w:szCs w:val="21"/>
        </w:rPr>
        <w:t xml:space="preserve">Dot-plot comps visualisation showing individual sale density per condition grade</w:t>
      </w:r>
    </w:p>
    <w:p>
      <w:pPr>
        <w:pStyle w:val="ListParagraph"/>
        <w:numPr>
          <w:ilvl w:val="0"/>
          <w:numId w:val="2"/>
        </w:numPr>
        <w:spacing w:after="80" w:line="288"/>
      </w:pPr>
      <w:r>
        <w:rPr>
          <w:rFonts w:ascii="IBM Plex Sans" w:cs="IBM Plex Sans" w:eastAsia="IBM Plex Sans" w:hAnsi="IBM Plex Sans"/>
          <w:color w:val="24272E"/>
          <w:sz w:val="21"/>
          <w:szCs w:val="21"/>
        </w:rPr>
        <w:t xml:space="preserve">Colour-coded sparkline price trends (green = spread widening, coral = compressing)</w:t>
      </w:r>
    </w:p>
    <w:p>
      <w:pPr>
        <w:pStyle w:val="ListParagraph"/>
        <w:numPr>
          <w:ilvl w:val="0"/>
          <w:numId w:val="2"/>
        </w:numPr>
        <w:spacing w:after="80" w:line="288"/>
      </w:pPr>
      <w:r>
        <w:rPr>
          <w:rFonts w:ascii="IBM Plex Sans" w:cs="IBM Plex Sans" w:eastAsia="IBM Plex Sans" w:hAnsi="IBM Plex Sans"/>
          <w:color w:val="24272E"/>
          <w:sz w:val="21"/>
          <w:szCs w:val="21"/>
        </w:rPr>
        <w:t xml:space="preserve">Expansion module grounded in Pokémon TCG visual language: set symbols, energy-type iconography, collector-native formatting</w:t>
      </w:r>
    </w:p>
    <w:p>
      <w:pPr>
        <w:pStyle w:val="ListParagraph"/>
        <w:numPr>
          <w:ilvl w:val="0"/>
          <w:numId w:val="2"/>
        </w:numPr>
        <w:spacing w:after="80" w:line="288"/>
      </w:pPr>
      <w:r>
        <w:rPr>
          <w:rFonts w:ascii="IBM Plex Sans" w:cs="IBM Plex Sans" w:eastAsia="IBM Plex Sans" w:hAnsi="IBM Plex Sans"/>
          <w:color w:val="24272E"/>
          <w:sz w:val="21"/>
          <w:szCs w:val="21"/>
        </w:rPr>
        <w:t xml:space="preserve">Structured feedback chips on the Wrong path for algorithm improvement</w:t>
      </w:r>
    </w:p>
    <w:p>
      <w:pPr>
        <w:spacing w:before="200" w:after="0"/>
      </w:pPr>
    </w:p>
    <w:p>
      <w:pPr>
        <w:pBdr>
          <w:bottom w:val="single" w:color="0B6E3F" w:sz="2"/>
        </w:pBdr>
        <w:spacing w:before="360" w:after="60"/>
      </w:pPr>
      <w:r>
        <w:rPr>
          <w:rFonts w:ascii="IBM Plex Mono" w:cs="IBM Plex Mono" w:eastAsia="IBM Plex Mono" w:hAnsi="IBM Plex Mono"/>
          <w:b/>
          <w:bCs/>
          <w:color w:val="0B6E3F"/>
          <w:spacing w:val="200"/>
          <w:sz w:val="14"/>
          <w:szCs w:val="14"/>
        </w:rPr>
        <w:t xml:space="preserve">PART 1</w:t>
      </w:r>
    </w:p>
    <w:p>
      <w:pPr>
        <w:pStyle w:val="Heading1"/>
        <w:spacing w:before="480" w:after="180"/>
      </w:pPr>
      <w:r>
        <w:rPr>
          <w:rFonts w:ascii="IBM Plex Sans" w:cs="IBM Plex Sans" w:eastAsia="IBM Plex Sans" w:hAnsi="IBM Plex Sans"/>
          <w:b/>
          <w:bCs/>
          <w:color w:val="0C0E12"/>
          <w:sz w:val="44"/>
          <w:szCs w:val="44"/>
        </w:rPr>
        <w:t xml:space="preserve">Dashboard</w:t>
      </w:r>
    </w:p>
    <w:p>
      <w:pPr>
        <w:spacing w:before="0" w:after="200" w:line="300"/>
      </w:pPr>
      <w:r>
        <w:rPr>
          <w:rFonts w:ascii="IBM Plex Sans" w:cs="IBM Plex Sans" w:eastAsia="IBM Plex Sans" w:hAnsi="IBM Plex Sans"/>
          <w:i/>
          <w:iCs/>
          <w:color w:val="5A6070"/>
          <w:sz w:val="24"/>
          <w:szCs w:val="24"/>
        </w:rPr>
        <w:t xml:space="preserve">The dashboard is where users scan for opportunities. Speed and scannability are paramount.</w:t>
      </w:r>
    </w:p>
    <w:p>
      <w:pPr>
        <w:pStyle w:val="Heading2"/>
        <w:spacing w:before="400" w:after="140"/>
      </w:pPr>
      <w:r>
        <w:rPr>
          <w:rFonts w:ascii="IBM Plex Sans" w:cs="IBM Plex Sans" w:eastAsia="IBM Plex Sans" w:hAnsi="IBM Plex Sans"/>
          <w:b/>
          <w:bCs/>
          <w:color w:val="1A1D26"/>
          <w:sz w:val="32"/>
          <w:szCs w:val="32"/>
        </w:rPr>
        <w:t xml:space="preserve">1.1  Filter System</w:t>
      </w:r>
    </w:p>
    <w:p>
      <w:pPr>
        <w:spacing w:before="0" w:after="160" w:line="288"/>
      </w:pPr>
      <w:r>
        <w:rPr>
          <w:rFonts w:ascii="IBM Plex Sans" w:cs="IBM Plex Sans" w:eastAsia="IBM Plex Sans" w:hAnsi="IBM Plex Sans"/>
          <w:b w:val="false"/>
          <w:bCs w:val="false"/>
          <w:i w:val="false"/>
          <w:iCs w:val="false"/>
          <w:color w:val="24272E"/>
          <w:sz w:val="21"/>
          <w:szCs w:val="21"/>
        </w:rPr>
        <w:t xml:space="preserve">The current filter bar presents all controls in a single undifferentiated row of pill buttons: tier labels (Grail, Hit, Flip, Sleep), condition codes (NM, LP, MP, HP), liquidity, confidence, time windows, and the minimum percentage control. There is no visual grouping, so the user’s eye cannot quickly locate a specific filter category. The colour coding on the pills (red, green, orange) adds visual noise without a clear legend.</w:t>
      </w:r>
    </w:p>
    <w:p>
      <w:pPr>
        <w:spacing w:before="0" w:after="160" w:line="288"/>
      </w:pPr>
      <w:r>
        <w:rPr>
          <w:rFonts w:ascii="IBM Plex Sans" w:cs="IBM Plex Sans" w:eastAsia="IBM Plex Sans" w:hAnsi="IBM Plex Sans"/>
          <w:b w:val="false"/>
          <w:bCs w:val="false"/>
          <w:i w:val="false"/>
          <w:iCs w:val="false"/>
          <w:color w:val="24272E"/>
          <w:sz w:val="21"/>
          <w:szCs w:val="21"/>
        </w:rPr>
        <w:t xml:space="preserve">More fundamentally, a row of pill toggles is one of the most common dashboard patterns on the web. For a product that already has a terminal-like dark aesthetic and targets technically proficient arbitrage traders, this is a missed opportunity to build something with more character.</w:t>
      </w:r>
    </w:p>
    <w:p>
      <w:pPr>
        <w:spacing w:before="80" w:after="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none" w:color="FFFFFF" w:sz="0"/>
              <w:left w:val="none" w:color="FFFFFF" w:sz="0"/>
              <w:bottom w:val="single" w:color="E8445A" w:sz="3"/>
              <w:right w:val="none" w:color="FFFFFF" w:sz="0"/>
            </w:tcBorders>
            <w:shd w:fill="FFF0F2" w:val="clear"/>
            <w:tcMar>
              <w:top w:type="dxa" w:w="100"/>
              <w:left w:type="dxa" w:w="180"/>
              <w:bottom w:type="dxa" w:w="100"/>
              <w:right w:type="dxa" w:w="140"/>
            </w:tcMar>
          </w:tcPr>
          <w:p>
            <w:r>
              <w:rPr>
                <w:rFonts w:ascii="IBM Plex Mono" w:cs="IBM Plex Mono" w:eastAsia="IBM Plex Mono" w:hAnsi="IBM Plex Mono"/>
                <w:b/>
                <w:bCs/>
                <w:color w:val="E8445A"/>
                <w:spacing w:val="120"/>
                <w:sz w:val="14"/>
                <w:szCs w:val="14"/>
              </w:rPr>
              <w:t xml:space="preserve">CURRENT</w:t>
            </w:r>
          </w:p>
        </w:tc>
        <w:tc>
          <w:tcPr>
            <w:tcW w:type="dxa" w:w="4800"/>
            <w:tcBorders>
              <w:top w:val="none" w:color="FFFFFF" w:sz="0"/>
              <w:left w:val="none" w:color="FFFFFF" w:sz="0"/>
              <w:bottom w:val="single" w:color="0B6E3F" w:sz="3"/>
              <w:right w:val="none" w:color="FFFFFF" w:sz="0"/>
            </w:tcBorders>
            <w:shd w:fill="E8FFF4" w:val="clear"/>
            <w:tcMar>
              <w:top w:type="dxa" w:w="100"/>
              <w:left w:type="dxa" w:w="180"/>
              <w:bottom w:type="dxa" w:w="100"/>
              <w:right w:type="dxa" w:w="140"/>
            </w:tcMar>
          </w:tcPr>
          <w:p>
            <w:r>
              <w:rPr>
                <w:rFonts w:ascii="IBM Plex Mono" w:cs="IBM Plex Mono" w:eastAsia="IBM Plex Mono" w:hAnsi="IBM Plex Mono"/>
                <w:b/>
                <w:bCs/>
                <w:color w:val="0B6E3F"/>
                <w:spacing w:val="120"/>
                <w:sz w:val="14"/>
                <w:szCs w:val="14"/>
              </w:rPr>
              <w:t xml:space="preserve">PROPOSED</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All filters in one flat row of pill buttons</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Dual-mode: query syntax + grouped pill fallback</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No labels or grouping</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Primary input: inline filter syntax with autocomplete</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Colour-coded pills without legend</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Secondary: grouped, labelled pill clusters with dividers</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Generic dashboard pattern</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Code-native aesthetic matching the product’s identity</w:t>
            </w:r>
          </w:p>
        </w:tc>
      </w:tr>
      <w:tr>
        <w:tc>
          <w:tcPr>
            <w:tcW w:type="dxa" w:w="4800"/>
            <w:tcBorders>
              <w:top w:val="none" w:color="FFFFFF" w:sz="0"/>
              <w:left w:val="none" w:color="FFFFFF" w:sz="0"/>
              <w:bottom w:val="none" w:color="FFFFFF" w:sz="0"/>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No presets or saved filter states</w:t>
            </w:r>
          </w:p>
        </w:tc>
        <w:tc>
          <w:tcPr>
            <w:tcW w:type="dxa" w:w="4800"/>
            <w:tcBorders>
              <w:top w:val="none" w:color="FFFFFF" w:sz="0"/>
              <w:left w:val="none" w:color="FFFFFF" w:sz="0"/>
              <w:bottom w:val="none" w:color="FFFFFF" w:sz="0"/>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Saved presets for common setups</w:t>
            </w:r>
          </w:p>
        </w:tc>
      </w:tr>
    </w:tbl>
    <w:p>
      <w:pPr>
        <w:spacing w:before="100" w:after="0"/>
      </w:pPr>
    </w:p>
    <w:p>
      <w:pPr>
        <w:pStyle w:val="Heading3"/>
        <w:spacing w:before="280" w:after="100"/>
      </w:pPr>
      <w:r>
        <w:rPr>
          <w:rFonts w:ascii="IBM Plex Sans" w:cs="IBM Plex Sans" w:eastAsia="IBM Plex Sans" w:hAnsi="IBM Plex Sans"/>
          <w:b/>
          <w:bCs/>
          <w:color w:val="2A2F3C"/>
          <w:sz w:val="26"/>
          <w:szCs w:val="26"/>
        </w:rPr>
        <w:t xml:space="preserve">Primary mode: query syntax</w:t>
      </w:r>
    </w:p>
    <w:p>
      <w:pPr>
        <w:spacing w:before="0" w:after="160" w:line="288"/>
      </w:pPr>
      <w:r>
        <w:rPr>
          <w:rFonts w:ascii="IBM Plex Sans" w:cs="IBM Plex Sans" w:eastAsia="IBM Plex Sans" w:hAnsi="IBM Plex Sans"/>
          <w:b w:val="false"/>
          <w:bCs w:val="false"/>
          <w:i w:val="false"/>
          <w:iCs w:val="false"/>
          <w:color w:val="24272E"/>
          <w:sz w:val="21"/>
          <w:szCs w:val="21"/>
        </w:rPr>
        <w:t xml:space="preserve">The main filter input should be a text field that accepts a compact, readable syntax. Something like: tier:grail cond:nm+ conf:hi time:24h min:10%. This leans into the code aesthetic the product already uses and gives power users a faster path than clicking six different pill groups. Autocomplete suggestions should appear as the user types, showing available values for each filter key. This is the kind of interaction that feels native to a trading terminal and differentiates the product from every other dashboard.</w:t>
      </w:r>
    </w:p>
    <w:p>
      <w:pPr>
        <w:pStyle w:val="Heading3"/>
        <w:spacing w:before="280" w:after="100"/>
      </w:pPr>
      <w:r>
        <w:rPr>
          <w:rFonts w:ascii="IBM Plex Sans" w:cs="IBM Plex Sans" w:eastAsia="IBM Plex Sans" w:hAnsi="IBM Plex Sans"/>
          <w:b/>
          <w:bCs/>
          <w:color w:val="2A2F3C"/>
          <w:sz w:val="26"/>
          <w:szCs w:val="26"/>
        </w:rPr>
        <w:t xml:space="preserve">Secondary mode: visual pills</w:t>
      </w:r>
    </w:p>
    <w:p>
      <w:pPr>
        <w:spacing w:before="0" w:after="160" w:line="288"/>
      </w:pPr>
      <w:r>
        <w:rPr>
          <w:rFonts w:ascii="IBM Plex Sans" w:cs="IBM Plex Sans" w:eastAsia="IBM Plex Sans" w:hAnsi="IBM Plex Sans"/>
          <w:b w:val="false"/>
          <w:bCs w:val="false"/>
          <w:i w:val="false"/>
          <w:iCs w:val="false"/>
          <w:color w:val="24272E"/>
          <w:sz w:val="21"/>
          <w:szCs w:val="21"/>
        </w:rPr>
        <w:t xml:space="preserve">Below or beside the query input, grouped pill buttons remain available as a visual fallback. These should be organised into labelled clusters (Tier, Cond, Liq, Conf, Time, Min%) separated by thin vertical dividers. Group labels use a small, light-weight monospace font. Active pills use a filled background matching their semantic colour; inactive pills remain outlined. Clicking a pill should update the query syntax field and vice versa—the two modes stay in sync.</w:t>
      </w:r>
    </w:p>
    <w:p>
      <w:pPr>
        <w:pStyle w:val="Heading3"/>
        <w:spacing w:before="280" w:after="100"/>
      </w:pPr>
      <w:r>
        <w:rPr>
          <w:rFonts w:ascii="IBM Plex Sans" w:cs="IBM Plex Sans" w:eastAsia="IBM Plex Sans" w:hAnsi="IBM Plex Sans"/>
          <w:b/>
          <w:bCs/>
          <w:color w:val="2A2F3C"/>
          <w:sz w:val="26"/>
          <w:szCs w:val="26"/>
        </w:rPr>
        <w:t xml:space="preserve">Presets</w:t>
      </w:r>
    </w:p>
    <w:p>
      <w:pPr>
        <w:spacing w:before="0" w:after="160" w:line="288"/>
      </w:pPr>
      <w:r>
        <w:rPr>
          <w:rFonts w:ascii="IBM Plex Sans" w:cs="IBM Plex Sans" w:eastAsia="IBM Plex Sans" w:hAnsi="IBM Plex Sans"/>
          <w:b w:val="false"/>
          <w:bCs w:val="false"/>
          <w:i w:val="false"/>
          <w:iCs w:val="false"/>
          <w:color w:val="24272E"/>
          <w:sz w:val="21"/>
          <w:szCs w:val="21"/>
        </w:rPr>
        <w:t xml:space="preserve">Add a saved preset system: one click for common setups like “Grails NM+ Hi-conf” or “All flips 24h.” Presets appear as compact tags at the start of the filter bar. Users should be able to create, name, and delete their own presets. This removes the friction of re-configuring filters at the start of every session.</w:t>
      </w:r>
    </w:p>
    <w:p>
      <w:pPr>
        <w:pStyle w:val="Heading2"/>
        <w:spacing w:before="400" w:after="140"/>
      </w:pPr>
      <w:r>
        <w:rPr>
          <w:rFonts w:ascii="IBM Plex Sans" w:cs="IBM Plex Sans" w:eastAsia="IBM Plex Sans" w:hAnsi="IBM Plex Sans"/>
          <w:b/>
          <w:bCs/>
          <w:color w:val="1A1D26"/>
          <w:sz w:val="32"/>
          <w:szCs w:val="32"/>
        </w:rPr>
        <w:t xml:space="preserve">1.2  Deal List Layout</w:t>
      </w:r>
    </w:p>
    <w:p>
      <w:pPr>
        <w:spacing w:before="0" w:after="160" w:line="288"/>
      </w:pPr>
      <w:r>
        <w:rPr>
          <w:rFonts w:ascii="IBM Plex Sans" w:cs="IBM Plex Sans" w:eastAsia="IBM Plex Sans" w:hAnsi="IBM Plex Sans"/>
          <w:b w:val="false"/>
          <w:bCs w:val="false"/>
          <w:i w:val="false"/>
          <w:iCs w:val="false"/>
          <w:color w:val="24272E"/>
          <w:sz w:val="21"/>
          <w:szCs w:val="21"/>
        </w:rPr>
        <w:t xml:space="preserve">Each row in the current list has a thumbnail, name, price range, condition badge, and a coloured bar, but the middle sixty percent of each row is dead space. The profit figures sit at the far right edge, forcing the user’s eye to traverse the full viewport width for every row. More importantly, every deal—regardless of tier—is given identical visual treatment. A £47 grail looks the same as a £4 flip.</w:t>
      </w:r>
    </w:p>
    <w:p>
      <w:pPr>
        <w:spacing w:before="80" w:after="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none" w:color="FFFFFF" w:sz="0"/>
              <w:left w:val="none" w:color="FFFFFF" w:sz="0"/>
              <w:bottom w:val="single" w:color="E8445A" w:sz="3"/>
              <w:right w:val="none" w:color="FFFFFF" w:sz="0"/>
            </w:tcBorders>
            <w:shd w:fill="FFF0F2" w:val="clear"/>
            <w:tcMar>
              <w:top w:type="dxa" w:w="100"/>
              <w:left w:type="dxa" w:w="180"/>
              <w:bottom w:type="dxa" w:w="100"/>
              <w:right w:type="dxa" w:w="140"/>
            </w:tcMar>
          </w:tcPr>
          <w:p>
            <w:r>
              <w:rPr>
                <w:rFonts w:ascii="IBM Plex Mono" w:cs="IBM Plex Mono" w:eastAsia="IBM Plex Mono" w:hAnsi="IBM Plex Mono"/>
                <w:b/>
                <w:bCs/>
                <w:color w:val="E8445A"/>
                <w:spacing w:val="120"/>
                <w:sz w:val="14"/>
                <w:szCs w:val="14"/>
              </w:rPr>
              <w:t xml:space="preserve">CURRENT</w:t>
            </w:r>
          </w:p>
        </w:tc>
        <w:tc>
          <w:tcPr>
            <w:tcW w:type="dxa" w:w="4800"/>
            <w:tcBorders>
              <w:top w:val="none" w:color="FFFFFF" w:sz="0"/>
              <w:left w:val="none" w:color="FFFFFF" w:sz="0"/>
              <w:bottom w:val="single" w:color="0B6E3F" w:sz="3"/>
              <w:right w:val="none" w:color="FFFFFF" w:sz="0"/>
            </w:tcBorders>
            <w:shd w:fill="E8FFF4" w:val="clear"/>
            <w:tcMar>
              <w:top w:type="dxa" w:w="100"/>
              <w:left w:type="dxa" w:w="180"/>
              <w:bottom w:type="dxa" w:w="100"/>
              <w:right w:type="dxa" w:w="140"/>
            </w:tcMar>
          </w:tcPr>
          <w:p>
            <w:r>
              <w:rPr>
                <w:rFonts w:ascii="IBM Plex Mono" w:cs="IBM Plex Mono" w:eastAsia="IBM Plex Mono" w:hAnsi="IBM Plex Mono"/>
                <w:b/>
                <w:bCs/>
                <w:color w:val="0B6E3F"/>
                <w:spacing w:val="120"/>
                <w:sz w:val="14"/>
                <w:szCs w:val="14"/>
              </w:rPr>
              <w:t xml:space="preserve">PROPOSED</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Sparse layout with dead space in middle</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Tight grid with aligned columns</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Profit figures pushed to far right</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Profit immediately after card info</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Ambiguous coloured progress bars</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Bars replaced with labelled confidence micro-bar</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No confidence indicator in list</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Compact confidence bar + percentage per row</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Every row has identical visual weight</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Hero treatment for grails, dense rows for flips</w:t>
            </w:r>
          </w:p>
        </w:tc>
      </w:tr>
      <w:tr>
        <w:tc>
          <w:tcPr>
            <w:tcW w:type="dxa" w:w="4800"/>
            <w:tcBorders>
              <w:top w:val="none" w:color="FFFFFF" w:sz="0"/>
              <w:left w:val="none" w:color="FFFFFF" w:sz="0"/>
              <w:bottom w:val="none" w:color="FFFFFF" w:sz="0"/>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No quick-action without opening detail</w:t>
            </w:r>
          </w:p>
        </w:tc>
        <w:tc>
          <w:tcPr>
            <w:tcW w:type="dxa" w:w="4800"/>
            <w:tcBorders>
              <w:top w:val="none" w:color="FFFFFF" w:sz="0"/>
              <w:left w:val="none" w:color="FFFFFF" w:sz="0"/>
              <w:bottom w:val="none" w:color="FFFFFF" w:sz="0"/>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Hover reveals inline Snag button on each row</w:t>
            </w:r>
          </w:p>
        </w:tc>
      </w:tr>
    </w:tbl>
    <w:p>
      <w:pPr>
        <w:spacing w:before="100" w:after="0"/>
      </w:pPr>
    </w:p>
    <w:p>
      <w:pPr>
        <w:pStyle w:val="Heading3"/>
        <w:spacing w:before="280" w:after="100"/>
      </w:pPr>
      <w:r>
        <w:rPr>
          <w:rFonts w:ascii="IBM Plex Sans" w:cs="IBM Plex Sans" w:eastAsia="IBM Plex Sans" w:hAnsi="IBM Plex Sans"/>
          <w:b/>
          <w:bCs/>
          <w:color w:val="2A2F3C"/>
          <w:sz w:val="26"/>
          <w:szCs w:val="26"/>
        </w:rPr>
        <w:t xml:space="preserve">Visual rhythm through tier hierarchy</w:t>
      </w:r>
    </w:p>
    <w:p>
      <w:pPr>
        <w:spacing w:before="0" w:after="160" w:line="288"/>
      </w:pPr>
      <w:r>
        <w:rPr>
          <w:rFonts w:ascii="IBM Plex Sans" w:cs="IBM Plex Sans" w:eastAsia="IBM Plex Sans" w:hAnsi="IBM Plex Sans"/>
          <w:b w:val="false"/>
          <w:bCs w:val="false"/>
          <w:i w:val="false"/>
          <w:iCs w:val="false"/>
          <w:color w:val="24272E"/>
          <w:sz w:val="21"/>
          <w:szCs w:val="21"/>
        </w:rPr>
        <w:t xml:space="preserve">Not all deals deserve the same screen presence. Grail-tier items should receive a hero treatment: a slightly taller row with a larger thumbnail (~72px), the card name at a larger font size, and a subtle left border accent in gold. This creates visual rhythm in the list—the eye is naturally drawn to the highest-value deals without the user needing to compare numbers. Hit-tier deals get standard rows. Flip and sleep tiers compress into a denser, more compact format. This asymmetry is deliberate: it matches how users actually scan the list (grails first, then hits, then the rest).</w:t>
      </w:r>
    </w:p>
    <w:p>
      <w:pPr>
        <w:pStyle w:val="Heading3"/>
        <w:spacing w:before="280" w:after="100"/>
      </w:pPr>
      <w:r>
        <w:rPr>
          <w:rFonts w:ascii="IBM Plex Sans" w:cs="IBM Plex Sans" w:eastAsia="IBM Plex Sans" w:hAnsi="IBM Plex Sans"/>
          <w:b/>
          <w:bCs/>
          <w:color w:val="2A2F3C"/>
          <w:sz w:val="26"/>
          <w:szCs w:val="26"/>
        </w:rPr>
        <w:t xml:space="preserve">Tighter column grid</w:t>
      </w:r>
    </w:p>
    <w:p>
      <w:pPr>
        <w:spacing w:before="0" w:after="160" w:line="288"/>
      </w:pPr>
      <w:r>
        <w:rPr>
          <w:rFonts w:ascii="IBM Plex Sans" w:cs="IBM Plex Sans" w:eastAsia="IBM Plex Sans" w:hAnsi="IBM Plex Sans"/>
          <w:b w:val="false"/>
          <w:bCs w:val="false"/>
          <w:i w:val="false"/>
          <w:iCs w:val="false"/>
          <w:color w:val="24272E"/>
          <w:sz w:val="21"/>
          <w:szCs w:val="21"/>
        </w:rPr>
        <w:t xml:space="preserve">The redesigned standard row uses a six-column grid: thumbnail (52px), card info (name + prices + condition badge), confidence micro-bar, profit column, timestamp, and a hidden quick-action button. The card info column contains the name on the first line and the buy-to-market price range plus condition badge on the second, keeping all identification data in a compact block.</w:t>
      </w:r>
    </w:p>
    <w:p>
      <w:pPr>
        <w:spacing w:before="0" w:after="160" w:line="288"/>
      </w:pPr>
      <w:r>
        <w:rPr>
          <w:rFonts w:ascii="IBM Plex Sans" w:cs="IBM Plex Sans" w:eastAsia="IBM Plex Sans" w:hAnsi="IBM Plex Sans"/>
          <w:b w:val="false"/>
          <w:bCs w:val="false"/>
          <w:i w:val="false"/>
          <w:iCs w:val="false"/>
          <w:color w:val="24272E"/>
          <w:sz w:val="21"/>
          <w:szCs w:val="21"/>
        </w:rPr>
        <w:t xml:space="preserve">The confidence column shows a small horizontal bar (40px wide, 3px tall) with a percentage label beneath it. Green for high confidence, amber for medium, red for low. This lets users gauge match quality without opening the detail panel.</w:t>
      </w:r>
    </w:p>
    <w:p>
      <w:pPr>
        <w:pStyle w:val="Heading3"/>
        <w:spacing w:before="280" w:after="100"/>
      </w:pPr>
      <w:r>
        <w:rPr>
          <w:rFonts w:ascii="IBM Plex Sans" w:cs="IBM Plex Sans" w:eastAsia="IBM Plex Sans" w:hAnsi="IBM Plex Sans"/>
          <w:b/>
          <w:bCs/>
          <w:color w:val="2A2F3C"/>
          <w:sz w:val="26"/>
          <w:szCs w:val="26"/>
        </w:rPr>
        <w:t xml:space="preserve">Inline quick-action</w:t>
      </w:r>
    </w:p>
    <w:p>
      <w:pPr>
        <w:spacing w:before="0" w:after="160" w:line="288"/>
      </w:pPr>
      <w:r>
        <w:rPr>
          <w:rFonts w:ascii="IBM Plex Sans" w:cs="IBM Plex Sans" w:eastAsia="IBM Plex Sans" w:hAnsi="IBM Plex Sans"/>
          <w:b w:val="false"/>
          <w:bCs w:val="false"/>
          <w:i w:val="false"/>
          <w:iCs w:val="false"/>
          <w:color w:val="24272E"/>
          <w:sz w:val="21"/>
          <w:szCs w:val="21"/>
        </w:rPr>
        <w:t xml:space="preserve">The Snag button appears on hover, overlaying the timestamp and profit columns. The most engaged action—buying the card—becomes accessible directly from the list without opening the detail panel. For users who are confident in their scanning ability, this can cut time-to-purchase in half.</w:t>
      </w:r>
    </w:p>
    <w:p>
      <w:pPr>
        <w:pStyle w:val="Heading2"/>
        <w:spacing w:before="400" w:after="140"/>
      </w:pPr>
      <w:r>
        <w:rPr>
          <w:rFonts w:ascii="IBM Plex Sans" w:cs="IBM Plex Sans" w:eastAsia="IBM Plex Sans" w:hAnsi="IBM Plex Sans"/>
          <w:b/>
          <w:bCs/>
          <w:color w:val="1A1D26"/>
          <w:sz w:val="32"/>
          <w:szCs w:val="32"/>
        </w:rPr>
        <w:t xml:space="preserve">1.3  Freshness &amp; Arrival</w:t>
      </w:r>
    </w:p>
    <w:p>
      <w:pPr>
        <w:spacing w:before="0" w:after="160" w:line="288"/>
      </w:pPr>
      <w:r>
        <w:rPr>
          <w:rFonts w:ascii="IBM Plex Sans" w:cs="IBM Plex Sans" w:eastAsia="IBM Plex Sans" w:hAnsi="IBM Plex Sans"/>
          <w:b w:val="false"/>
          <w:bCs w:val="false"/>
          <w:i w:val="false"/>
          <w:iCs w:val="false"/>
          <w:color w:val="24272E"/>
          <w:sz w:val="21"/>
          <w:szCs w:val="21"/>
        </w:rPr>
        <w:t xml:space="preserve">The current dashboard shows small grey timestamps like “11h” and “12h” but treats all rows identically regardless of age. A deal that appeared thirty seconds ago looks the same as one from thirteen hours ago. For an arbitrage tool where timing is critical, this is a significant missed opportunity. A new deal arriving is a high-impact moment—it deserves a high-impact visual response.</w:t>
      </w:r>
    </w:p>
    <w:p>
      <w:pPr>
        <w:spacing w:before="80" w:after="0"/>
      </w:pPr>
    </w:p>
    <w:p>
      <w:pPr>
        <w:pStyle w:val="Heading3"/>
        <w:spacing w:before="280" w:after="100"/>
      </w:pPr>
      <w:r>
        <w:rPr>
          <w:rFonts w:ascii="IBM Plex Sans" w:cs="IBM Plex Sans" w:eastAsia="IBM Plex Sans" w:hAnsi="IBM Plex Sans"/>
          <w:b/>
          <w:bCs/>
          <w:color w:val="2A2F3C"/>
          <w:sz w:val="26"/>
          <w:szCs w:val="26"/>
        </w:rPr>
        <w:t xml:space="preserve">Arrival animation</w:t>
      </w:r>
    </w:p>
    <w:p>
      <w:pPr>
        <w:spacing w:before="0" w:after="160" w:line="288"/>
      </w:pPr>
      <w:r>
        <w:rPr>
          <w:rFonts w:ascii="IBM Plex Sans" w:cs="IBM Plex Sans" w:eastAsia="IBM Plex Sans" w:hAnsi="IBM Plex Sans"/>
          <w:b w:val="false"/>
          <w:bCs w:val="false"/>
          <w:i w:val="false"/>
          <w:iCs w:val="false"/>
          <w:color w:val="24272E"/>
          <w:sz w:val="21"/>
          <w:szCs w:val="21"/>
        </w:rPr>
        <w:t xml:space="preserve">When a new deal enters the list, it should announce itself with a brief shimmer animation: a horizontal light sweep across the row, lasting around 400ms, that plays exactly once and then settles. This is the kind of orchestrated, purposeful motion the guidelines call for—a single well-timed reveal that creates delight without ongoing distraction. The shimmer should use the tier’s accent colour (gold for grails, cyan for hits, orange for flips) so the user instantly knows the calibre of the new arrival before reading any text.</w:t>
      </w:r>
    </w:p>
    <w:p>
      <w:pPr>
        <w:pStyle w:val="Heading3"/>
        <w:spacing w:before="280" w:after="100"/>
      </w:pPr>
      <w:r>
        <w:rPr>
          <w:rFonts w:ascii="IBM Plex Sans" w:cs="IBM Plex Sans" w:eastAsia="IBM Plex Sans" w:hAnsi="IBM Plex Sans"/>
          <w:b/>
          <w:bCs/>
          <w:color w:val="2A2F3C"/>
          <w:sz w:val="26"/>
          <w:szCs w:val="26"/>
        </w:rPr>
        <w:t xml:space="preserve">Persistent freshness indicator</w:t>
      </w:r>
    </w:p>
    <w:p>
      <w:pPr>
        <w:spacing w:before="0" w:after="160" w:line="288"/>
      </w:pPr>
      <w:r>
        <w:rPr>
          <w:rFonts w:ascii="IBM Plex Sans" w:cs="IBM Plex Sans" w:eastAsia="IBM Plex Sans" w:hAnsi="IBM Plex Sans"/>
          <w:b w:val="false"/>
          <w:bCs w:val="false"/>
          <w:i w:val="false"/>
          <w:iCs w:val="false"/>
          <w:color w:val="24272E"/>
          <w:sz w:val="21"/>
          <w:szCs w:val="21"/>
        </w:rPr>
        <w:t xml:space="preserve">After the arrival animation completes, fresh deals (under a configurable threshold, defaulting to five minutes) retain a vertical accent line on the left edge of the row. This line fades over sixty seconds via a CSS opacity animation, creating a subtle but unmissable visual pulse for recent opportunities.</w:t>
      </w:r>
    </w:p>
    <w:p>
      <w:pPr>
        <w:pStyle w:val="Heading3"/>
        <w:spacing w:before="280" w:after="100"/>
      </w:pPr>
      <w:r>
        <w:rPr>
          <w:rFonts w:ascii="IBM Plex Sans" w:cs="IBM Plex Sans" w:eastAsia="IBM Plex Sans" w:hAnsi="IBM Plex Sans"/>
          <w:b/>
          <w:bCs/>
          <w:color w:val="2A2F3C"/>
          <w:sz w:val="26"/>
          <w:szCs w:val="26"/>
        </w:rPr>
        <w:t xml:space="preserve">Timestamp format</w:t>
      </w:r>
    </w:p>
    <w:p>
      <w:pPr>
        <w:spacing w:before="0" w:after="160" w:line="288"/>
      </w:pPr>
      <w:r>
        <w:rPr>
          <w:rFonts w:ascii="IBM Plex Sans" w:cs="IBM Plex Sans" w:eastAsia="IBM Plex Sans" w:hAnsi="IBM Plex Sans"/>
          <w:b w:val="false"/>
          <w:bCs w:val="false"/>
          <w:i w:val="false"/>
          <w:iCs w:val="false"/>
          <w:color w:val="24272E"/>
          <w:sz w:val="21"/>
          <w:szCs w:val="21"/>
        </w:rPr>
        <w:t xml:space="preserve">Timestamps should use relative format (“just now,” “2m ago,” “1h ago”) rather than bare numbers to reduce cognitive load. Consider a very subtle background luminosity shift on fresh rows—a faint glow that decays—to further differentiate recent arrivals from stale ones in the list.</w:t>
      </w:r>
    </w:p>
    <w:p>
      <w:pPr>
        <w:pStyle w:val="Heading2"/>
        <w:spacing w:before="400" w:after="140"/>
      </w:pPr>
      <w:r>
        <w:rPr>
          <w:rFonts w:ascii="IBM Plex Sans" w:cs="IBM Plex Sans" w:eastAsia="IBM Plex Sans" w:hAnsi="IBM Plex Sans"/>
          <w:b/>
          <w:bCs/>
          <w:color w:val="1A1D26"/>
          <w:sz w:val="32"/>
          <w:szCs w:val="32"/>
        </w:rPr>
        <w:t xml:space="preserve">1.4  Typography &amp; Visual System</w:t>
      </w:r>
    </w:p>
    <w:p>
      <w:pPr>
        <w:spacing w:before="0" w:after="160" w:line="288"/>
      </w:pPr>
      <w:r>
        <w:rPr>
          <w:rFonts w:ascii="IBM Plex Sans" w:cs="IBM Plex Sans" w:eastAsia="IBM Plex Sans" w:hAnsi="IBM Plex Sans"/>
          <w:b w:val="false"/>
          <w:bCs w:val="false"/>
          <w:i w:val="false"/>
          <w:iCs w:val="false"/>
          <w:color w:val="24272E"/>
          <w:sz w:val="21"/>
          <w:szCs w:val="21"/>
        </w:rPr>
        <w:t xml:space="preserve">The current dashboard uses a single font at similar weights and sizes throughout, creating a flat reading experience. For a tool where numbers are the product, the profit figures should be dramatically more prominent than surrounding text. The font selection should also reflect the product’s unique context: this is a Pokémon card trading tool with a terminal-like dark aesthetic, not a generic SaaS dashboard.</w:t>
      </w:r>
    </w:p>
    <w:p>
      <w:pPr>
        <w:spacing w:before="80" w:after="0"/>
      </w:pPr>
    </w:p>
    <w:p>
      <w:pPr>
        <w:spacing w:before="320" w:after="100"/>
      </w:pPr>
      <w:r>
        <w:rPr>
          <w:rFonts w:ascii="IBM Plex Mono" w:cs="IBM Plex Mono" w:eastAsia="IBM Plex Mono" w:hAnsi="IBM Plex Mono"/>
          <w:color w:val="8890A0"/>
          <w:spacing w:val="140"/>
          <w:sz w:val="14"/>
          <w:szCs w:val="14"/>
        </w:rPr>
        <w:t xml:space="preserve">FONT SELECTION</w:t>
      </w:r>
    </w:p>
    <w:p>
      <w:pPr>
        <w:spacing w:before="0" w:after="160" w:line="288"/>
      </w:pPr>
      <w:r>
        <w:rPr>
          <w:rFonts w:ascii="IBM Plex Sans" w:cs="IBM Plex Sans" w:eastAsia="IBM Plex Sans" w:hAnsi="IBM Plex Sans"/>
          <w:b w:val="false"/>
          <w:bCs w:val="false"/>
          <w:i w:val="false"/>
          <w:iCs w:val="false"/>
          <w:color w:val="24272E"/>
          <w:sz w:val="21"/>
          <w:szCs w:val="21"/>
        </w:rPr>
        <w:t xml:space="preserve">Rather than defaulting to a safe technical pairing, the typography should balance two signals: the precision of financial data and the collectible, editorial quality of Pokémon cards. Two directions are worth exploring:</w:t>
      </w:r>
    </w:p>
    <w:p>
      <w:pPr>
        <w:spacing w:before="60" w:after="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00A5E8" w:sz="10"/>
              <w:bottom w:val="none" w:color="FFFFFF" w:sz="0"/>
              <w:right w:val="none" w:color="FFFFFF" w:sz="0"/>
            </w:tcBorders>
            <w:shd w:fill="EEF8FF" w:val="clear"/>
            <w:tcMar>
              <w:top w:type="dxa" w:w="180"/>
              <w:left w:type="dxa" w:w="280"/>
              <w:bottom w:type="dxa" w:w="180"/>
              <w:right w:type="dxa" w:w="280"/>
            </w:tcMar>
          </w:tcPr>
          <w:p>
            <w:pPr>
              <w:spacing w:after="80"/>
            </w:pPr>
            <w:r>
              <w:rPr>
                <w:rFonts w:ascii="IBM Plex Mono" w:cs="IBM Plex Mono" w:eastAsia="IBM Plex Mono" w:hAnsi="IBM Plex Mono"/>
                <w:b/>
                <w:bCs/>
                <w:color w:val="00A5E8"/>
                <w:sz w:val="19"/>
                <w:szCs w:val="19"/>
              </w:rPr>
              <w:t xml:space="preserve">OPTION A — EDITORIAL + CODE</w:t>
            </w:r>
          </w:p>
          <w:p>
            <w:pPr>
              <w:spacing w:after="0" w:line="276"/>
            </w:pPr>
            <w:r>
              <w:rPr>
                <w:rFonts w:ascii="IBM Plex Sans" w:cs="IBM Plex Sans" w:eastAsia="IBM Plex Sans" w:hAnsi="IBM Plex Sans"/>
                <w:color w:val="24272E"/>
                <w:sz w:val="21"/>
                <w:szCs w:val="21"/>
              </w:rPr>
              <w:t xml:space="preserve">Newsreader for card names and headings (serif, editorial, gives cards a collectible gravitas) paired with Fira Code for all numerical data (monospace, tabular figures, ligatures for operators like → and ×). This combination creates high contrast between the “object” (the card as a collectible) and the “data” (the arbitrage numbers).</w:t>
            </w:r>
          </w:p>
        </w:tc>
      </w:tr>
    </w:tbl>
    <w:p>
      <w:pPr>
        <w:spacing w:before="80" w:after="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E89B00" w:sz="10"/>
              <w:bottom w:val="none" w:color="FFFFFF" w:sz="0"/>
              <w:right w:val="none" w:color="FFFFFF" w:sz="0"/>
            </w:tcBorders>
            <w:shd w:fill="FFF8E8" w:val="clear"/>
            <w:tcMar>
              <w:top w:type="dxa" w:w="180"/>
              <w:left w:type="dxa" w:w="280"/>
              <w:bottom w:type="dxa" w:w="180"/>
              <w:right w:type="dxa" w:w="280"/>
            </w:tcMar>
          </w:tcPr>
          <w:p>
            <w:pPr>
              <w:spacing w:after="80"/>
            </w:pPr>
            <w:r>
              <w:rPr>
                <w:rFonts w:ascii="IBM Plex Mono" w:cs="IBM Plex Mono" w:eastAsia="IBM Plex Mono" w:hAnsi="IBM Plex Mono"/>
                <w:b/>
                <w:bCs/>
                <w:color w:val="E89B00"/>
                <w:sz w:val="19"/>
                <w:szCs w:val="19"/>
              </w:rPr>
              <w:t xml:space="preserve">OPTION B — DISTINCTIVE SANS + MONO</w:t>
            </w:r>
          </w:p>
          <w:p>
            <w:pPr>
              <w:spacing w:after="0" w:line="276"/>
            </w:pPr>
            <w:r>
              <w:rPr>
                <w:rFonts w:ascii="IBM Plex Sans" w:cs="IBM Plex Sans" w:eastAsia="IBM Plex Sans" w:hAnsi="IBM Plex Sans"/>
                <w:color w:val="24272E"/>
                <w:sz w:val="21"/>
                <w:szCs w:val="21"/>
              </w:rPr>
              <w:t xml:space="preserve">Bricolage Grotesque for card names and UI labels (geometric sans with personality, avoids the genericness of Inter/Roboto) paired with JetBrains Mono for numerical data. This option is more conventional but still distinctive—Bricolage has enough character to set the interface apart from standard dashboards.</w:t>
            </w:r>
          </w:p>
        </w:tc>
      </w:tr>
    </w:tbl>
    <w:p>
      <w:pPr>
        <w:spacing w:before="100" w:after="0"/>
      </w:pPr>
    </w:p>
    <w:p>
      <w:pPr>
        <w:spacing w:before="320" w:after="100"/>
      </w:pPr>
      <w:r>
        <w:rPr>
          <w:rFonts w:ascii="IBM Plex Mono" w:cs="IBM Plex Mono" w:eastAsia="IBM Plex Mono" w:hAnsi="IBM Plex Mono"/>
          <w:color w:val="8890A0"/>
          <w:spacing w:val="140"/>
          <w:sz w:val="14"/>
          <w:szCs w:val="14"/>
        </w:rPr>
        <w:t xml:space="preserve">WEIGHT &amp; SCALE RULES</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Weight extremes: </w:t>
      </w:r>
      <w:r>
        <w:rPr>
          <w:rFonts w:ascii="IBM Plex Sans" w:cs="IBM Plex Sans" w:eastAsia="IBM Plex Sans" w:hAnsi="IBM Plex Sans"/>
          <w:color w:val="24272E"/>
          <w:sz w:val="21"/>
          <w:szCs w:val="21"/>
        </w:rPr>
        <w:t xml:space="preserve">use 200 (extra-light) for secondary labels and tertiary text, 700–800 (bold/extra-bold) for profit figures and key data. Avoid the 400–600 mid-range where everything looks the same.</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Size jumps of approximately 3×: </w:t>
      </w:r>
      <w:r>
        <w:rPr>
          <w:rFonts w:ascii="IBM Plex Sans" w:cs="IBM Plex Sans" w:eastAsia="IBM Plex Sans" w:hAnsi="IBM Plex Sans"/>
          <w:color w:val="24272E"/>
          <w:sz w:val="21"/>
          <w:szCs w:val="21"/>
        </w:rPr>
        <w:t xml:space="preserve">the detail panel profit figure should be roughly three times the body text size. Timid 1.5× jumps fail to create meaningful hierarchy.</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Tabular figures everywhere: </w:t>
      </w:r>
      <w:r>
        <w:rPr>
          <w:rFonts w:ascii="IBM Plex Sans" w:cs="IBM Plex Sans" w:eastAsia="IBM Plex Sans" w:hAnsi="IBM Plex Sans"/>
          <w:color w:val="24272E"/>
          <w:sz w:val="21"/>
          <w:szCs w:val="21"/>
        </w:rPr>
        <w:t xml:space="preserve">all numerical data must use a monospace or tabular-figures font so columns of prices align perfectly. Proportional figures in price columns are a readability failure.</w:t>
      </w:r>
    </w:p>
    <w:p>
      <w:pPr>
        <w:spacing w:before="80" w:after="0"/>
      </w:pPr>
    </w:p>
    <w:p>
      <w:pPr>
        <w:spacing w:before="0" w:after="160" w:line="288"/>
      </w:pPr>
      <w:r>
        <w:rPr>
          <w:rFonts w:ascii="IBM Plex Sans" w:cs="IBM Plex Sans" w:eastAsia="IBM Plex Sans" w:hAnsi="IBM Plex Sans"/>
          <w:b w:val="false"/>
          <w:bCs w:val="false"/>
          <w:i w:val="false"/>
          <w:iCs w:val="false"/>
          <w:color w:val="24272E"/>
          <w:sz w:val="21"/>
          <w:szCs w:val="21"/>
        </w:rPr>
        <w:t xml:space="preserve">The dark theme is appropriate for the trading terminal context and should be retained. The background benefits from a subtle grid pattern overlay for depth, with a faint radial glow behind key UI elements like the detail panel hero section. Staggered entry animations on page load (each row appearing 50ms after the previous) create a polished initial impression.</w:t>
      </w:r>
    </w:p>
    <w:p>
      <w:pPr>
        <w:pBdr>
          <w:bottom w:val="single" w:color="0B6E3F" w:sz="2"/>
        </w:pBdr>
        <w:spacing w:before="600" w:after="60"/>
      </w:pPr>
      <w:r>
        <w:rPr>
          <w:rFonts w:ascii="IBM Plex Mono" w:cs="IBM Plex Mono" w:eastAsia="IBM Plex Mono" w:hAnsi="IBM Plex Mono"/>
          <w:b/>
          <w:bCs/>
          <w:color w:val="0B6E3F"/>
          <w:spacing w:val="200"/>
          <w:sz w:val="14"/>
          <w:szCs w:val="14"/>
        </w:rPr>
        <w:t xml:space="preserve">PART 2</w:t>
      </w:r>
    </w:p>
    <w:p>
      <w:pPr>
        <w:pStyle w:val="Heading1"/>
        <w:spacing w:before="480" w:after="180"/>
      </w:pPr>
      <w:r>
        <w:rPr>
          <w:rFonts w:ascii="IBM Plex Sans" w:cs="IBM Plex Sans" w:eastAsia="IBM Plex Sans" w:hAnsi="IBM Plex Sans"/>
          <w:b/>
          <w:bCs/>
          <w:color w:val="0C0E12"/>
          <w:sz w:val="44"/>
          <w:szCs w:val="44"/>
        </w:rPr>
        <w:t xml:space="preserve">Deal Detail Panel</w:t>
      </w:r>
    </w:p>
    <w:p>
      <w:pPr>
        <w:spacing w:before="0" w:after="200" w:line="300"/>
      </w:pPr>
      <w:r>
        <w:rPr>
          <w:rFonts w:ascii="IBM Plex Sans" w:cs="IBM Plex Sans" w:eastAsia="IBM Plex Sans" w:hAnsi="IBM Plex Sans"/>
          <w:i/>
          <w:iCs/>
          <w:color w:val="5A6070"/>
          <w:sz w:val="24"/>
          <w:szCs w:val="24"/>
        </w:rPr>
        <w:t xml:space="preserve">The detail panel is where the user makes their final buy/pass decision. It needs to answer three questions fast: is this the right card, is the profit real, and how confident should I be?</w:t>
      </w:r>
    </w:p>
    <w:p>
      <w:pPr>
        <w:pStyle w:val="Heading2"/>
        <w:spacing w:before="400" w:after="140"/>
      </w:pPr>
      <w:r>
        <w:rPr>
          <w:rFonts w:ascii="IBM Plex Sans" w:cs="IBM Plex Sans" w:eastAsia="IBM Plex Sans" w:hAnsi="IBM Plex Sans"/>
          <w:b/>
          <w:bCs/>
          <w:color w:val="1A1D26"/>
          <w:sz w:val="32"/>
          <w:szCs w:val="32"/>
        </w:rPr>
        <w:t xml:space="preserve">2.1  Header with Expansion Identity</w:t>
      </w:r>
    </w:p>
    <w:p>
      <w:pPr>
        <w:spacing w:before="0" w:after="160" w:line="288"/>
      </w:pPr>
      <w:r>
        <w:rPr>
          <w:rFonts w:ascii="IBM Plex Sans" w:cs="IBM Plex Sans" w:eastAsia="IBM Plex Sans" w:hAnsi="IBM Plex Sans"/>
          <w:b w:val="false"/>
          <w:bCs w:val="false"/>
          <w:i w:val="false"/>
          <w:iCs w:val="false"/>
          <w:color w:val="24272E"/>
          <w:sz w:val="21"/>
          <w:szCs w:val="21"/>
        </w:rPr>
        <w:t xml:space="preserve">The current header shows the card name, number, and a close button. The set name appears separately below the card image. This should be consolidated into a compact header block that incorporates the expansion’s visual identity.</w:t>
      </w:r>
    </w:p>
    <w:p>
      <w:pPr>
        <w:spacing w:before="80" w:after="0"/>
      </w:pPr>
    </w:p>
    <w:p>
      <w:pPr>
        <w:spacing w:before="320" w:after="100"/>
      </w:pPr>
      <w:r>
        <w:rPr>
          <w:rFonts w:ascii="IBM Plex Mono" w:cs="IBM Plex Mono" w:eastAsia="IBM Plex Mono" w:hAnsi="IBM Plex Mono"/>
          <w:color w:val="8890A0"/>
          <w:spacing w:val="140"/>
          <w:sz w:val="14"/>
          <w:szCs w:val="14"/>
        </w:rPr>
        <w:t xml:space="preserve">PROPOSED HEADER LAYOUT</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Tier badge </w:t>
      </w:r>
      <w:r>
        <w:rPr>
          <w:rFonts w:ascii="IBM Plex Sans" w:cs="IBM Plex Sans" w:eastAsia="IBM Plex Sans" w:hAnsi="IBM Plex Sans"/>
          <w:color w:val="24272E"/>
          <w:sz w:val="21"/>
          <w:szCs w:val="21"/>
        </w:rPr>
        <w:t xml:space="preserve">(“Grail Territory” or “Solid Hit”) as a prominent pill with semantic colour and border at the top of the header.</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Card name </w:t>
      </w:r>
      <w:r>
        <w:rPr>
          <w:rFonts w:ascii="IBM Plex Sans" w:cs="IBM Plex Sans" w:eastAsia="IBM Plex Sans" w:hAnsi="IBM Plex Sans"/>
          <w:color w:val="24272E"/>
          <w:sz w:val="21"/>
          <w:szCs w:val="21"/>
        </w:rPr>
        <w:t xml:space="preserve">at 1.5rem, bold, immediately below the tier badge.</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Metadata line: </w:t>
      </w:r>
      <w:r>
        <w:rPr>
          <w:rFonts w:ascii="IBM Plex Sans" w:cs="IBM Plex Sans" w:eastAsia="IBM Plex Sans" w:hAnsi="IBM Plex Sans"/>
          <w:color w:val="24272E"/>
          <w:sz w:val="21"/>
          <w:szCs w:val="21"/>
        </w:rPr>
        <w:t xml:space="preserve">expansion logo (~60px wide) inline with set name, set code, card number, and condition badge. Example: [logo] Ascended Heroes (ASC) · #291 · NM.</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Context line: </w:t>
      </w:r>
      <w:r>
        <w:rPr>
          <w:rFonts w:ascii="IBM Plex Sans" w:cs="IBM Plex Sans" w:eastAsia="IBM Plex Sans" w:hAnsi="IBM Plex Sans"/>
          <w:color w:val="24272E"/>
          <w:sz w:val="21"/>
          <w:szCs w:val="21"/>
        </w:rPr>
        <w:t xml:space="preserve">release year, total cards in set, and era classification. Example: “2024 · 198 cards · Modern.” This helps users instantly gauge whether a set is vintage or modern.</w:t>
      </w:r>
    </w:p>
    <w:p>
      <w:pPr>
        <w:pStyle w:val="Heading2"/>
        <w:spacing w:before="400" w:after="140"/>
      </w:pPr>
      <w:r>
        <w:rPr>
          <w:rFonts w:ascii="IBM Plex Sans" w:cs="IBM Plex Sans" w:eastAsia="IBM Plex Sans" w:hAnsi="IBM Plex Sans"/>
          <w:b/>
          <w:bCs/>
          <w:color w:val="1A1D26"/>
          <w:sz w:val="32"/>
          <w:szCs w:val="32"/>
        </w:rPr>
        <w:t xml:space="preserve">2.2  Side-by-Side Visual Comparison</w:t>
      </w:r>
    </w:p>
    <w:p>
      <w:pPr>
        <w:spacing w:before="0" w:after="160" w:line="288"/>
      </w:pPr>
      <w:r>
        <w:rPr>
          <w:rFonts w:ascii="IBM Plex Sans" w:cs="IBM Plex Sans" w:eastAsia="IBM Plex Sans" w:hAnsi="IBM Plex Sans"/>
          <w:b w:val="false"/>
          <w:bCs w:val="false"/>
          <w:i w:val="false"/>
          <w:iCs w:val="false"/>
          <w:color w:val="24272E"/>
          <w:sz w:val="21"/>
          <w:szCs w:val="21"/>
        </w:rPr>
        <w:t xml:space="preserve">This is the single highest-impact addition to the detail panel. It replaces the single centred card image with a direct visual comparison between the eBay seller’s listing photo and the clean Scrydex API reference image.</w:t>
      </w:r>
    </w:p>
    <w:p>
      <w:pPr>
        <w:spacing w:before="80" w:after="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00A5E8" w:sz="10"/>
              <w:bottom w:val="none" w:color="FFFFFF" w:sz="0"/>
              <w:right w:val="none" w:color="FFFFFF" w:sz="0"/>
            </w:tcBorders>
            <w:shd w:fill="EEF8FF" w:val="clear"/>
            <w:tcMar>
              <w:top w:type="dxa" w:w="180"/>
              <w:left w:type="dxa" w:w="280"/>
              <w:bottom w:type="dxa" w:w="180"/>
              <w:right w:type="dxa" w:w="280"/>
            </w:tcMar>
          </w:tcPr>
          <w:p>
            <w:pPr>
              <w:spacing w:after="80"/>
            </w:pPr>
            <w:r>
              <w:rPr>
                <w:rFonts w:ascii="IBM Plex Mono" w:cs="IBM Plex Mono" w:eastAsia="IBM Plex Mono" w:hAnsi="IBM Plex Mono"/>
                <w:b/>
                <w:bCs/>
                <w:color w:val="00A5E8"/>
                <w:sz w:val="19"/>
                <w:szCs w:val="19"/>
              </w:rPr>
              <w:t xml:space="preserve">WHY THIS MATTERS</w:t>
            </w:r>
          </w:p>
          <w:p>
            <w:pPr>
              <w:spacing w:after="0" w:line="276"/>
            </w:pPr>
            <w:r>
              <w:rPr>
                <w:rFonts w:ascii="IBM Plex Sans" w:cs="IBM Plex Sans" w:eastAsia="IBM Plex Sans" w:hAnsi="IBM Plex Sans"/>
                <w:color w:val="24272E"/>
                <w:sz w:val="21"/>
                <w:szCs w:val="21"/>
              </w:rPr>
              <w:t xml:space="preserve">Visual diff is faster than reading match percentages. The current confidence section asks users to trust an abstract number. Putting the two images side by side turns confidence from a metric into an experience. The user becomes the final verification layer, which is exactly right for a tool where acting on a bad match means buying the wrong card.</w:t>
            </w:r>
          </w:p>
        </w:tc>
      </w:tr>
    </w:tbl>
    <w:p>
      <w:pPr>
        <w:spacing w:before="100" w:after="0"/>
      </w:pPr>
    </w:p>
    <w:p>
      <w:pPr>
        <w:spacing w:before="320" w:after="100"/>
      </w:pPr>
      <w:r>
        <w:rPr>
          <w:rFonts w:ascii="IBM Plex Mono" w:cs="IBM Plex Mono" w:eastAsia="IBM Plex Mono" w:hAnsi="IBM Plex Mono"/>
          <w:color w:val="8890A0"/>
          <w:spacing w:val="140"/>
          <w:sz w:val="14"/>
          <w:szCs w:val="14"/>
        </w:rPr>
        <w:t xml:space="preserve">IMPLEMENTATION DETAILS</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Layout: </w:t>
      </w:r>
      <w:r>
        <w:rPr>
          <w:rFonts w:ascii="IBM Plex Sans" w:cs="IBM Plex Sans" w:eastAsia="IBM Plex Sans" w:hAnsi="IBM Plex Sans"/>
          <w:color w:val="24272E"/>
          <w:sz w:val="21"/>
          <w:szCs w:val="21"/>
        </w:rPr>
        <w:t xml:space="preserve">two images at equal size (~150px tall) in a shared container with a subtle inset background. Left labelled “eBay Listing” in small monospace text, right labelled “Scrydex Ref.”</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Inspection mat background: </w:t>
      </w:r>
      <w:r>
        <w:rPr>
          <w:rFonts w:ascii="IBM Plex Sans" w:cs="IBM Plex Sans" w:eastAsia="IBM Plex Sans" w:hAnsi="IBM Plex Sans"/>
          <w:color w:val="24272E"/>
          <w:sz w:val="21"/>
          <w:szCs w:val="21"/>
        </w:rPr>
        <w:t xml:space="preserve">the comparison container should have a deliberate visual treatment—a subtle crosshatch or fine grid background referencing the felt mats used in professional card grading and inspection. This contextual texture ties the UI to the product’s domain and adds atmosphere without being decorative for its own sake.</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eBay image: </w:t>
      </w:r>
      <w:r>
        <w:rPr>
          <w:rFonts w:ascii="IBM Plex Sans" w:cs="IBM Plex Sans" w:eastAsia="IBM Plex Sans" w:hAnsi="IBM Plex Sans"/>
          <w:color w:val="24272E"/>
          <w:sz w:val="21"/>
          <w:szCs w:val="21"/>
        </w:rPr>
        <w:t xml:space="preserve">raw and unprocessed—whatever the seller uploaded. Crooked photo, bad lighting, kitchen table background. Show it honestly.</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Scrydex image: </w:t>
      </w:r>
      <w:r>
        <w:rPr>
          <w:rFonts w:ascii="IBM Plex Sans" w:cs="IBM Plex Sans" w:eastAsia="IBM Plex Sans" w:hAnsi="IBM Plex Sans"/>
          <w:color w:val="24272E"/>
          <w:sz w:val="21"/>
          <w:szCs w:val="21"/>
        </w:rPr>
        <w:t xml:space="preserve">the pristine, high-resolution scan from the API. This is the ground truth.</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Zoom: </w:t>
      </w:r>
      <w:r>
        <w:rPr>
          <w:rFonts w:ascii="IBM Plex Sans" w:cs="IBM Plex Sans" w:eastAsia="IBM Plex Sans" w:hAnsi="IBM Plex Sans"/>
          <w:color w:val="24272E"/>
          <w:sz w:val="21"/>
          <w:szCs w:val="21"/>
        </w:rPr>
        <w:t xml:space="preserve">hover or tap-to-zoom on each image independently. Both zoom panels appear at the same size and position so the eye can flick between them to inspect holo patterns, set symbols, and edge wear.</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Overlay toggle: </w:t>
      </w:r>
      <w:r>
        <w:rPr>
          <w:rFonts w:ascii="IBM Plex Sans" w:cs="IBM Plex Sans" w:eastAsia="IBM Plex Sans" w:hAnsi="IBM Plex Sans"/>
          <w:color w:val="24272E"/>
          <w:sz w:val="21"/>
          <w:szCs w:val="21"/>
        </w:rPr>
        <w:t xml:space="preserve">a small button between the images swaps from side-by-side to an overlay mode where the Scrydex image sits on top at 50% opacity. Borrowed from image diffing tools—makes mismatches in art, borders, or set symbols instantly visible. If the expansion logo or card number doesn’t match, the overlay makes it obvious.</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Multiple seller photos: </w:t>
      </w:r>
      <w:r>
        <w:rPr>
          <w:rFonts w:ascii="IBM Plex Sans" w:cs="IBM Plex Sans" w:eastAsia="IBM Plex Sans" w:hAnsi="IBM Plex Sans"/>
          <w:color w:val="24272E"/>
          <w:sz w:val="21"/>
          <w:szCs w:val="21"/>
        </w:rPr>
        <w:t xml:space="preserve">if the eBay listing has multiple images, show dot indicators below the left image to cycle through them. If no seller photo exists, show a “No listing image” placeholder with a warning badge and bump the visual confidence down.</w:t>
      </w:r>
    </w:p>
    <w:p>
      <w:pPr>
        <w:pStyle w:val="Heading2"/>
        <w:spacing w:before="400" w:after="140"/>
      </w:pPr>
      <w:r>
        <w:rPr>
          <w:rFonts w:ascii="IBM Plex Sans" w:cs="IBM Plex Sans" w:eastAsia="IBM Plex Sans" w:hAnsi="IBM Plex Sans"/>
          <w:b/>
          <w:bCs/>
          <w:color w:val="1A1D26"/>
          <w:sz w:val="32"/>
          <w:szCs w:val="32"/>
        </w:rPr>
        <w:t xml:space="preserve">2.3  Profit Hero Block</w:t>
      </w:r>
    </w:p>
    <w:p>
      <w:pPr>
        <w:spacing w:before="0" w:after="160" w:line="288"/>
      </w:pPr>
      <w:r>
        <w:rPr>
          <w:rFonts w:ascii="IBM Plex Sans" w:cs="IBM Plex Sans" w:eastAsia="IBM Plex Sans" w:hAnsi="IBM Plex Sans"/>
          <w:b w:val="false"/>
          <w:bCs w:val="false"/>
          <w:i w:val="false"/>
          <w:iCs w:val="false"/>
          <w:color w:val="24272E"/>
          <w:sz w:val="21"/>
          <w:szCs w:val="21"/>
        </w:rPr>
        <w:t xml:space="preserve">The current profit display is effective—the large green number dominates the section. Keep it. But this block should do more than display a number: it should communicate the emotional weight of the deal through tier-specific visual treatment.</w:t>
      </w:r>
    </w:p>
    <w:p>
      <w:pPr>
        <w:spacing w:before="80" w:after="0"/>
      </w:pPr>
    </w:p>
    <w:p>
      <w:pPr>
        <w:pStyle w:val="Heading3"/>
        <w:spacing w:before="280" w:after="100"/>
      </w:pPr>
      <w:r>
        <w:rPr>
          <w:rFonts w:ascii="IBM Plex Sans" w:cs="IBM Plex Sans" w:eastAsia="IBM Plex Sans" w:hAnsi="IBM Plex Sans"/>
          <w:b/>
          <w:bCs/>
          <w:color w:val="2A2F3C"/>
          <w:sz w:val="26"/>
          <w:szCs w:val="26"/>
        </w:rPr>
        <w:t xml:space="preserve">Tier-specific visual drama</w:t>
      </w:r>
    </w:p>
    <w:p>
      <w:pPr>
        <w:spacing w:before="0" w:after="160" w:line="288"/>
      </w:pPr>
      <w:r>
        <w:rPr>
          <w:rFonts w:ascii="IBM Plex Sans" w:cs="IBM Plex Sans" w:eastAsia="IBM Plex Sans" w:hAnsi="IBM Plex Sans"/>
          <w:b w:val="false"/>
          <w:bCs w:val="false"/>
          <w:i w:val="false"/>
          <w:iCs w:val="false"/>
          <w:color w:val="24272E"/>
          <w:sz w:val="21"/>
          <w:szCs w:val="21"/>
        </w:rPr>
        <w:t xml:space="preserve">Not every deal deserves the same visual intensity. For grail-tier deals, the profit block should have a subtle animated gradient background—a slow-moving mesh of gold and green that pulses gently behind the number, creating a sense of rarity and urgency. For hit-tier deals, a static but vivid green glow is sufficient. For flips and sleeps, the profit number stands alone on a clean background with no additional treatment. This graduated intensity maps the visual language directly to the user’s emotional response: grails are rare and exciting, flips are routine.</w:t>
      </w:r>
    </w:p>
    <w:p>
      <w:pPr>
        <w:pStyle w:val="Heading3"/>
        <w:spacing w:before="280" w:after="100"/>
      </w:pPr>
      <w:r>
        <w:rPr>
          <w:rFonts w:ascii="IBM Plex Sans" w:cs="IBM Plex Sans" w:eastAsia="IBM Plex Sans" w:hAnsi="IBM Plex Sans"/>
          <w:b/>
          <w:bCs/>
          <w:color w:val="2A2F3C"/>
          <w:sz w:val="26"/>
          <w:szCs w:val="26"/>
        </w:rPr>
        <w:t xml:space="preserve">Trend sparkline</w:t>
      </w:r>
    </w:p>
    <w:p>
      <w:pPr>
        <w:spacing w:before="0" w:after="160" w:line="288"/>
      </w:pPr>
      <w:r>
        <w:rPr>
          <w:rFonts w:ascii="IBM Plex Sans" w:cs="IBM Plex Sans" w:eastAsia="IBM Plex Sans" w:hAnsi="IBM Plex Sans"/>
          <w:b w:val="false"/>
          <w:bCs w:val="false"/>
          <w:i w:val="false"/>
          <w:iCs w:val="false"/>
          <w:color w:val="24272E"/>
          <w:sz w:val="21"/>
          <w:szCs w:val="21"/>
        </w:rPr>
        <w:t xml:space="preserve">Add a tiny inline 7-day sparkline (~40px wide) next to the percentage, showing whether the price spread is widening or compressing over time. An upward trend reinforces urgency; a downward trend signals caution. The sparkline should not compete with the profit number—it’s supplementary context, not a primary data point.</w:t>
      </w:r>
    </w:p>
    <w:p>
      <w:pPr>
        <w:pStyle w:val="Heading2"/>
        <w:spacing w:before="400" w:after="140"/>
      </w:pPr>
      <w:r>
        <w:rPr>
          <w:rFonts w:ascii="IBM Plex Sans" w:cs="IBM Plex Sans" w:eastAsia="IBM Plex Sans" w:hAnsi="IBM Plex Sans"/>
          <w:b/>
          <w:bCs/>
          <w:color w:val="1A1D26"/>
          <w:sz w:val="32"/>
          <w:szCs w:val="32"/>
        </w:rPr>
        <w:t xml:space="preserve">2.4  Call to Action</w:t>
      </w:r>
    </w:p>
    <w:p>
      <w:pPr>
        <w:spacing w:before="0" w:after="160" w:line="288"/>
      </w:pPr>
      <w:r>
        <w:rPr>
          <w:rFonts w:ascii="IBM Plex Sans" w:cs="IBM Plex Sans" w:eastAsia="IBM Plex Sans" w:hAnsi="IBM Plex Sans"/>
          <w:b w:val="false"/>
          <w:bCs w:val="false"/>
          <w:i w:val="false"/>
          <w:iCs w:val="false"/>
          <w:color w:val="24272E"/>
          <w:sz w:val="21"/>
          <w:szCs w:val="21"/>
        </w:rPr>
        <w:t xml:space="preserve">The “SNAG ON EBAY” button is well-positioned and well-worded. Keep it exactly where it is, immediately after the profit block. On hover, add a subtle glow and upward translate to reinforce clickability. The inline Snag button on each deal row (section 1.2) provides a secondary access path for confident users.</w:t>
      </w:r>
    </w:p>
    <w:p>
      <w:pPr>
        <w:pStyle w:val="Heading2"/>
        <w:spacing w:before="400" w:after="140"/>
      </w:pPr>
      <w:r>
        <w:rPr>
          <w:rFonts w:ascii="IBM Plex Sans" w:cs="IBM Plex Sans" w:eastAsia="IBM Plex Sans" w:hAnsi="IBM Plex Sans"/>
          <w:b/>
          <w:bCs/>
          <w:color w:val="1A1D26"/>
          <w:sz w:val="32"/>
          <w:szCs w:val="32"/>
        </w:rPr>
        <w:t xml:space="preserve">2.5  Simplified Pricing Breakdown</w:t>
      </w:r>
    </w:p>
    <w:p>
      <w:pPr>
        <w:spacing w:before="0" w:after="160" w:line="288"/>
      </w:pPr>
      <w:r>
        <w:rPr>
          <w:rFonts w:ascii="IBM Plex Sans" w:cs="IBM Plex Sans" w:eastAsia="IBM Plex Sans" w:hAnsi="IBM Plex Sans"/>
          <w:b w:val="false"/>
          <w:bCs w:val="false"/>
          <w:i w:val="false"/>
          <w:iCs w:val="false"/>
          <w:color w:val="24272E"/>
          <w:sz w:val="21"/>
          <w:szCs w:val="21"/>
        </w:rPr>
        <w:t xml:space="preserve">The current pricing section shows nine rows including USD market price, FX rate, and GBP market price. The user does not care about the conversion arithmetic—they care about the spread. Simplify to GBP only.</w:t>
      </w:r>
    </w:p>
    <w:p>
      <w:pPr>
        <w:spacing w:before="80" w:after="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none" w:color="FFFFFF" w:sz="0"/>
              <w:left w:val="none" w:color="FFFFFF" w:sz="0"/>
              <w:bottom w:val="single" w:color="E8445A" w:sz="3"/>
              <w:right w:val="none" w:color="FFFFFF" w:sz="0"/>
            </w:tcBorders>
            <w:shd w:fill="FFF0F2" w:val="clear"/>
            <w:tcMar>
              <w:top w:type="dxa" w:w="100"/>
              <w:left w:type="dxa" w:w="180"/>
              <w:bottom w:type="dxa" w:w="100"/>
              <w:right w:type="dxa" w:w="140"/>
            </w:tcMar>
          </w:tcPr>
          <w:p>
            <w:r>
              <w:rPr>
                <w:rFonts w:ascii="IBM Plex Mono" w:cs="IBM Plex Mono" w:eastAsia="IBM Plex Mono" w:hAnsi="IBM Plex Mono"/>
                <w:b/>
                <w:bCs/>
                <w:color w:val="E8445A"/>
                <w:spacing w:val="120"/>
                <w:sz w:val="14"/>
                <w:szCs w:val="14"/>
              </w:rPr>
              <w:t xml:space="preserve">CURRENT</w:t>
            </w:r>
          </w:p>
        </w:tc>
        <w:tc>
          <w:tcPr>
            <w:tcW w:type="dxa" w:w="4800"/>
            <w:tcBorders>
              <w:top w:val="none" w:color="FFFFFF" w:sz="0"/>
              <w:left w:val="none" w:color="FFFFFF" w:sz="0"/>
              <w:bottom w:val="single" w:color="0B6E3F" w:sz="3"/>
              <w:right w:val="none" w:color="FFFFFF" w:sz="0"/>
            </w:tcBorders>
            <w:shd w:fill="E8FFF4" w:val="clear"/>
            <w:tcMar>
              <w:top w:type="dxa" w:w="100"/>
              <w:left w:type="dxa" w:w="180"/>
              <w:bottom w:type="dxa" w:w="100"/>
              <w:right w:type="dxa" w:w="140"/>
            </w:tcMar>
          </w:tcPr>
          <w:p>
            <w:r>
              <w:rPr>
                <w:rFonts w:ascii="IBM Plex Mono" w:cs="IBM Plex Mono" w:eastAsia="IBM Plex Mono" w:hAnsi="IBM Plex Mono"/>
                <w:b/>
                <w:bCs/>
                <w:color w:val="0B6E3F"/>
                <w:spacing w:val="120"/>
                <w:sz w:val="14"/>
                <w:szCs w:val="14"/>
              </w:rPr>
              <w:t xml:space="preserve">PROPOSED</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eBay price — £15.08</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eBay price — £15.08</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Shipping — £2.70</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Shipping — £2.70</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Fees (inc.) — £1.16</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Fees (inc.) — £1.16</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Total cost — £18.94</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Total cost — £18.94</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Market (USD) — $89.91</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Market price — £65.80  ⓘ</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FX rate — ×0.732</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Profit — +£46.86</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Market (GBP) — £65.80</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6 rows total</w:t>
            </w:r>
          </w:p>
        </w:tc>
      </w:tr>
      <w:tr>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Profit — +£46.86</w:t>
            </w:r>
          </w:p>
        </w:tc>
        <w:tc>
          <w:tcPr>
            <w:tcW w:type="dxa" w:w="4800"/>
            <w:tcBorders>
              <w:top w:val="none" w:color="FFFFFF" w:sz="0"/>
              <w:left w:val="none" w:color="FFFFFF" w:sz="0"/>
              <w:bottom w:val="single" w:color="E6E8EE" w:sz="1"/>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
            </w:r>
          </w:p>
        </w:tc>
      </w:tr>
      <w:tr>
        <w:tc>
          <w:tcPr>
            <w:tcW w:type="dxa" w:w="4800"/>
            <w:tcBorders>
              <w:top w:val="none" w:color="FFFFFF" w:sz="0"/>
              <w:left w:val="none" w:color="FFFFFF" w:sz="0"/>
              <w:bottom w:val="none" w:color="FFFFFF" w:sz="0"/>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9 rows total</w:t>
            </w:r>
          </w:p>
        </w:tc>
        <w:tc>
          <w:tcPr>
            <w:tcW w:type="dxa" w:w="4800"/>
            <w:tcBorders>
              <w:top w:val="none" w:color="FFFFFF" w:sz="0"/>
              <w:left w:val="none" w:color="FFFFFF" w:sz="0"/>
              <w:bottom w:val="none" w:color="FFFFFF" w:sz="0"/>
              <w:right w:val="none" w:color="FFFFFF" w:sz="0"/>
            </w:tcBorders>
            <w:tcMar>
              <w:top w:type="dxa" w:w="70"/>
              <w:left w:type="dxa" w:w="180"/>
              <w:bottom w:type="dxa" w:w="70"/>
              <w:right w:type="dxa" w:w="140"/>
            </w:tcMar>
          </w:tcPr>
          <w:p>
            <w:pPr>
              <w:spacing w:after="0"/>
            </w:pPr>
            <w:r>
              <w:rPr>
                <w:rFonts w:ascii="IBM Plex Sans" w:cs="IBM Plex Sans" w:eastAsia="IBM Plex Sans" w:hAnsi="IBM Plex Sans"/>
                <w:color w:val="24272E"/>
                <w:sz w:val="19"/>
                <w:szCs w:val="19"/>
              </w:rPr>
              <w:t xml:space="preserve">ⓘ = tap to reveal USD source + FX rate</w:t>
            </w:r>
          </w:p>
        </w:tc>
      </w:tr>
    </w:tbl>
    <w:p>
      <w:pPr>
        <w:spacing w:before="100" w:after="0"/>
      </w:pPr>
    </w:p>
    <w:p>
      <w:pPr>
        <w:spacing w:before="0" w:after="160" w:line="288"/>
      </w:pPr>
      <w:r>
        <w:rPr>
          <w:rFonts w:ascii="IBM Plex Sans" w:cs="IBM Plex Sans" w:eastAsia="IBM Plex Sans" w:hAnsi="IBM Plex Sans"/>
          <w:b w:val="false"/>
          <w:bCs w:val="false"/>
          <w:i w:val="false"/>
          <w:iCs w:val="false"/>
          <w:color w:val="24272E"/>
          <w:sz w:val="21"/>
          <w:szCs w:val="21"/>
        </w:rPr>
        <w:t xml:space="preserve">The Market price row includes a small info icon that, on hover or tap, reveals the USD source price and FX rate for users who want to verify the conversion. This keeps the default view clean without hiding information.</w:t>
      </w:r>
    </w:p>
    <w:p>
      <w:pPr>
        <w:pStyle w:val="Heading2"/>
        <w:spacing w:before="400" w:after="140"/>
      </w:pPr>
      <w:r>
        <w:rPr>
          <w:rFonts w:ascii="IBM Plex Sans" w:cs="IBM Plex Sans" w:eastAsia="IBM Plex Sans" w:hAnsi="IBM Plex Sans"/>
          <w:b/>
          <w:bCs/>
          <w:color w:val="1A1D26"/>
          <w:sz w:val="32"/>
          <w:szCs w:val="32"/>
        </w:rPr>
        <w:t xml:space="preserve">2.6  Match Confidence</w:t>
      </w:r>
    </w:p>
    <w:p>
      <w:pPr>
        <w:spacing w:before="0" w:after="160" w:line="288"/>
      </w:pPr>
      <w:r>
        <w:rPr>
          <w:rFonts w:ascii="IBM Plex Sans" w:cs="IBM Plex Sans" w:eastAsia="IBM Plex Sans" w:hAnsi="IBM Plex Sans"/>
          <w:b w:val="false"/>
          <w:bCs w:val="false"/>
          <w:i w:val="false"/>
          <w:iCs w:val="false"/>
          <w:color w:val="24272E"/>
          <w:sz w:val="21"/>
          <w:szCs w:val="21"/>
        </w:rPr>
        <w:t xml:space="preserve">The confidence section is retained in full with its six trust value bars: Name, Number, Denom, Expan, Variant, and Extract. The headline percentage stays. Three changes are recommended.</w:t>
      </w:r>
    </w:p>
    <w:p>
      <w:pPr>
        <w:spacing w:before="80" w:after="0"/>
      </w:pPr>
    </w:p>
    <w:p>
      <w:pPr>
        <w:pStyle w:val="Heading3"/>
        <w:spacing w:before="280" w:after="100"/>
      </w:pPr>
      <w:r>
        <w:rPr>
          <w:rFonts w:ascii="IBM Plex Sans" w:cs="IBM Plex Sans" w:eastAsia="IBM Plex Sans" w:hAnsi="IBM Plex Sans"/>
          <w:b/>
          <w:bCs/>
          <w:color w:val="2A2F3C"/>
          <w:sz w:val="26"/>
          <w:szCs w:val="26"/>
        </w:rPr>
        <w:t xml:space="preserve">Animated reveal on panel open</w:t>
      </w:r>
    </w:p>
    <w:p>
      <w:pPr>
        <w:spacing w:before="0" w:after="160" w:line="288"/>
      </w:pPr>
      <w:r>
        <w:rPr>
          <w:rFonts w:ascii="IBM Plex Sans" w:cs="IBM Plex Sans" w:eastAsia="IBM Plex Sans" w:hAnsi="IBM Plex Sans"/>
          <w:b w:val="false"/>
          <w:bCs w:val="false"/>
          <w:i w:val="false"/>
          <w:iCs w:val="false"/>
          <w:color w:val="24272E"/>
          <w:sz w:val="21"/>
          <w:szCs w:val="21"/>
        </w:rPr>
        <w:t xml:space="preserve">When the detail panel opens or switches to a new deal, the confidence bars should animate from 0 to their target value with a staggered delay per row (roughly 60ms apart). This creates an orchestrated reveal moment—the user watches the confidence build up bar by bar, which is both informative (they see which factors are strong) and satisfying (it feels like the system is working). This is the same staggered-animation principle recommended for the deal list in section 1.3, applied consistently to the detail panel.</w:t>
      </w:r>
    </w:p>
    <w:p>
      <w:pPr>
        <w:spacing w:before="80" w:after="0"/>
      </w:pPr>
    </w:p>
    <w:p>
      <w:pPr>
        <w:pStyle w:val="Heading3"/>
        <w:spacing w:before="280" w:after="100"/>
      </w:pPr>
      <w:r>
        <w:rPr>
          <w:rFonts w:ascii="IBM Plex Sans" w:cs="IBM Plex Sans" w:eastAsia="IBM Plex Sans" w:hAnsi="IBM Plex Sans"/>
          <w:b/>
          <w:bCs/>
          <w:color w:val="2A2F3C"/>
          <w:sz w:val="26"/>
          <w:szCs w:val="26"/>
        </w:rPr>
        <w:t xml:space="preserve">Status icons per row</w:t>
      </w:r>
    </w:p>
    <w:p>
      <w:pPr>
        <w:spacing w:before="0" w:after="160" w:line="288"/>
      </w:pPr>
      <w:r>
        <w:rPr>
          <w:rFonts w:ascii="IBM Plex Sans" w:cs="IBM Plex Sans" w:eastAsia="IBM Plex Sans" w:hAnsi="IBM Plex Sans"/>
          <w:b w:val="false"/>
          <w:bCs w:val="false"/>
          <w:i w:val="false"/>
          <w:iCs w:val="false"/>
          <w:color w:val="24272E"/>
          <w:sz w:val="21"/>
          <w:szCs w:val="21"/>
        </w:rPr>
        <w:t xml:space="preserve">The 0% bars for Denom and Extract are ambiguous—it’s unclear whether 0% means “no match found” or “not applicable / no data.” Add a small status icon at the end of each bar: a checkmark for high-confidence matches (above 70%), a warning triangle for partial matches (1–69%), and a dash for 0% / not applicable. Colour them green, amber, and grey respectively. The bars still show exact percentages, but the icons provide an instant pass/warn/skip reading.</w:t>
      </w:r>
    </w:p>
    <w:p>
      <w:pPr>
        <w:spacing w:before="80" w:after="0"/>
      </w:pPr>
    </w:p>
    <w:p>
      <w:pPr>
        <w:pStyle w:val="Heading3"/>
        <w:spacing w:before="280" w:after="100"/>
      </w:pPr>
      <w:r>
        <w:rPr>
          <w:rFonts w:ascii="IBM Plex Sans" w:cs="IBM Plex Sans" w:eastAsia="IBM Plex Sans" w:hAnsi="IBM Plex Sans"/>
          <w:b/>
          <w:bCs/>
          <w:color w:val="2A2F3C"/>
          <w:sz w:val="26"/>
          <w:szCs w:val="26"/>
        </w:rPr>
        <w:t xml:space="preserve">Connection to visual comparison</w:t>
      </w:r>
    </w:p>
    <w:p>
      <w:pPr>
        <w:spacing w:before="0" w:after="160" w:line="288"/>
      </w:pPr>
      <w:r>
        <w:rPr>
          <w:rFonts w:ascii="IBM Plex Sans" w:cs="IBM Plex Sans" w:eastAsia="IBM Plex Sans" w:hAnsi="IBM Plex Sans"/>
          <w:b w:val="false"/>
          <w:bCs w:val="false"/>
          <w:i w:val="false"/>
          <w:iCs w:val="false"/>
          <w:color w:val="24272E"/>
          <w:sz w:val="21"/>
          <w:szCs w:val="21"/>
        </w:rPr>
        <w:t xml:space="preserve">Below the confidence section, add a single line of text: “Tap images above to verify visually.” This nudges the user to use the side-by-side comparison module as the final verification step, connecting quantitative data (bars and percentages) with qualitative verification (visual comparison). The confidence section becomes a prompt for action rather than a dead-end data display.</w:t>
      </w:r>
    </w:p>
    <w:p>
      <w:pPr>
        <w:pStyle w:val="Heading2"/>
        <w:spacing w:before="400" w:after="140"/>
      </w:pPr>
      <w:r>
        <w:rPr>
          <w:rFonts w:ascii="IBM Plex Sans" w:cs="IBM Plex Sans" w:eastAsia="IBM Plex Sans" w:hAnsi="IBM Plex Sans"/>
          <w:b/>
          <w:bCs/>
          <w:color w:val="1A1D26"/>
          <w:sz w:val="32"/>
          <w:szCs w:val="32"/>
        </w:rPr>
        <w:t xml:space="preserve">2.7  Comps by Condition</w:t>
      </w:r>
    </w:p>
    <w:p>
      <w:pPr>
        <w:spacing w:before="0" w:after="160" w:line="288"/>
      </w:pPr>
      <w:r>
        <w:rPr>
          <w:rFonts w:ascii="IBM Plex Sans" w:cs="IBM Plex Sans" w:eastAsia="IBM Plex Sans" w:hAnsi="IBM Plex Sans"/>
          <w:b w:val="false"/>
          <w:bCs w:val="false"/>
          <w:i w:val="false"/>
          <w:iCs w:val="false"/>
          <w:color w:val="24272E"/>
          <w:sz w:val="21"/>
          <w:szCs w:val="21"/>
        </w:rPr>
        <w:t xml:space="preserve">This is currently the most underserved section and arguably the most valuable for making a confident arbitrage decision. It shows only a single NM row with low and market prices. A standard table expansion would work, but a more distinctive approach would communicate the data more powerfully.</w:t>
      </w:r>
    </w:p>
    <w:p>
      <w:pPr>
        <w:spacing w:before="80" w:after="0"/>
      </w:pPr>
    </w:p>
    <w:p>
      <w:pPr>
        <w:pStyle w:val="Heading3"/>
        <w:spacing w:before="280" w:after="100"/>
      </w:pPr>
      <w:r>
        <w:rPr>
          <w:rFonts w:ascii="IBM Plex Sans" w:cs="IBM Plex Sans" w:eastAsia="IBM Plex Sans" w:hAnsi="IBM Plex Sans"/>
          <w:b/>
          <w:bCs/>
          <w:color w:val="2A2F3C"/>
          <w:sz w:val="26"/>
          <w:szCs w:val="26"/>
        </w:rPr>
        <w:t xml:space="preserve">Dot-plot visualisation</w:t>
      </w:r>
    </w:p>
    <w:p>
      <w:pPr>
        <w:spacing w:before="0" w:after="160" w:line="288"/>
      </w:pPr>
      <w:r>
        <w:rPr>
          <w:rFonts w:ascii="IBM Plex Sans" w:cs="IBM Plex Sans" w:eastAsia="IBM Plex Sans" w:hAnsi="IBM Plex Sans"/>
          <w:b w:val="false"/>
          <w:bCs w:val="false"/>
          <w:i w:val="false"/>
          <w:iCs w:val="false"/>
          <w:color w:val="24272E"/>
          <w:sz w:val="21"/>
          <w:szCs w:val="21"/>
        </w:rPr>
        <w:t xml:space="preserve">Instead of a plain table, present comps as a horizontal dot-plot or strip chart. Each dot represents an individual comparable sale, clustered by condition grade (NM, LP, MP). The card’s current eBay buy price appears as a vertical accent line crossing all conditions. This visualisation communicates three things simultaneously: the price distribution (spread of dots), the data density (number of dots—dense clusters mean reliable pricing, sparse dots mean shaky data), and the deal quality (how far left the buy-price line sits relative to the dot clusters). A user can assess all three at a glance without reading a single number.</w:t>
      </w:r>
    </w:p>
    <w:p>
      <w:pPr>
        <w:spacing w:before="80" w:after="0"/>
      </w:pPr>
    </w:p>
    <w:p>
      <w:pPr>
        <w:pStyle w:val="Heading3"/>
        <w:spacing w:before="280" w:after="100"/>
      </w:pPr>
      <w:r>
        <w:rPr>
          <w:rFonts w:ascii="IBM Plex Sans" w:cs="IBM Plex Sans" w:eastAsia="IBM Plex Sans" w:hAnsi="IBM Plex Sans"/>
          <w:b/>
          <w:bCs/>
          <w:color w:val="2A2F3C"/>
          <w:sz w:val="26"/>
          <w:szCs w:val="26"/>
        </w:rPr>
        <w:t xml:space="preserve">Fallback data table</w:t>
      </w:r>
    </w:p>
    <w:p>
      <w:pPr>
        <w:spacing w:before="0" w:after="160" w:line="288"/>
      </w:pPr>
      <w:r>
        <w:rPr>
          <w:rFonts w:ascii="IBM Plex Sans" w:cs="IBM Plex Sans" w:eastAsia="IBM Plex Sans" w:hAnsi="IBM Plex Sans"/>
          <w:b w:val="false"/>
          <w:bCs w:val="false"/>
          <w:i w:val="false"/>
          <w:iCs w:val="false"/>
          <w:color w:val="24272E"/>
          <w:sz w:val="21"/>
          <w:szCs w:val="21"/>
        </w:rPr>
        <w:t xml:space="preserve">Below or instead of the dot-plot (for simpler rendering contexts), a tabular fallback should be available:</w:t>
      </w:r>
    </w:p>
    <w:p>
      <w:pPr>
        <w:spacing w:before="60" w:after="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400"/>
      </w:tblGrid>
      <w:tr>
        <w:tc>
          <w:tcPr>
            <w:tcW w:type="dxa" w:w="1800"/>
            <w:tcBorders>
              <w:top w:val="none" w:color="FFFFFF" w:sz="0"/>
              <w:left w:val="none" w:color="FFFFFF" w:sz="0"/>
              <w:bottom w:val="single" w:color="5A6070" w:sz="2"/>
              <w:right w:val="none" w:color="FFFFFF" w:sz="0"/>
            </w:tcBorders>
            <w:tcMar>
              <w:top w:type="dxa" w:w="80"/>
              <w:left w:type="dxa" w:w="120"/>
              <w:bottom w:type="dxa" w:w="80"/>
              <w:right w:type="dxa" w:w="120"/>
            </w:tcMar>
          </w:tcPr>
          <w:p>
            <w:r>
              <w:rPr>
                <w:rFonts w:ascii="IBM Plex Mono" w:cs="IBM Plex Mono" w:eastAsia="IBM Plex Mono" w:hAnsi="IBM Plex Mono"/>
                <w:color w:val="8890A0"/>
                <w:spacing w:val="80"/>
                <w:sz w:val="14"/>
                <w:szCs w:val="14"/>
              </w:rPr>
              <w:t xml:space="preserve">CONDITION</w:t>
            </w:r>
          </w:p>
        </w:tc>
        <w:tc>
          <w:tcPr>
            <w:tcW w:type="dxa" w:w="1800"/>
            <w:tcBorders>
              <w:top w:val="none" w:color="FFFFFF" w:sz="0"/>
              <w:left w:val="none" w:color="FFFFFF" w:sz="0"/>
              <w:bottom w:val="single" w:color="5A6070" w:sz="2"/>
              <w:right w:val="none" w:color="FFFFFF" w:sz="0"/>
            </w:tcBorders>
            <w:tcMar>
              <w:top w:type="dxa" w:w="80"/>
              <w:left w:type="dxa" w:w="120"/>
              <w:bottom w:type="dxa" w:w="80"/>
              <w:right w:type="dxa" w:w="120"/>
            </w:tcMar>
          </w:tcPr>
          <w:p>
            <w:r>
              <w:rPr>
                <w:rFonts w:ascii="IBM Plex Mono" w:cs="IBM Plex Mono" w:eastAsia="IBM Plex Mono" w:hAnsi="IBM Plex Mono"/>
                <w:color w:val="8890A0"/>
                <w:spacing w:val="80"/>
                <w:sz w:val="14"/>
                <w:szCs w:val="14"/>
              </w:rPr>
              <w:t xml:space="preserve">LOW</w:t>
            </w:r>
          </w:p>
        </w:tc>
        <w:tc>
          <w:tcPr>
            <w:tcW w:type="dxa" w:w="1800"/>
            <w:tcBorders>
              <w:top w:val="none" w:color="FFFFFF" w:sz="0"/>
              <w:left w:val="none" w:color="FFFFFF" w:sz="0"/>
              <w:bottom w:val="single" w:color="5A6070" w:sz="2"/>
              <w:right w:val="none" w:color="FFFFFF" w:sz="0"/>
            </w:tcBorders>
            <w:tcMar>
              <w:top w:type="dxa" w:w="80"/>
              <w:left w:type="dxa" w:w="120"/>
              <w:bottom w:type="dxa" w:w="80"/>
              <w:right w:type="dxa" w:w="120"/>
            </w:tcMar>
          </w:tcPr>
          <w:p>
            <w:r>
              <w:rPr>
                <w:rFonts w:ascii="IBM Plex Mono" w:cs="IBM Plex Mono" w:eastAsia="IBM Plex Mono" w:hAnsi="IBM Plex Mono"/>
                <w:color w:val="8890A0"/>
                <w:spacing w:val="80"/>
                <w:sz w:val="14"/>
                <w:szCs w:val="14"/>
              </w:rPr>
              <w:t xml:space="preserve">MARKET</w:t>
            </w:r>
          </w:p>
        </w:tc>
        <w:tc>
          <w:tcPr>
            <w:tcW w:type="dxa" w:w="1800"/>
            <w:tcBorders>
              <w:top w:val="none" w:color="FFFFFF" w:sz="0"/>
              <w:left w:val="none" w:color="FFFFFF" w:sz="0"/>
              <w:bottom w:val="single" w:color="5A6070" w:sz="2"/>
              <w:right w:val="none" w:color="FFFFFF" w:sz="0"/>
            </w:tcBorders>
            <w:tcMar>
              <w:top w:type="dxa" w:w="80"/>
              <w:left w:type="dxa" w:w="120"/>
              <w:bottom w:type="dxa" w:w="80"/>
              <w:right w:type="dxa" w:w="120"/>
            </w:tcMar>
          </w:tcPr>
          <w:p>
            <w:r>
              <w:rPr>
                <w:rFonts w:ascii="IBM Plex Mono" w:cs="IBM Plex Mono" w:eastAsia="IBM Plex Mono" w:hAnsi="IBM Plex Mono"/>
                <w:color w:val="8890A0"/>
                <w:spacing w:val="80"/>
                <w:sz w:val="14"/>
                <w:szCs w:val="14"/>
              </w:rPr>
              <w:t xml:space="preserve">COMPS</w:t>
            </w:r>
          </w:p>
        </w:tc>
        <w:tc>
          <w:tcPr>
            <w:tcW w:type="dxa" w:w="2400"/>
            <w:tcBorders>
              <w:top w:val="none" w:color="FFFFFF" w:sz="0"/>
              <w:left w:val="none" w:color="FFFFFF" w:sz="0"/>
              <w:bottom w:val="single" w:color="5A6070" w:sz="2"/>
              <w:right w:val="none" w:color="FFFFFF" w:sz="0"/>
            </w:tcBorders>
            <w:tcMar>
              <w:top w:type="dxa" w:w="80"/>
              <w:left w:type="dxa" w:w="120"/>
              <w:bottom w:type="dxa" w:w="80"/>
              <w:right w:type="dxa" w:w="120"/>
            </w:tcMar>
          </w:tcPr>
          <w:p>
            <w:r>
              <w:rPr>
                <w:rFonts w:ascii="IBM Plex Mono" w:cs="IBM Plex Mono" w:eastAsia="IBM Plex Mono" w:hAnsi="IBM Plex Mono"/>
                <w:color w:val="8890A0"/>
                <w:spacing w:val="80"/>
                <w:sz w:val="14"/>
                <w:szCs w:val="14"/>
              </w:rPr>
              <w:t xml:space="preserve">SPREAD</w:t>
            </w:r>
          </w:p>
        </w:tc>
      </w:tr>
      <w:tr>
        <w:tc>
          <w:tcPr>
            <w:tcW w:type="dxa" w:w="1800"/>
            <w:tcBorders>
              <w:top w:val="none" w:color="FFFFFF" w:sz="0"/>
              <w:left w:val="none" w:color="FFFFFF" w:sz="0"/>
              <w:bottom w:val="single" w:color="E6E8EE" w:sz="1"/>
              <w:right w:val="none" w:color="FFFFFF" w:sz="0"/>
            </w:tcBorders>
            <w:tcMar>
              <w:top w:type="dxa" w:w="60"/>
              <w:left w:type="dxa" w:w="120"/>
              <w:bottom w:type="dxa" w:w="60"/>
              <w:right w:type="dxa" w:w="120"/>
            </w:tcMar>
          </w:tcPr>
          <w:p>
            <w:r>
              <w:rPr>
                <w:rFonts w:ascii="IBM Plex Sans" w:cs="IBM Plex Sans" w:eastAsia="IBM Plex Sans" w:hAnsi="IBM Plex Sans"/>
                <w:b/>
                <w:bCs/>
                <w:color w:val="24272E"/>
                <w:sz w:val="19"/>
                <w:szCs w:val="19"/>
              </w:rPr>
              <w:t xml:space="preserve">•  NM</w:t>
            </w:r>
          </w:p>
        </w:tc>
        <w:tc>
          <w:tcPr>
            <w:tcW w:type="dxa" w:w="1800"/>
            <w:tcBorders>
              <w:top w:val="none" w:color="FFFFFF" w:sz="0"/>
              <w:left w:val="none" w:color="FFFFFF" w:sz="0"/>
              <w:bottom w:val="single" w:color="E6E8EE" w:sz="1"/>
              <w:right w:val="none" w:color="FFFFFF" w:sz="0"/>
            </w:tcBorders>
            <w:tcMar>
              <w:top w:type="dxa" w:w="60"/>
              <w:left w:type="dxa" w:w="120"/>
              <w:bottom w:type="dxa" w:w="60"/>
              <w:right w:type="dxa" w:w="120"/>
            </w:tcMar>
          </w:tcPr>
          <w:p>
            <w:r>
              <w:rPr>
                <w:rFonts w:ascii="IBM Plex Mono" w:cs="IBM Plex Mono" w:eastAsia="IBM Plex Mono" w:hAnsi="IBM Plex Mono"/>
                <w:b w:val="false"/>
                <w:bCs w:val="false"/>
                <w:color w:val="24272E"/>
                <w:sz w:val="19"/>
                <w:szCs w:val="19"/>
              </w:rPr>
              <w:t xml:space="preserve">£73.97</w:t>
            </w:r>
          </w:p>
        </w:tc>
        <w:tc>
          <w:tcPr>
            <w:tcW w:type="dxa" w:w="1800"/>
            <w:tcBorders>
              <w:top w:val="none" w:color="FFFFFF" w:sz="0"/>
              <w:left w:val="none" w:color="FFFFFF" w:sz="0"/>
              <w:bottom w:val="single" w:color="E6E8EE" w:sz="1"/>
              <w:right w:val="none" w:color="FFFFFF" w:sz="0"/>
            </w:tcBorders>
            <w:tcMar>
              <w:top w:type="dxa" w:w="60"/>
              <w:left w:type="dxa" w:w="120"/>
              <w:bottom w:type="dxa" w:w="60"/>
              <w:right w:type="dxa" w:w="120"/>
            </w:tcMar>
          </w:tcPr>
          <w:p>
            <w:r>
              <w:rPr>
                <w:rFonts w:ascii="IBM Plex Mono" w:cs="IBM Plex Mono" w:eastAsia="IBM Plex Mono" w:hAnsi="IBM Plex Mono"/>
                <w:b w:val="false"/>
                <w:bCs w:val="false"/>
                <w:color w:val="24272E"/>
                <w:sz w:val="19"/>
                <w:szCs w:val="19"/>
              </w:rPr>
              <w:t xml:space="preserve">£89.91</w:t>
            </w:r>
          </w:p>
        </w:tc>
        <w:tc>
          <w:tcPr>
            <w:tcW w:type="dxa" w:w="1800"/>
            <w:tcBorders>
              <w:top w:val="none" w:color="FFFFFF" w:sz="0"/>
              <w:left w:val="none" w:color="FFFFFF" w:sz="0"/>
              <w:bottom w:val="single" w:color="E6E8EE" w:sz="1"/>
              <w:right w:val="none" w:color="FFFFFF" w:sz="0"/>
            </w:tcBorders>
            <w:tcMar>
              <w:top w:type="dxa" w:w="60"/>
              <w:left w:type="dxa" w:w="120"/>
              <w:bottom w:type="dxa" w:w="60"/>
              <w:right w:type="dxa" w:w="120"/>
            </w:tcMar>
          </w:tcPr>
          <w:p>
            <w:r>
              <w:rPr>
                <w:rFonts w:ascii="IBM Plex Mono" w:cs="IBM Plex Mono" w:eastAsia="IBM Plex Mono" w:hAnsi="IBM Plex Mono"/>
                <w:b w:val="false"/>
                <w:bCs w:val="false"/>
                <w:color w:val="24272E"/>
                <w:sz w:val="19"/>
                <w:szCs w:val="19"/>
              </w:rPr>
              <w:t xml:space="preserve">12</w:t>
            </w:r>
          </w:p>
        </w:tc>
        <w:tc>
          <w:tcPr>
            <w:tcW w:type="dxa" w:w="2400"/>
            <w:tcBorders>
              <w:top w:val="none" w:color="FFFFFF" w:sz="0"/>
              <w:left w:val="none" w:color="FFFFFF" w:sz="0"/>
              <w:bottom w:val="single" w:color="E6E8EE" w:sz="1"/>
              <w:right w:val="none" w:color="FFFFFF" w:sz="0"/>
            </w:tcBorders>
            <w:tcMar>
              <w:top w:type="dxa" w:w="60"/>
              <w:left w:type="dxa" w:w="120"/>
              <w:bottom w:type="dxa" w:w="60"/>
              <w:right w:type="dxa" w:w="120"/>
            </w:tcMar>
          </w:tcPr>
          <w:p>
            <w:r>
              <w:rPr>
                <w:rFonts w:ascii="IBM Plex Mono" w:cs="IBM Plex Mono" w:eastAsia="IBM Plex Mono" w:hAnsi="IBM Plex Mono"/>
                <w:b w:val="false"/>
                <w:bCs w:val="false"/>
                <w:color w:val="24272E"/>
                <w:sz w:val="19"/>
                <w:szCs w:val="19"/>
              </w:rPr>
              <w:t xml:space="preserve">£70.97</w:t>
            </w:r>
          </w:p>
        </w:tc>
      </w:tr>
      <w:tr>
        <w:tc>
          <w:tcPr>
            <w:tcW w:type="dxa" w:w="1800"/>
            <w:tcBorders>
              <w:top w:val="none" w:color="FFFFFF" w:sz="0"/>
              <w:left w:val="none" w:color="FFFFFF" w:sz="0"/>
              <w:bottom w:val="single" w:color="E6E8EE" w:sz="1"/>
              <w:right w:val="none" w:color="FFFFFF" w:sz="0"/>
            </w:tcBorders>
            <w:tcMar>
              <w:top w:type="dxa" w:w="60"/>
              <w:left w:type="dxa" w:w="120"/>
              <w:bottom w:type="dxa" w:w="60"/>
              <w:right w:type="dxa" w:w="120"/>
            </w:tcMar>
          </w:tcPr>
          <w:p>
            <w:r>
              <w:rPr>
                <w:rFonts w:ascii="IBM Plex Sans" w:cs="IBM Plex Sans" w:eastAsia="IBM Plex Sans" w:hAnsi="IBM Plex Sans"/>
                <w:b w:val="false"/>
                <w:bCs w:val="false"/>
                <w:color w:val="24272E"/>
                <w:sz w:val="19"/>
                <w:szCs w:val="19"/>
              </w:rPr>
              <w:t xml:space="preserve">   LP</w:t>
            </w:r>
          </w:p>
        </w:tc>
        <w:tc>
          <w:tcPr>
            <w:tcW w:type="dxa" w:w="1800"/>
            <w:tcBorders>
              <w:top w:val="none" w:color="FFFFFF" w:sz="0"/>
              <w:left w:val="none" w:color="FFFFFF" w:sz="0"/>
              <w:bottom w:val="single" w:color="E6E8EE" w:sz="1"/>
              <w:right w:val="none" w:color="FFFFFF" w:sz="0"/>
            </w:tcBorders>
            <w:tcMar>
              <w:top w:type="dxa" w:w="60"/>
              <w:left w:type="dxa" w:w="120"/>
              <w:bottom w:type="dxa" w:w="60"/>
              <w:right w:type="dxa" w:w="120"/>
            </w:tcMar>
          </w:tcPr>
          <w:p>
            <w:r>
              <w:rPr>
                <w:rFonts w:ascii="IBM Plex Mono" w:cs="IBM Plex Mono" w:eastAsia="IBM Plex Mono" w:hAnsi="IBM Plex Mono"/>
                <w:b w:val="false"/>
                <w:bCs w:val="false"/>
                <w:color w:val="24272E"/>
                <w:sz w:val="19"/>
                <w:szCs w:val="19"/>
              </w:rPr>
              <w:t xml:space="preserve">£58.20</w:t>
            </w:r>
          </w:p>
        </w:tc>
        <w:tc>
          <w:tcPr>
            <w:tcW w:type="dxa" w:w="1800"/>
            <w:tcBorders>
              <w:top w:val="none" w:color="FFFFFF" w:sz="0"/>
              <w:left w:val="none" w:color="FFFFFF" w:sz="0"/>
              <w:bottom w:val="single" w:color="E6E8EE" w:sz="1"/>
              <w:right w:val="none" w:color="FFFFFF" w:sz="0"/>
            </w:tcBorders>
            <w:tcMar>
              <w:top w:type="dxa" w:w="60"/>
              <w:left w:type="dxa" w:w="120"/>
              <w:bottom w:type="dxa" w:w="60"/>
              <w:right w:type="dxa" w:w="120"/>
            </w:tcMar>
          </w:tcPr>
          <w:p>
            <w:r>
              <w:rPr>
                <w:rFonts w:ascii="IBM Plex Mono" w:cs="IBM Plex Mono" w:eastAsia="IBM Plex Mono" w:hAnsi="IBM Plex Mono"/>
                <w:b w:val="false"/>
                <w:bCs w:val="false"/>
                <w:color w:val="24272E"/>
                <w:sz w:val="19"/>
                <w:szCs w:val="19"/>
              </w:rPr>
              <w:t xml:space="preserve">£71.40</w:t>
            </w:r>
          </w:p>
        </w:tc>
        <w:tc>
          <w:tcPr>
            <w:tcW w:type="dxa" w:w="1800"/>
            <w:tcBorders>
              <w:top w:val="none" w:color="FFFFFF" w:sz="0"/>
              <w:left w:val="none" w:color="FFFFFF" w:sz="0"/>
              <w:bottom w:val="single" w:color="E6E8EE" w:sz="1"/>
              <w:right w:val="none" w:color="FFFFFF" w:sz="0"/>
            </w:tcBorders>
            <w:tcMar>
              <w:top w:type="dxa" w:w="60"/>
              <w:left w:type="dxa" w:w="120"/>
              <w:bottom w:type="dxa" w:w="60"/>
              <w:right w:type="dxa" w:w="120"/>
            </w:tcMar>
          </w:tcPr>
          <w:p>
            <w:r>
              <w:rPr>
                <w:rFonts w:ascii="IBM Plex Mono" w:cs="IBM Plex Mono" w:eastAsia="IBM Plex Mono" w:hAnsi="IBM Plex Mono"/>
                <w:b w:val="false"/>
                <w:bCs w:val="false"/>
                <w:color w:val="24272E"/>
                <w:sz w:val="19"/>
                <w:szCs w:val="19"/>
              </w:rPr>
              <w:t xml:space="preserve">8</w:t>
            </w:r>
          </w:p>
        </w:tc>
        <w:tc>
          <w:tcPr>
            <w:tcW w:type="dxa" w:w="2400"/>
            <w:tcBorders>
              <w:top w:val="none" w:color="FFFFFF" w:sz="0"/>
              <w:left w:val="none" w:color="FFFFFF" w:sz="0"/>
              <w:bottom w:val="single" w:color="E6E8EE" w:sz="1"/>
              <w:right w:val="none" w:color="FFFFFF" w:sz="0"/>
            </w:tcBorders>
            <w:tcMar>
              <w:top w:type="dxa" w:w="60"/>
              <w:left w:type="dxa" w:w="120"/>
              <w:bottom w:type="dxa" w:w="60"/>
              <w:right w:type="dxa" w:w="120"/>
            </w:tcMar>
          </w:tcPr>
          <w:p>
            <w:r>
              <w:rPr>
                <w:rFonts w:ascii="IBM Plex Mono" w:cs="IBM Plex Mono" w:eastAsia="IBM Plex Mono" w:hAnsi="IBM Plex Mono"/>
                <w:b w:val="false"/>
                <w:bCs w:val="false"/>
                <w:color w:val="24272E"/>
                <w:sz w:val="19"/>
                <w:szCs w:val="19"/>
              </w:rPr>
              <w:t xml:space="preserve">£53.20</w:t>
            </w:r>
          </w:p>
        </w:tc>
      </w:tr>
      <w:tr>
        <w:tc>
          <w:tcPr>
            <w:tcW w:type="dxa" w:w="1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IBM Plex Sans" w:cs="IBM Plex Sans" w:eastAsia="IBM Plex Sans" w:hAnsi="IBM Plex Sans"/>
                <w:b w:val="false"/>
                <w:bCs w:val="false"/>
                <w:color w:val="24272E"/>
                <w:sz w:val="19"/>
                <w:szCs w:val="19"/>
              </w:rPr>
              <w:t xml:space="preserve">   MP</w:t>
            </w:r>
          </w:p>
        </w:tc>
        <w:tc>
          <w:tcPr>
            <w:tcW w:type="dxa" w:w="1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IBM Plex Mono" w:cs="IBM Plex Mono" w:eastAsia="IBM Plex Mono" w:hAnsi="IBM Plex Mono"/>
                <w:b w:val="false"/>
                <w:bCs w:val="false"/>
                <w:color w:val="24272E"/>
                <w:sz w:val="19"/>
                <w:szCs w:val="19"/>
              </w:rPr>
              <w:t xml:space="preserve">£34.00</w:t>
            </w:r>
          </w:p>
        </w:tc>
        <w:tc>
          <w:tcPr>
            <w:tcW w:type="dxa" w:w="1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IBM Plex Mono" w:cs="IBM Plex Mono" w:eastAsia="IBM Plex Mono" w:hAnsi="IBM Plex Mono"/>
                <w:b w:val="false"/>
                <w:bCs w:val="false"/>
                <w:color w:val="24272E"/>
                <w:sz w:val="19"/>
                <w:szCs w:val="19"/>
              </w:rPr>
              <w:t xml:space="preserve">£42.10</w:t>
            </w:r>
          </w:p>
        </w:tc>
        <w:tc>
          <w:tcPr>
            <w:tcW w:type="dxa" w:w="1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IBM Plex Mono" w:cs="IBM Plex Mono" w:eastAsia="IBM Plex Mono" w:hAnsi="IBM Plex Mono"/>
                <w:b w:val="false"/>
                <w:bCs w:val="false"/>
                <w:color w:val="24272E"/>
                <w:sz w:val="19"/>
                <w:szCs w:val="19"/>
              </w:rPr>
              <w:t xml:space="preserve">3</w:t>
            </w:r>
          </w:p>
        </w:tc>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IBM Plex Mono" w:cs="IBM Plex Mono" w:eastAsia="IBM Plex Mono" w:hAnsi="IBM Plex Mono"/>
                <w:b w:val="false"/>
                <w:bCs w:val="false"/>
                <w:color w:val="24272E"/>
                <w:sz w:val="19"/>
                <w:szCs w:val="19"/>
              </w:rPr>
              <w:t xml:space="preserve">£23.16</w:t>
            </w:r>
          </w:p>
        </w:tc>
      </w:tr>
    </w:tbl>
    <w:p>
      <w:pPr>
        <w:spacing w:before="100" w:after="0"/>
      </w:pPr>
    </w:p>
    <w:p>
      <w:pPr>
        <w:spacing w:before="0" w:after="160" w:line="288"/>
      </w:pPr>
      <w:r>
        <w:rPr>
          <w:rFonts w:ascii="IBM Plex Sans" w:cs="IBM Plex Sans" w:eastAsia="IBM Plex Sans" w:hAnsi="IBM Plex Sans"/>
          <w:b w:val="false"/>
          <w:bCs w:val="false"/>
          <w:i w:val="false"/>
          <w:iCs w:val="false"/>
          <w:color w:val="24272E"/>
          <w:sz w:val="21"/>
          <w:szCs w:val="21"/>
        </w:rPr>
        <w:t xml:space="preserve">The Comps column is crucial. It tells the user how trustworthy the market price is. Twelve comps means solid data. Two comps means the price is unreliable. The row matching the current card’s condition should be highlighted with a subtle background tint and left accent. The Spread column shows profit at each condition grade, helping users evaluate whether a condition downgrade would still be profitable.</w:t>
      </w:r>
    </w:p>
    <w:p>
      <w:pPr>
        <w:pStyle w:val="Heading2"/>
        <w:spacing w:before="400" w:after="140"/>
      </w:pPr>
      <w:r>
        <w:rPr>
          <w:rFonts w:ascii="IBM Plex Sans" w:cs="IBM Plex Sans" w:eastAsia="IBM Plex Sans" w:hAnsi="IBM Plex Sans"/>
          <w:b/>
          <w:bCs/>
          <w:color w:val="1A1D26"/>
          <w:sz w:val="32"/>
          <w:szCs w:val="32"/>
        </w:rPr>
        <w:t xml:space="preserve">2.8  Price Trends</w:t>
      </w:r>
    </w:p>
    <w:p>
      <w:pPr>
        <w:spacing w:before="0" w:after="160" w:line="288"/>
      </w:pPr>
      <w:r>
        <w:rPr>
          <w:rFonts w:ascii="IBM Plex Sans" w:cs="IBM Plex Sans" w:eastAsia="IBM Plex Sans" w:hAnsi="IBM Plex Sans"/>
          <w:b w:val="false"/>
          <w:bCs w:val="false"/>
          <w:i w:val="false"/>
          <w:iCs w:val="false"/>
          <w:color w:val="24272E"/>
          <w:sz w:val="21"/>
          <w:szCs w:val="21"/>
        </w:rPr>
        <w:t xml:space="preserve">The current implementation shows text deltas: “1d $1.45 -1.6%” and “7d $3.19 -3.4%.” Replace with a small sparkline chart (~50px tall, full-width) showing seven days of price movement as a line graph. Annotate the 1d and 7d deltas at the right edge. Convert all values to GBP for consistency.</w:t>
      </w:r>
    </w:p>
    <w:p>
      <w:pPr>
        <w:spacing w:before="0" w:after="160" w:line="288"/>
      </w:pPr>
      <w:r>
        <w:rPr>
          <w:rFonts w:ascii="IBM Plex Sans" w:cs="IBM Plex Sans" w:eastAsia="IBM Plex Sans" w:hAnsi="IBM Plex Sans"/>
          <w:b w:val="false"/>
          <w:bCs w:val="false"/>
          <w:i w:val="false"/>
          <w:iCs w:val="false"/>
          <w:color w:val="24272E"/>
          <w:sz w:val="21"/>
          <w:szCs w:val="21"/>
        </w:rPr>
        <w:t xml:space="preserve">Critically, the sparkline must use the product’s colour system to encode meaning: a green/mint line when the spread is widening (profit growing—the deal is getting better), a coral/red line when the spread is compressing (profit shrinking—urgency to act or reason to skip). A generic grey line would waste the most powerful visual channel in the product’s palette. The colour should match the direction of the most recent segment, not the overall trend, so users see current momentum.</w:t>
      </w:r>
    </w:p>
    <w:p>
      <w:pPr>
        <w:spacing w:before="0" w:after="160" w:line="288"/>
      </w:pPr>
      <w:r>
        <w:rPr>
          <w:rFonts w:ascii="IBM Plex Sans" w:cs="IBM Plex Sans" w:eastAsia="IBM Plex Sans" w:hAnsi="IBM Plex Sans"/>
          <w:b w:val="false"/>
          <w:bCs w:val="false"/>
          <w:i w:val="false"/>
          <w:iCs w:val="false"/>
          <w:color w:val="24272E"/>
          <w:sz w:val="21"/>
          <w:szCs w:val="21"/>
        </w:rPr>
        <w:t xml:space="preserve">A declining line is more visceral than a negative percentage. It communicates trend direction at a glance rather than requiring mental arithmetic. Users scanning multiple deals quickly can pattern-match on visual shapes and colours rather than reading numbers.</w:t>
      </w:r>
    </w:p>
    <w:p>
      <w:pPr>
        <w:pStyle w:val="Heading2"/>
        <w:spacing w:before="400" w:after="140"/>
      </w:pPr>
      <w:r>
        <w:rPr>
          <w:rFonts w:ascii="IBM Plex Sans" w:cs="IBM Plex Sans" w:eastAsia="IBM Plex Sans" w:hAnsi="IBM Plex Sans"/>
          <w:b/>
          <w:bCs/>
          <w:color w:val="1A1D26"/>
          <w:sz w:val="32"/>
          <w:szCs w:val="32"/>
        </w:rPr>
        <w:t xml:space="preserve">2.9  Expansion Module</w:t>
      </w:r>
    </w:p>
    <w:p>
      <w:pPr>
        <w:spacing w:before="0" w:after="160" w:line="288"/>
      </w:pPr>
      <w:r>
        <w:rPr>
          <w:rFonts w:ascii="IBM Plex Sans" w:cs="IBM Plex Sans" w:eastAsia="IBM Plex Sans" w:hAnsi="IBM Plex Sans"/>
          <w:b w:val="false"/>
          <w:bCs w:val="false"/>
          <w:i w:val="false"/>
          <w:iCs w:val="false"/>
          <w:color w:val="24272E"/>
          <w:sz w:val="21"/>
          <w:szCs w:val="21"/>
        </w:rPr>
        <w:t xml:space="preserve">The current expansion section is plain text: “Ascended Heroes (ASC)” and a “View in Catalog” link. A simple label like “High activity” with a green dot would be the generic dashboard approach—functional but lacking context-specific character. This module should instead speak the visual language that Pokémon card collectors already know.</w:t>
      </w:r>
    </w:p>
    <w:p>
      <w:pPr>
        <w:spacing w:before="80" w:after="0"/>
      </w:pPr>
    </w:p>
    <w:p>
      <w:pPr>
        <w:spacing w:before="320" w:after="100"/>
      </w:pPr>
      <w:r>
        <w:rPr>
          <w:rFonts w:ascii="IBM Plex Mono" w:cs="IBM Plex Mono" w:eastAsia="IBM Plex Mono" w:hAnsi="IBM Plex Mono"/>
          <w:color w:val="8890A0"/>
          <w:spacing w:val="140"/>
          <w:sz w:val="14"/>
          <w:szCs w:val="14"/>
        </w:rPr>
        <w:t xml:space="preserve">PROPOSED CONTENTS</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Official set symbol: </w:t>
      </w:r>
      <w:r>
        <w:rPr>
          <w:rFonts w:ascii="IBM Plex Sans" w:cs="IBM Plex Sans" w:eastAsia="IBM Plex Sans" w:hAnsi="IBM Plex Sans"/>
          <w:color w:val="24272E"/>
          <w:sz w:val="21"/>
          <w:szCs w:val="21"/>
        </w:rPr>
        <w:t xml:space="preserve">every Pokémon TCG expansion has a unique symbol (printed on the cards themselves). Display this symbol prominently—it’s the fastest way for a collector to identify a set, faster than reading the name. This grounds the UI in the TCG’s own visual system rather than imposing a generic dashboard pattern.</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Expansion logo: </w:t>
      </w:r>
      <w:r>
        <w:rPr>
          <w:rFonts w:ascii="IBM Plex Sans" w:cs="IBM Plex Sans" w:eastAsia="IBM Plex Sans" w:hAnsi="IBM Plex Sans"/>
          <w:color w:val="24272E"/>
          <w:sz w:val="21"/>
          <w:szCs w:val="21"/>
        </w:rPr>
        <w:t xml:space="preserve">larger than in the header (~100px wide), the official expansion logo serves as the visual anchor for the section.</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Set metadata: </w:t>
      </w:r>
      <w:r>
        <w:rPr>
          <w:rFonts w:ascii="IBM Plex Sans" w:cs="IBM Plex Sans" w:eastAsia="IBM Plex Sans" w:hAnsi="IBM Plex Sans"/>
          <w:color w:val="24272E"/>
          <w:sz w:val="21"/>
          <w:szCs w:val="21"/>
        </w:rPr>
        <w:t xml:space="preserve">full set name, set code, release date, total cards in set, and era classification (e.g. “Modern” / “Vintage” / “e-Series”).</w:t>
      </w:r>
    </w:p>
    <w:p>
      <w:pPr>
        <w:pStyle w:val="ListParagraph"/>
        <w:numPr>
          <w:ilvl w:val="0"/>
          <w:numId w:val="2"/>
        </w:numPr>
        <w:spacing w:after="80" w:line="288"/>
      </w:pPr>
      <w:r>
        <w:rPr>
          <w:rFonts w:ascii="IBM Plex Sans" w:cs="IBM Plex Sans" w:eastAsia="IBM Plex Sans" w:hAnsi="IBM Plex Sans"/>
          <w:b/>
          <w:bCs/>
          <w:color w:val="24272E"/>
          <w:sz w:val="21"/>
          <w:szCs w:val="21"/>
        </w:rPr>
        <w:t xml:space="preserve">Activity/volume indicator: </w:t>
      </w:r>
      <w:r>
        <w:rPr>
          <w:rFonts w:ascii="IBM Plex Sans" w:cs="IBM Plex Sans" w:eastAsia="IBM Plex Sans" w:hAnsi="IBM Plex Sans"/>
          <w:color w:val="24272E"/>
          <w:sz w:val="21"/>
          <w:szCs w:val="21"/>
        </w:rPr>
        <w:t xml:space="preserve">rather than a generic dot-label pair, style the volume indicator after the energy-type icons from the TCG itself. A flame icon for high-volume sets, a water drop for moderate, a colourless circle for low. This is a subtle touch, but it’s the kind of domain-specific visual language that makes a product feel built for its audience rather than assembled from generic components.</w:t>
      </w:r>
    </w:p>
    <w:p>
      <w:pPr>
        <w:pStyle w:val="ListParagraph"/>
        <w:numPr>
          <w:ilvl w:val="0"/>
          <w:numId w:val="2"/>
        </w:numPr>
        <w:spacing w:after="80" w:line="288"/>
      </w:pPr>
      <w:r>
        <w:rPr>
          <w:rFonts w:ascii="IBM Plex Sans" w:cs="IBM Plex Sans" w:eastAsia="IBM Plex Sans" w:hAnsi="IBM Plex Sans"/>
          <w:color w:val="24272E"/>
          <w:sz w:val="21"/>
          <w:szCs w:val="21"/>
        </w:rPr>
        <w:t xml:space="preserve">Retain the “View in Catalog →” link for users who want to explore the full set.</w:t>
      </w:r>
    </w:p>
    <w:p>
      <w:pPr>
        <w:pStyle w:val="Heading2"/>
        <w:spacing w:before="400" w:after="140"/>
      </w:pPr>
      <w:r>
        <w:rPr>
          <w:rFonts w:ascii="IBM Plex Sans" w:cs="IBM Plex Sans" w:eastAsia="IBM Plex Sans" w:hAnsi="IBM Plex Sans"/>
          <w:b/>
          <w:bCs/>
          <w:color w:val="1A1D26"/>
          <w:sz w:val="32"/>
          <w:szCs w:val="32"/>
        </w:rPr>
        <w:t xml:space="preserve">2.10  Review Feedback</w:t>
      </w:r>
    </w:p>
    <w:p>
      <w:pPr>
        <w:spacing w:before="0" w:after="160" w:line="288"/>
      </w:pPr>
      <w:r>
        <w:rPr>
          <w:rFonts w:ascii="IBM Plex Sans" w:cs="IBM Plex Sans" w:eastAsia="IBM Plex Sans" w:hAnsi="IBM Plex Sans"/>
          <w:b w:val="false"/>
          <w:bCs w:val="false"/>
          <w:i w:val="false"/>
          <w:iCs w:val="false"/>
          <w:color w:val="24272E"/>
          <w:sz w:val="21"/>
          <w:szCs w:val="21"/>
        </w:rPr>
        <w:t xml:space="preserve">The Correct and Wrong buttons are a good feedback mechanism. When the user taps Wrong, a row of quick-select reason chips should slide in: “Wrong card,” “Wrong set,” “Wrong condition,” “Price outdated,” “Bad image.” A single tap on a reason submits the feedback. No text input required, but the data is structured enough to improve the matching algorithm over time.</w:t>
      </w:r>
    </w:p>
    <w:p>
      <w:pPr>
        <w:spacing w:before="0" w:after="160" w:line="288"/>
      </w:pPr>
      <w:r>
        <w:rPr>
          <w:rFonts w:ascii="IBM Plex Sans" w:cs="IBM Plex Sans" w:eastAsia="IBM Plex Sans" w:hAnsi="IBM Plex Sans"/>
          <w:b w:val="false"/>
          <w:bCs w:val="false"/>
          <w:i w:val="false"/>
          <w:iCs w:val="false"/>
          <w:color w:val="24272E"/>
          <w:sz w:val="21"/>
          <w:szCs w:val="21"/>
        </w:rPr>
        <w:t xml:space="preserve">On mobile, consider a swipe-left (wrong) / swipe-right (correct) gesture as an alternative input method. This feels more native to a mobile context than tapping buttons and reduces the interaction to a single physical motion. The swipe should trigger a brief colour flash (green or coral) for confirmation, then transition smoothly to the reason chips if the swipe was left/wrong.</w:t>
      </w:r>
    </w:p>
    <w:p>
      <w:pPr>
        <w:spacing w:before="0" w:after="160" w:line="288"/>
      </w:pPr>
      <w:r>
        <w:rPr>
          <w:rFonts w:ascii="IBM Plex Sans" w:cs="IBM Plex Sans" w:eastAsia="IBM Plex Sans" w:hAnsi="IBM Plex Sans"/>
          <w:b w:val="false"/>
          <w:bCs w:val="false"/>
          <w:i w:val="false"/>
          <w:iCs w:val="false"/>
          <w:color w:val="24272E"/>
          <w:sz w:val="21"/>
          <w:szCs w:val="21"/>
        </w:rPr>
        <w:t xml:space="preserve">This pairs well with the visual comparison module: the user has just looked at both images and is well-positioned to identify exactly what went wrong. The feedback loop becomes more informed and more actionable.</w:t>
      </w:r>
    </w:p>
    <w:p>
      <w:pPr>
        <w:pBdr>
          <w:bottom w:val="single" w:color="0B6E3F" w:sz="2"/>
        </w:pBdr>
        <w:spacing w:before="600" w:after="60"/>
      </w:pPr>
      <w:r>
        <w:rPr>
          <w:rFonts w:ascii="IBM Plex Mono" w:cs="IBM Plex Mono" w:eastAsia="IBM Plex Mono" w:hAnsi="IBM Plex Mono"/>
          <w:b/>
          <w:bCs/>
          <w:color w:val="0B6E3F"/>
          <w:spacing w:val="200"/>
          <w:sz w:val="14"/>
          <w:szCs w:val="14"/>
        </w:rPr>
        <w:t xml:space="preserve">PART 3</w:t>
      </w:r>
    </w:p>
    <w:p>
      <w:pPr>
        <w:pStyle w:val="Heading1"/>
        <w:spacing w:before="480" w:after="180"/>
      </w:pPr>
      <w:r>
        <w:rPr>
          <w:rFonts w:ascii="IBM Plex Sans" w:cs="IBM Plex Sans" w:eastAsia="IBM Plex Sans" w:hAnsi="IBM Plex Sans"/>
          <w:b/>
          <w:bCs/>
          <w:color w:val="0C0E12"/>
          <w:sz w:val="44"/>
          <w:szCs w:val="44"/>
        </w:rPr>
        <w:t xml:space="preserve">Revised Panel Flow</w:t>
      </w:r>
    </w:p>
    <w:p>
      <w:pPr>
        <w:spacing w:before="0" w:after="200" w:line="300"/>
      </w:pPr>
      <w:r>
        <w:rPr>
          <w:rFonts w:ascii="IBM Plex Sans" w:cs="IBM Plex Sans" w:eastAsia="IBM Plex Sans" w:hAnsi="IBM Plex Sans"/>
          <w:i/>
          <w:iCs/>
          <w:color w:val="5A6070"/>
          <w:sz w:val="24"/>
          <w:szCs w:val="24"/>
        </w:rPr>
        <w:t xml:space="preserve">Every section earns its vertical space. The user hits the critical buy/pass decision point within the first scroll.</w:t>
      </w:r>
    </w:p>
    <w:p>
      <w:pPr>
        <w:spacing w:before="100" w:after="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6360"/>
      </w:tblGrid>
      <w:tr>
        <w:tc>
          <w:tcPr>
            <w:tcW w:type="dxa" w:w="540"/>
            <w:tcBorders>
              <w:top w:val="none" w:color="FFFFFF" w:sz="0"/>
              <w:left w:val="none" w:color="FFFFFF" w:sz="0"/>
              <w:bottom w:val="single" w:color="5A6070" w:sz="2"/>
              <w:right w:val="none" w:color="FFFFFF" w:sz="0"/>
            </w:tcBorders>
            <w:shd w:fill="F0F1F5" w:val="clear"/>
            <w:tcMar>
              <w:top w:type="dxa" w:w="80"/>
              <w:left w:type="dxa" w:w="120"/>
              <w:bottom w:type="dxa" w:w="80"/>
              <w:right w:type="dxa" w:w="120"/>
            </w:tcMar>
          </w:tcPr>
          <w:p>
            <w:r>
              <w:rPr>
                <w:rFonts w:ascii="IBM Plex Mono" w:cs="IBM Plex Mono" w:eastAsia="IBM Plex Mono" w:hAnsi="IBM Plex Mono"/>
                <w:b/>
                <w:bCs/>
                <w:color w:val="8890A0"/>
                <w:spacing w:val="100"/>
                <w:sz w:val="14"/>
                <w:szCs w:val="14"/>
              </w:rPr>
              <w:t xml:space="preserve">#</w:t>
            </w:r>
          </w:p>
        </w:tc>
        <w:tc>
          <w:tcPr>
            <w:tcW w:type="dxa" w:w="2700"/>
            <w:tcBorders>
              <w:top w:val="none" w:color="FFFFFF" w:sz="0"/>
              <w:left w:val="none" w:color="FFFFFF" w:sz="0"/>
              <w:bottom w:val="single" w:color="5A6070" w:sz="2"/>
              <w:right w:val="none" w:color="FFFFFF" w:sz="0"/>
            </w:tcBorders>
            <w:shd w:fill="F0F1F5" w:val="clear"/>
            <w:tcMar>
              <w:top w:type="dxa" w:w="80"/>
              <w:left w:type="dxa" w:w="120"/>
              <w:bottom w:type="dxa" w:w="80"/>
              <w:right w:type="dxa" w:w="120"/>
            </w:tcMar>
          </w:tcPr>
          <w:p>
            <w:r>
              <w:rPr>
                <w:rFonts w:ascii="IBM Plex Mono" w:cs="IBM Plex Mono" w:eastAsia="IBM Plex Mono" w:hAnsi="IBM Plex Mono"/>
                <w:b/>
                <w:bCs/>
                <w:color w:val="8890A0"/>
                <w:spacing w:val="100"/>
                <w:sz w:val="14"/>
                <w:szCs w:val="14"/>
              </w:rPr>
              <w:t xml:space="preserve">SECTION</w:t>
            </w:r>
          </w:p>
        </w:tc>
        <w:tc>
          <w:tcPr>
            <w:tcW w:type="dxa" w:w="6360"/>
            <w:tcBorders>
              <w:top w:val="none" w:color="FFFFFF" w:sz="0"/>
              <w:left w:val="none" w:color="FFFFFF" w:sz="0"/>
              <w:bottom w:val="single" w:color="5A6070" w:sz="2"/>
              <w:right w:val="none" w:color="FFFFFF" w:sz="0"/>
            </w:tcBorders>
            <w:shd w:fill="F0F1F5" w:val="clear"/>
            <w:tcMar>
              <w:top w:type="dxa" w:w="80"/>
              <w:left w:type="dxa" w:w="120"/>
              <w:bottom w:type="dxa" w:w="80"/>
              <w:right w:type="dxa" w:w="120"/>
            </w:tcMar>
          </w:tcPr>
          <w:p>
            <w:r>
              <w:rPr>
                <w:rFonts w:ascii="IBM Plex Mono" w:cs="IBM Plex Mono" w:eastAsia="IBM Plex Mono" w:hAnsi="IBM Plex Mono"/>
                <w:b/>
                <w:bCs/>
                <w:color w:val="8890A0"/>
                <w:spacing w:val="100"/>
                <w:sz w:val="14"/>
                <w:szCs w:val="14"/>
              </w:rPr>
              <w:t xml:space="preserve">PURPOSE</w:t>
            </w:r>
          </w:p>
        </w:tc>
      </w:tr>
      <w:tr>
        <w:tc>
          <w:tcPr>
            <w:tcW w:type="dxa" w:w="540"/>
            <w:tcBorders>
              <w:top w:val="none" w:color="FFFFFF" w:sz="0"/>
              <w:left w:val="none" w:color="FFFFFF" w:sz="0"/>
              <w:bottom w:val="single" w:color="E6E8EE" w:sz="1"/>
              <w:right w:val="none" w:color="FFFFFF" w:sz="0"/>
            </w:tcBorders>
            <w:tcMar>
              <w:top w:type="dxa" w:w="70"/>
              <w:left w:type="dxa" w:w="120"/>
              <w:bottom w:type="dxa" w:w="70"/>
              <w:right w:type="dxa" w:w="120"/>
            </w:tcMar>
          </w:tcPr>
          <w:p>
            <w:pPr>
              <w:jc w:val="center"/>
            </w:pPr>
            <w:r>
              <w:rPr>
                <w:rFonts w:ascii="IBM Plex Mono" w:cs="IBM Plex Mono" w:eastAsia="IBM Plex Mono" w:hAnsi="IBM Plex Mono"/>
                <w:b/>
                <w:bCs/>
                <w:color w:val="0B6E3F"/>
                <w:sz w:val="19"/>
                <w:szCs w:val="19"/>
              </w:rPr>
              <w:t xml:space="preserve">1</w:t>
            </w:r>
          </w:p>
        </w:tc>
        <w:tc>
          <w:tcPr>
            <w:tcW w:type="dxa" w:w="270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b/>
                <w:bCs/>
                <w:color w:val="24272E"/>
                <w:sz w:val="19"/>
                <w:szCs w:val="19"/>
              </w:rPr>
              <w:t xml:space="preserve">Header + expansion logo</w:t>
            </w:r>
          </w:p>
        </w:tc>
        <w:tc>
          <w:tcPr>
            <w:tcW w:type="dxa" w:w="636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color w:val="5A6070"/>
                <w:sz w:val="19"/>
                <w:szCs w:val="19"/>
              </w:rPr>
              <w:t xml:space="preserve">Card identity, set symbol, tier classification, era context</w:t>
            </w:r>
          </w:p>
        </w:tc>
      </w:tr>
      <w:tr>
        <w:tc>
          <w:tcPr>
            <w:tcW w:type="dxa" w:w="540"/>
            <w:tcBorders>
              <w:top w:val="none" w:color="FFFFFF" w:sz="0"/>
              <w:left w:val="none" w:color="FFFFFF" w:sz="0"/>
              <w:bottom w:val="single" w:color="E6E8EE" w:sz="1"/>
              <w:right w:val="none" w:color="FFFFFF" w:sz="0"/>
            </w:tcBorders>
            <w:tcMar>
              <w:top w:type="dxa" w:w="70"/>
              <w:left w:type="dxa" w:w="120"/>
              <w:bottom w:type="dxa" w:w="70"/>
              <w:right w:type="dxa" w:w="120"/>
            </w:tcMar>
          </w:tcPr>
          <w:p>
            <w:pPr>
              <w:jc w:val="center"/>
            </w:pPr>
            <w:r>
              <w:rPr>
                <w:rFonts w:ascii="IBM Plex Mono" w:cs="IBM Plex Mono" w:eastAsia="IBM Plex Mono" w:hAnsi="IBM Plex Mono"/>
                <w:b/>
                <w:bCs/>
                <w:color w:val="0B6E3F"/>
                <w:sz w:val="19"/>
                <w:szCs w:val="19"/>
              </w:rPr>
              <w:t xml:space="preserve">2</w:t>
            </w:r>
          </w:p>
        </w:tc>
        <w:tc>
          <w:tcPr>
            <w:tcW w:type="dxa" w:w="270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b/>
                <w:bCs/>
                <w:color w:val="24272E"/>
                <w:sz w:val="19"/>
                <w:szCs w:val="19"/>
              </w:rPr>
              <w:t xml:space="preserve">Visual comparison</w:t>
            </w:r>
          </w:p>
        </w:tc>
        <w:tc>
          <w:tcPr>
            <w:tcW w:type="dxa" w:w="636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color w:val="5A6070"/>
                <w:sz w:val="19"/>
                <w:szCs w:val="19"/>
              </w:rPr>
              <w:t xml:space="preserve">Side-by-side eBay vs Scrydex on inspection-mat background with overlay diff</w:t>
            </w:r>
          </w:p>
        </w:tc>
      </w:tr>
      <w:tr>
        <w:tc>
          <w:tcPr>
            <w:tcW w:type="dxa" w:w="540"/>
            <w:tcBorders>
              <w:top w:val="none" w:color="FFFFFF" w:sz="0"/>
              <w:left w:val="none" w:color="FFFFFF" w:sz="0"/>
              <w:bottom w:val="single" w:color="E6E8EE" w:sz="1"/>
              <w:right w:val="none" w:color="FFFFFF" w:sz="0"/>
            </w:tcBorders>
            <w:tcMar>
              <w:top w:type="dxa" w:w="70"/>
              <w:left w:type="dxa" w:w="120"/>
              <w:bottom w:type="dxa" w:w="70"/>
              <w:right w:type="dxa" w:w="120"/>
            </w:tcMar>
          </w:tcPr>
          <w:p>
            <w:pPr>
              <w:jc w:val="center"/>
            </w:pPr>
            <w:r>
              <w:rPr>
                <w:rFonts w:ascii="IBM Plex Mono" w:cs="IBM Plex Mono" w:eastAsia="IBM Plex Mono" w:hAnsi="IBM Plex Mono"/>
                <w:b/>
                <w:bCs/>
                <w:color w:val="0B6E3F"/>
                <w:sz w:val="19"/>
                <w:szCs w:val="19"/>
              </w:rPr>
              <w:t xml:space="preserve">3</w:t>
            </w:r>
          </w:p>
        </w:tc>
        <w:tc>
          <w:tcPr>
            <w:tcW w:type="dxa" w:w="270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b/>
                <w:bCs/>
                <w:color w:val="24272E"/>
                <w:sz w:val="19"/>
                <w:szCs w:val="19"/>
              </w:rPr>
              <w:t xml:space="preserve">Profit hero block</w:t>
            </w:r>
          </w:p>
        </w:tc>
        <w:tc>
          <w:tcPr>
            <w:tcW w:type="dxa" w:w="636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color w:val="5A6070"/>
                <w:sz w:val="19"/>
                <w:szCs w:val="19"/>
              </w:rPr>
              <w:t xml:space="preserve">Tier-specific visual drama: animated gradient for grails, clean for flips, plus 7d sparkline</w:t>
            </w:r>
          </w:p>
        </w:tc>
      </w:tr>
      <w:tr>
        <w:tc>
          <w:tcPr>
            <w:tcW w:type="dxa" w:w="540"/>
            <w:tcBorders>
              <w:top w:val="none" w:color="FFFFFF" w:sz="0"/>
              <w:left w:val="none" w:color="FFFFFF" w:sz="0"/>
              <w:bottom w:val="single" w:color="E6E8EE" w:sz="1"/>
              <w:right w:val="none" w:color="FFFFFF" w:sz="0"/>
            </w:tcBorders>
            <w:tcMar>
              <w:top w:type="dxa" w:w="70"/>
              <w:left w:type="dxa" w:w="120"/>
              <w:bottom w:type="dxa" w:w="70"/>
              <w:right w:type="dxa" w:w="120"/>
            </w:tcMar>
          </w:tcPr>
          <w:p>
            <w:pPr>
              <w:jc w:val="center"/>
            </w:pPr>
            <w:r>
              <w:rPr>
                <w:rFonts w:ascii="IBM Plex Mono" w:cs="IBM Plex Mono" w:eastAsia="IBM Plex Mono" w:hAnsi="IBM Plex Mono"/>
                <w:b/>
                <w:bCs/>
                <w:color w:val="0B6E3F"/>
                <w:sz w:val="19"/>
                <w:szCs w:val="19"/>
              </w:rPr>
              <w:t xml:space="preserve">4</w:t>
            </w:r>
          </w:p>
        </w:tc>
        <w:tc>
          <w:tcPr>
            <w:tcW w:type="dxa" w:w="270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b/>
                <w:bCs/>
                <w:color w:val="24272E"/>
                <w:sz w:val="19"/>
                <w:szCs w:val="19"/>
              </w:rPr>
              <w:t xml:space="preserve">CTA button</w:t>
            </w:r>
          </w:p>
        </w:tc>
        <w:tc>
          <w:tcPr>
            <w:tcW w:type="dxa" w:w="636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color w:val="5A6070"/>
                <w:sz w:val="19"/>
                <w:szCs w:val="19"/>
              </w:rPr>
              <w:t xml:space="preserve">SNAG ON EBAY — primary action with glow hover state</w:t>
            </w:r>
          </w:p>
        </w:tc>
      </w:tr>
      <w:tr>
        <w:tc>
          <w:tcPr>
            <w:tcW w:type="dxa" w:w="540"/>
            <w:tcBorders>
              <w:top w:val="none" w:color="FFFFFF" w:sz="0"/>
              <w:left w:val="none" w:color="FFFFFF" w:sz="0"/>
              <w:bottom w:val="single" w:color="E6E8EE" w:sz="1"/>
              <w:right w:val="none" w:color="FFFFFF" w:sz="0"/>
            </w:tcBorders>
            <w:tcMar>
              <w:top w:type="dxa" w:w="70"/>
              <w:left w:type="dxa" w:w="120"/>
              <w:bottom w:type="dxa" w:w="70"/>
              <w:right w:type="dxa" w:w="120"/>
            </w:tcMar>
          </w:tcPr>
          <w:p>
            <w:pPr>
              <w:jc w:val="center"/>
            </w:pPr>
            <w:r>
              <w:rPr>
                <w:rFonts w:ascii="IBM Plex Mono" w:cs="IBM Plex Mono" w:eastAsia="IBM Plex Mono" w:hAnsi="IBM Plex Mono"/>
                <w:b/>
                <w:bCs/>
                <w:color w:val="0B6E3F"/>
                <w:sz w:val="19"/>
                <w:szCs w:val="19"/>
              </w:rPr>
              <w:t xml:space="preserve">5</w:t>
            </w:r>
          </w:p>
        </w:tc>
        <w:tc>
          <w:tcPr>
            <w:tcW w:type="dxa" w:w="270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b/>
                <w:bCs/>
                <w:color w:val="24272E"/>
                <w:sz w:val="19"/>
                <w:szCs w:val="19"/>
              </w:rPr>
              <w:t xml:space="preserve">Pricing breakdown</w:t>
            </w:r>
          </w:p>
        </w:tc>
        <w:tc>
          <w:tcPr>
            <w:tcW w:type="dxa" w:w="636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color w:val="5A6070"/>
                <w:sz w:val="19"/>
                <w:szCs w:val="19"/>
              </w:rPr>
              <w:t xml:space="preserve">Simplified GBP-only cost structure with on-demand FX detail</w:t>
            </w:r>
          </w:p>
        </w:tc>
      </w:tr>
      <w:tr>
        <w:tc>
          <w:tcPr>
            <w:tcW w:type="dxa" w:w="540"/>
            <w:tcBorders>
              <w:top w:val="none" w:color="FFFFFF" w:sz="0"/>
              <w:left w:val="none" w:color="FFFFFF" w:sz="0"/>
              <w:bottom w:val="single" w:color="E6E8EE" w:sz="1"/>
              <w:right w:val="none" w:color="FFFFFF" w:sz="0"/>
            </w:tcBorders>
            <w:tcMar>
              <w:top w:type="dxa" w:w="70"/>
              <w:left w:type="dxa" w:w="120"/>
              <w:bottom w:type="dxa" w:w="70"/>
              <w:right w:type="dxa" w:w="120"/>
            </w:tcMar>
          </w:tcPr>
          <w:p>
            <w:pPr>
              <w:jc w:val="center"/>
            </w:pPr>
            <w:r>
              <w:rPr>
                <w:rFonts w:ascii="IBM Plex Mono" w:cs="IBM Plex Mono" w:eastAsia="IBM Plex Mono" w:hAnsi="IBM Plex Mono"/>
                <w:b/>
                <w:bCs/>
                <w:color w:val="0B6E3F"/>
                <w:sz w:val="19"/>
                <w:szCs w:val="19"/>
              </w:rPr>
              <w:t xml:space="preserve">6</w:t>
            </w:r>
          </w:p>
        </w:tc>
        <w:tc>
          <w:tcPr>
            <w:tcW w:type="dxa" w:w="270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b/>
                <w:bCs/>
                <w:color w:val="24272E"/>
                <w:sz w:val="19"/>
                <w:szCs w:val="19"/>
              </w:rPr>
              <w:t xml:space="preserve">Match confidence</w:t>
            </w:r>
          </w:p>
        </w:tc>
        <w:tc>
          <w:tcPr>
            <w:tcW w:type="dxa" w:w="636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color w:val="5A6070"/>
                <w:sz w:val="19"/>
                <w:szCs w:val="19"/>
              </w:rPr>
              <w:t xml:space="preserve">Animated trust bars + status icons + visual verification nudge</w:t>
            </w:r>
          </w:p>
        </w:tc>
      </w:tr>
      <w:tr>
        <w:tc>
          <w:tcPr>
            <w:tcW w:type="dxa" w:w="540"/>
            <w:tcBorders>
              <w:top w:val="none" w:color="FFFFFF" w:sz="0"/>
              <w:left w:val="none" w:color="FFFFFF" w:sz="0"/>
              <w:bottom w:val="single" w:color="E6E8EE" w:sz="1"/>
              <w:right w:val="none" w:color="FFFFFF" w:sz="0"/>
            </w:tcBorders>
            <w:tcMar>
              <w:top w:type="dxa" w:w="70"/>
              <w:left w:type="dxa" w:w="120"/>
              <w:bottom w:type="dxa" w:w="70"/>
              <w:right w:type="dxa" w:w="120"/>
            </w:tcMar>
          </w:tcPr>
          <w:p>
            <w:pPr>
              <w:jc w:val="center"/>
            </w:pPr>
            <w:r>
              <w:rPr>
                <w:rFonts w:ascii="IBM Plex Mono" w:cs="IBM Plex Mono" w:eastAsia="IBM Plex Mono" w:hAnsi="IBM Plex Mono"/>
                <w:b/>
                <w:bCs/>
                <w:color w:val="0B6E3F"/>
                <w:sz w:val="19"/>
                <w:szCs w:val="19"/>
              </w:rPr>
              <w:t xml:space="preserve">7</w:t>
            </w:r>
          </w:p>
        </w:tc>
        <w:tc>
          <w:tcPr>
            <w:tcW w:type="dxa" w:w="270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b/>
                <w:bCs/>
                <w:color w:val="24272E"/>
                <w:sz w:val="19"/>
                <w:szCs w:val="19"/>
              </w:rPr>
              <w:t xml:space="preserve">Comps by condition</w:t>
            </w:r>
          </w:p>
        </w:tc>
        <w:tc>
          <w:tcPr>
            <w:tcW w:type="dxa" w:w="636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color w:val="5A6070"/>
                <w:sz w:val="19"/>
                <w:szCs w:val="19"/>
              </w:rPr>
              <w:t xml:space="preserve">Dot-plot visualisation of sale density per grade, with table fallback</w:t>
            </w:r>
          </w:p>
        </w:tc>
      </w:tr>
      <w:tr>
        <w:tc>
          <w:tcPr>
            <w:tcW w:type="dxa" w:w="540"/>
            <w:tcBorders>
              <w:top w:val="none" w:color="FFFFFF" w:sz="0"/>
              <w:left w:val="none" w:color="FFFFFF" w:sz="0"/>
              <w:bottom w:val="single" w:color="E6E8EE" w:sz="1"/>
              <w:right w:val="none" w:color="FFFFFF" w:sz="0"/>
            </w:tcBorders>
            <w:tcMar>
              <w:top w:type="dxa" w:w="70"/>
              <w:left w:type="dxa" w:w="120"/>
              <w:bottom w:type="dxa" w:w="70"/>
              <w:right w:type="dxa" w:w="120"/>
            </w:tcMar>
          </w:tcPr>
          <w:p>
            <w:pPr>
              <w:jc w:val="center"/>
            </w:pPr>
            <w:r>
              <w:rPr>
                <w:rFonts w:ascii="IBM Plex Mono" w:cs="IBM Plex Mono" w:eastAsia="IBM Plex Mono" w:hAnsi="IBM Plex Mono"/>
                <w:b/>
                <w:bCs/>
                <w:color w:val="0B6E3F"/>
                <w:sz w:val="19"/>
                <w:szCs w:val="19"/>
              </w:rPr>
              <w:t xml:space="preserve">8</w:t>
            </w:r>
          </w:p>
        </w:tc>
        <w:tc>
          <w:tcPr>
            <w:tcW w:type="dxa" w:w="270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b/>
                <w:bCs/>
                <w:color w:val="24272E"/>
                <w:sz w:val="19"/>
                <w:szCs w:val="19"/>
              </w:rPr>
              <w:t xml:space="preserve">Price trends</w:t>
            </w:r>
          </w:p>
        </w:tc>
        <w:tc>
          <w:tcPr>
            <w:tcW w:type="dxa" w:w="636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color w:val="5A6070"/>
                <w:sz w:val="19"/>
                <w:szCs w:val="19"/>
              </w:rPr>
              <w:t xml:space="preserve">Colour-coded 7-day sparkline (green = widening, coral = compressing)</w:t>
            </w:r>
          </w:p>
        </w:tc>
      </w:tr>
      <w:tr>
        <w:tc>
          <w:tcPr>
            <w:tcW w:type="dxa" w:w="540"/>
            <w:tcBorders>
              <w:top w:val="none" w:color="FFFFFF" w:sz="0"/>
              <w:left w:val="none" w:color="FFFFFF" w:sz="0"/>
              <w:bottom w:val="single" w:color="E6E8EE" w:sz="1"/>
              <w:right w:val="none" w:color="FFFFFF" w:sz="0"/>
            </w:tcBorders>
            <w:tcMar>
              <w:top w:type="dxa" w:w="70"/>
              <w:left w:type="dxa" w:w="120"/>
              <w:bottom w:type="dxa" w:w="70"/>
              <w:right w:type="dxa" w:w="120"/>
            </w:tcMar>
          </w:tcPr>
          <w:p>
            <w:pPr>
              <w:jc w:val="center"/>
            </w:pPr>
            <w:r>
              <w:rPr>
                <w:rFonts w:ascii="IBM Plex Mono" w:cs="IBM Plex Mono" w:eastAsia="IBM Plex Mono" w:hAnsi="IBM Plex Mono"/>
                <w:b/>
                <w:bCs/>
                <w:color w:val="0B6E3F"/>
                <w:sz w:val="19"/>
                <w:szCs w:val="19"/>
              </w:rPr>
              <w:t xml:space="preserve">9</w:t>
            </w:r>
          </w:p>
        </w:tc>
        <w:tc>
          <w:tcPr>
            <w:tcW w:type="dxa" w:w="270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b/>
                <w:bCs/>
                <w:color w:val="24272E"/>
                <w:sz w:val="19"/>
                <w:szCs w:val="19"/>
              </w:rPr>
              <w:t xml:space="preserve">Expansion module</w:t>
            </w:r>
          </w:p>
        </w:tc>
        <w:tc>
          <w:tcPr>
            <w:tcW w:type="dxa" w:w="6360"/>
            <w:tcBorders>
              <w:top w:val="none" w:color="FFFFFF" w:sz="0"/>
              <w:left w:val="none" w:color="FFFFFF" w:sz="0"/>
              <w:bottom w:val="single" w:color="E6E8EE" w:sz="1"/>
              <w:right w:val="none" w:color="FFFFFF" w:sz="0"/>
            </w:tcBorders>
            <w:tcMar>
              <w:top w:type="dxa" w:w="70"/>
              <w:left w:type="dxa" w:w="120"/>
              <w:bottom w:type="dxa" w:w="70"/>
              <w:right w:type="dxa" w:w="120"/>
            </w:tcMar>
          </w:tcPr>
          <w:p>
            <w:r>
              <w:rPr>
                <w:rFonts w:ascii="IBM Plex Sans" w:cs="IBM Plex Sans" w:eastAsia="IBM Plex Sans" w:hAnsi="IBM Plex Sans"/>
                <w:color w:val="5A6070"/>
                <w:sz w:val="19"/>
                <w:szCs w:val="19"/>
              </w:rPr>
              <w:t xml:space="preserve">Set symbol, logo, metadata, energy-type volume indicator</w:t>
            </w:r>
          </w:p>
        </w:tc>
      </w:tr>
      <w:tr>
        <w:tc>
          <w:tcPr>
            <w:tcW w:type="dxa" w:w="540"/>
            <w:tcBorders>
              <w:top w:val="none" w:color="FFFFFF" w:sz="0"/>
              <w:left w:val="none" w:color="FFFFFF" w:sz="0"/>
              <w:bottom w:val="none" w:color="FFFFFF" w:sz="0"/>
              <w:right w:val="none" w:color="FFFFFF" w:sz="0"/>
            </w:tcBorders>
            <w:tcMar>
              <w:top w:type="dxa" w:w="70"/>
              <w:left w:type="dxa" w:w="120"/>
              <w:bottom w:type="dxa" w:w="70"/>
              <w:right w:type="dxa" w:w="120"/>
            </w:tcMar>
          </w:tcPr>
          <w:p>
            <w:pPr>
              <w:jc w:val="center"/>
            </w:pPr>
            <w:r>
              <w:rPr>
                <w:rFonts w:ascii="IBM Plex Mono" w:cs="IBM Plex Mono" w:eastAsia="IBM Plex Mono" w:hAnsi="IBM Plex Mono"/>
                <w:b/>
                <w:bCs/>
                <w:color w:val="0B6E3F"/>
                <w:sz w:val="19"/>
                <w:szCs w:val="19"/>
              </w:rPr>
              <w:t xml:space="preserve">10</w:t>
            </w:r>
          </w:p>
        </w:tc>
        <w:tc>
          <w:tcPr>
            <w:tcW w:type="dxa" w:w="2700"/>
            <w:tcBorders>
              <w:top w:val="none" w:color="FFFFFF" w:sz="0"/>
              <w:left w:val="none" w:color="FFFFFF" w:sz="0"/>
              <w:bottom w:val="none" w:color="FFFFFF" w:sz="0"/>
              <w:right w:val="none" w:color="FFFFFF" w:sz="0"/>
            </w:tcBorders>
            <w:tcMar>
              <w:top w:type="dxa" w:w="70"/>
              <w:left w:type="dxa" w:w="120"/>
              <w:bottom w:type="dxa" w:w="70"/>
              <w:right w:type="dxa" w:w="120"/>
            </w:tcMar>
          </w:tcPr>
          <w:p>
            <w:r>
              <w:rPr>
                <w:rFonts w:ascii="IBM Plex Sans" w:cs="IBM Plex Sans" w:eastAsia="IBM Plex Sans" w:hAnsi="IBM Plex Sans"/>
                <w:b/>
                <w:bCs/>
                <w:color w:val="24272E"/>
                <w:sz w:val="19"/>
                <w:szCs w:val="19"/>
              </w:rPr>
              <w:t xml:space="preserve">Review buttons</w:t>
            </w:r>
          </w:p>
        </w:tc>
        <w:tc>
          <w:tcPr>
            <w:tcW w:type="dxa" w:w="6360"/>
            <w:tcBorders>
              <w:top w:val="none" w:color="FFFFFF" w:sz="0"/>
              <w:left w:val="none" w:color="FFFFFF" w:sz="0"/>
              <w:bottom w:val="none" w:color="FFFFFF" w:sz="0"/>
              <w:right w:val="none" w:color="FFFFFF" w:sz="0"/>
            </w:tcBorders>
            <w:tcMar>
              <w:top w:type="dxa" w:w="70"/>
              <w:left w:type="dxa" w:w="120"/>
              <w:bottom w:type="dxa" w:w="70"/>
              <w:right w:type="dxa" w:w="120"/>
            </w:tcMar>
          </w:tcPr>
          <w:p>
            <w:r>
              <w:rPr>
                <w:rFonts w:ascii="IBM Plex Sans" w:cs="IBM Plex Sans" w:eastAsia="IBM Plex Sans" w:hAnsi="IBM Plex Sans"/>
                <w:color w:val="5A6070"/>
                <w:sz w:val="19"/>
                <w:szCs w:val="19"/>
              </w:rPr>
              <w:t xml:space="preserve">Correct / Wrong with structured reason chips + swipe gesture on mobile</w:t>
            </w:r>
          </w:p>
        </w:tc>
      </w:tr>
    </w:tbl>
    <w:p>
      <w:pPr>
        <w:spacing w:before="200" w:after="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one" w:color="FFFFFF" w:sz="0"/>
              <w:left w:val="single" w:color="0B6E3F" w:sz="10"/>
              <w:bottom w:val="none" w:color="FFFFFF" w:sz="0"/>
              <w:right w:val="none" w:color="FFFFFF" w:sz="0"/>
            </w:tcBorders>
            <w:shd w:fill="F2FDF8" w:val="clear"/>
            <w:tcMar>
              <w:top w:type="dxa" w:w="180"/>
              <w:left w:type="dxa" w:w="280"/>
              <w:bottom w:type="dxa" w:w="180"/>
              <w:right w:type="dxa" w:w="280"/>
            </w:tcMar>
          </w:tcPr>
          <w:p>
            <w:pPr>
              <w:spacing w:after="80"/>
            </w:pPr>
            <w:r>
              <w:rPr>
                <w:rFonts w:ascii="IBM Plex Mono" w:cs="IBM Plex Mono" w:eastAsia="IBM Plex Mono" w:hAnsi="IBM Plex Mono"/>
                <w:b/>
                <w:bCs/>
                <w:color w:val="0B6E3F"/>
                <w:sz w:val="19"/>
                <w:szCs w:val="19"/>
              </w:rPr>
              <w:t xml:space="preserve">THE TRANSFORMATION</w:t>
            </w:r>
          </w:p>
          <w:p>
            <w:pPr>
              <w:spacing w:after="0" w:line="276"/>
            </w:pPr>
            <w:r>
              <w:rPr>
                <w:rFonts w:ascii="IBM Plex Sans" w:cs="IBM Plex Sans" w:eastAsia="IBM Plex Sans" w:hAnsi="IBM Plex Sans"/>
                <w:color w:val="24272E"/>
                <w:sz w:val="21"/>
                <w:szCs w:val="21"/>
              </w:rPr>
              <w:t xml:space="preserve">The panel shifts from a data dump to a verification workbench. The user sees both images on an inspection mat, confirms visually, watches the confidence bars build, scans the comp dot-plot for liquidity, and either snags or passes—all within a single scroll. Tier-specific visual drama ensures grails feel like grails. Domain-native visual language (set symbols, energy-type icons) ensures the product feels built for Pokémon card traders, not assembled from generic dashboard components. Every section directly serves the buy/pass decision.</w:t>
            </w:r>
          </w:p>
        </w:tc>
      </w:tr>
    </w:tbl>
    <w:sectPr>
      <w:headerReference w:type="default" r:id="rId6"/>
      <w:footerReference w:type="default" r:id="rId7"/>
      <w:pgSz w:w="12240" w:h="15840" w:orient="portrait"/>
      <w:pgMar w:top="1200" w:right="120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IBM Plex Mono" w:cs="IBM Plex Mono" w:eastAsia="IBM Plex Mono" w:hAnsi="IBM Plex Mono"/>
        <w:color w:val="B0B6C4"/>
        <w:sz w:val="14"/>
        <w:szCs w:val="14"/>
      </w:rPr>
      <w:t xml:space="preserve">Page </w:t>
    </w:r>
    <w:r>
      <w:rPr>
        <w:rFonts w:ascii="IBM Plex Mono" w:cs="IBM Plex Mono" w:eastAsia="IBM Plex Mono" w:hAnsi="IBM Plex Mono"/>
        <w:color w:val="B0B6C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IBM Plex Mono" w:cs="IBM Plex Mono" w:eastAsia="IBM Plex Mono" w:hAnsi="IBM Plex Mono"/>
        <w:b/>
        <w:bCs/>
        <w:color w:val="0B6E3F"/>
        <w:spacing w:val="60"/>
        <w:sz w:val="14"/>
        <w:szCs w:val="14"/>
      </w:rPr>
      <w:t xml:space="preserve">PokeSnipe</w:t>
    </w:r>
    <w:r>
      <w:rPr>
        <w:rFonts w:ascii="IBM Plex Sans" w:cs="IBM Plex Sans" w:eastAsia="IBM Plex Sans" w:hAnsi="IBM Plex Sans"/>
        <w:color w:val="B0B6C4"/>
        <w:sz w:val="14"/>
        <w:szCs w:val="14"/>
      </w:rPr>
      <w:t xml:space="preserve">  UX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IBM Plex Sans" w:cs="IBM Plex Sans" w:eastAsia="IBM Plex Sans" w:hAnsi="IBM Plex Sans"/>
      <w:b/>
      <w:bCs/>
      <w:color w:val="0C0E12"/>
      <w:sz w:val="44"/>
      <w:szCs w:val="44"/>
    </w:rPr>
  </w:style>
  <w:style w:type="paragraph" w:styleId="Heading2">
    <w:name w:val="Heading 2"/>
    <w:basedOn w:val="Normal"/>
    <w:next w:val="Normal"/>
    <w:qFormat/>
    <w:pPr>
      <w:spacing w:before="400" w:after="140"/>
      <w:outlineLvl w:val="1"/>
    </w:pPr>
    <w:rPr>
      <w:rFonts w:ascii="IBM Plex Sans" w:cs="IBM Plex Sans" w:eastAsia="IBM Plex Sans" w:hAnsi="IBM Plex Sans"/>
      <w:b/>
      <w:bCs/>
      <w:color w:val="1A1D26"/>
      <w:sz w:val="32"/>
      <w:szCs w:val="32"/>
    </w:rPr>
  </w:style>
  <w:style w:type="paragraph" w:styleId="Heading3">
    <w:name w:val="Heading 3"/>
    <w:basedOn w:val="Normal"/>
    <w:next w:val="Normal"/>
    <w:qFormat/>
    <w:pPr>
      <w:spacing w:before="280" w:after="100"/>
      <w:outlineLvl w:val="2"/>
    </w:pPr>
    <w:rPr>
      <w:rFonts w:ascii="IBM Plex Sans" w:cs="IBM Plex Sans" w:eastAsia="IBM Plex Sans" w:hAnsi="IBM Plex Sans"/>
      <w:b/>
      <w:bCs/>
      <w:color w:val="2A2F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2026-02-11T10:49:26.128Z</dcterms:created>
  <dcterms:modified xsi:type="dcterms:W3CDTF">2026-02-11T10:49:26.129Z</dcterms:modified>
</cp:coreProperties>
</file>

<file path=docProps/custom.xml><?xml version="1.0" encoding="utf-8"?>
<Properties xmlns="http://schemas.openxmlformats.org/officeDocument/2006/custom-properties" xmlns:vt="http://schemas.openxmlformats.org/officeDocument/2006/docPropsVTypes"/>
</file>