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39C61" w14:textId="77777777" w:rsidR="004835C2" w:rsidRPr="00C970AE" w:rsidRDefault="004835C2">
      <w:pPr>
        <w:spacing w:line="480" w:lineRule="auto"/>
        <w:rPr>
          <w:rFonts w:asciiTheme="majorHAnsi" w:hAnsiTheme="majorHAnsi" w:cstheme="majorHAnsi"/>
          <w:sz w:val="24"/>
          <w:szCs w:val="24"/>
        </w:rPr>
      </w:pPr>
    </w:p>
    <w:p w14:paraId="2742FB4C" w14:textId="77777777" w:rsidR="004835C2" w:rsidRPr="00C970AE" w:rsidRDefault="004835C2">
      <w:pPr>
        <w:spacing w:line="480" w:lineRule="auto"/>
        <w:rPr>
          <w:rFonts w:asciiTheme="majorHAnsi" w:hAnsiTheme="majorHAnsi" w:cstheme="majorHAnsi"/>
          <w:sz w:val="24"/>
          <w:szCs w:val="24"/>
        </w:rPr>
      </w:pPr>
    </w:p>
    <w:p w14:paraId="1FC6909D" w14:textId="77777777" w:rsidR="004835C2" w:rsidRPr="00C970AE" w:rsidRDefault="004835C2">
      <w:pPr>
        <w:spacing w:line="480" w:lineRule="auto"/>
        <w:rPr>
          <w:rFonts w:asciiTheme="majorHAnsi" w:hAnsiTheme="majorHAnsi" w:cstheme="majorHAnsi"/>
          <w:sz w:val="24"/>
          <w:szCs w:val="24"/>
        </w:rPr>
      </w:pPr>
    </w:p>
    <w:p w14:paraId="1FA69B4C" w14:textId="77777777" w:rsidR="004835C2" w:rsidRPr="00C970AE" w:rsidRDefault="004835C2">
      <w:pPr>
        <w:spacing w:line="480" w:lineRule="auto"/>
        <w:rPr>
          <w:rFonts w:asciiTheme="majorHAnsi" w:hAnsiTheme="majorHAnsi" w:cstheme="majorHAnsi"/>
          <w:sz w:val="24"/>
          <w:szCs w:val="24"/>
        </w:rPr>
      </w:pPr>
    </w:p>
    <w:p w14:paraId="55A0784B" w14:textId="77777777" w:rsidR="004835C2" w:rsidRPr="00C970AE" w:rsidRDefault="00C970AE" w:rsidP="0033332B">
      <w:pPr>
        <w:spacing w:line="480" w:lineRule="auto"/>
        <w:jc w:val="center"/>
        <w:rPr>
          <w:rFonts w:asciiTheme="majorHAnsi" w:hAnsiTheme="majorHAnsi" w:cstheme="majorHAnsi"/>
          <w:sz w:val="24"/>
          <w:szCs w:val="24"/>
        </w:rPr>
      </w:pPr>
      <w:r w:rsidRPr="00C970AE">
        <w:rPr>
          <w:rFonts w:asciiTheme="majorHAnsi" w:hAnsiTheme="majorHAnsi" w:cstheme="majorHAnsi"/>
          <w:sz w:val="24"/>
          <w:szCs w:val="24"/>
        </w:rPr>
        <w:t>Classification using decision trees</w:t>
      </w:r>
    </w:p>
    <w:p w14:paraId="0833AC3E" w14:textId="77777777" w:rsidR="004835C2" w:rsidRPr="00C970AE" w:rsidRDefault="00C970AE" w:rsidP="0033332B">
      <w:pPr>
        <w:spacing w:line="480" w:lineRule="auto"/>
        <w:jc w:val="center"/>
        <w:rPr>
          <w:rFonts w:asciiTheme="majorHAnsi" w:hAnsiTheme="majorHAnsi" w:cstheme="majorHAnsi"/>
          <w:sz w:val="24"/>
          <w:szCs w:val="24"/>
        </w:rPr>
      </w:pPr>
      <w:r w:rsidRPr="00C970AE">
        <w:rPr>
          <w:rFonts w:asciiTheme="majorHAnsi" w:hAnsiTheme="majorHAnsi" w:cstheme="majorHAnsi"/>
          <w:sz w:val="24"/>
          <w:szCs w:val="24"/>
        </w:rPr>
        <w:t>Shaun Pritchard</w:t>
      </w:r>
    </w:p>
    <w:p w14:paraId="41637594" w14:textId="77777777" w:rsidR="004835C2" w:rsidRPr="00C970AE" w:rsidRDefault="00C970AE" w:rsidP="0033332B">
      <w:pPr>
        <w:spacing w:line="480" w:lineRule="auto"/>
        <w:jc w:val="center"/>
        <w:rPr>
          <w:rFonts w:asciiTheme="majorHAnsi" w:hAnsiTheme="majorHAnsi" w:cstheme="majorHAnsi"/>
          <w:sz w:val="24"/>
          <w:szCs w:val="24"/>
        </w:rPr>
      </w:pPr>
      <w:r w:rsidRPr="00C970AE">
        <w:rPr>
          <w:rFonts w:asciiTheme="majorHAnsi" w:hAnsiTheme="majorHAnsi" w:cstheme="majorHAnsi"/>
          <w:sz w:val="24"/>
          <w:szCs w:val="24"/>
        </w:rPr>
        <w:t>Florida Atlantic University</w:t>
      </w:r>
    </w:p>
    <w:p w14:paraId="1FA28B4E" w14:textId="091DE9DE" w:rsidR="004835C2" w:rsidRPr="00C970AE" w:rsidRDefault="00C970AE" w:rsidP="0033332B">
      <w:pPr>
        <w:spacing w:line="480" w:lineRule="auto"/>
        <w:jc w:val="center"/>
        <w:rPr>
          <w:rFonts w:asciiTheme="majorHAnsi" w:hAnsiTheme="majorHAnsi" w:cstheme="majorHAnsi"/>
          <w:sz w:val="24"/>
          <w:szCs w:val="24"/>
        </w:rPr>
      </w:pPr>
      <w:r w:rsidRPr="00C970AE">
        <w:rPr>
          <w:rFonts w:asciiTheme="majorHAnsi" w:hAnsiTheme="majorHAnsi" w:cstheme="majorHAnsi"/>
          <w:sz w:val="24"/>
          <w:szCs w:val="24"/>
        </w:rPr>
        <w:t>CAP 6778</w:t>
      </w:r>
    </w:p>
    <w:p w14:paraId="39C6EF53" w14:textId="77777777" w:rsidR="004835C2" w:rsidRPr="00C970AE" w:rsidRDefault="00C970AE" w:rsidP="0033332B">
      <w:pPr>
        <w:spacing w:line="480" w:lineRule="auto"/>
        <w:jc w:val="center"/>
        <w:rPr>
          <w:rFonts w:asciiTheme="majorHAnsi" w:hAnsiTheme="majorHAnsi" w:cstheme="majorHAnsi"/>
          <w:sz w:val="24"/>
          <w:szCs w:val="24"/>
        </w:rPr>
      </w:pPr>
      <w:r w:rsidRPr="00C970AE">
        <w:rPr>
          <w:rFonts w:asciiTheme="majorHAnsi" w:hAnsiTheme="majorHAnsi" w:cstheme="majorHAnsi"/>
          <w:sz w:val="24"/>
          <w:szCs w:val="24"/>
        </w:rPr>
        <w:t>September -17-2021</w:t>
      </w:r>
    </w:p>
    <w:p w14:paraId="1FD821A4" w14:textId="77777777" w:rsidR="004835C2" w:rsidRPr="00C970AE" w:rsidRDefault="00C970AE" w:rsidP="0033332B">
      <w:pPr>
        <w:spacing w:line="480" w:lineRule="auto"/>
        <w:jc w:val="center"/>
        <w:rPr>
          <w:rFonts w:asciiTheme="majorHAnsi" w:hAnsiTheme="majorHAnsi" w:cstheme="majorHAnsi"/>
          <w:sz w:val="24"/>
          <w:szCs w:val="24"/>
        </w:rPr>
      </w:pPr>
      <w:r w:rsidRPr="00C970AE">
        <w:rPr>
          <w:rFonts w:asciiTheme="majorHAnsi" w:hAnsiTheme="majorHAnsi" w:cstheme="majorHAnsi"/>
          <w:sz w:val="24"/>
          <w:szCs w:val="24"/>
        </w:rPr>
        <w:t>M. Khoshgoftaar</w:t>
      </w:r>
    </w:p>
    <w:p w14:paraId="418F45ED" w14:textId="77777777" w:rsidR="004835C2" w:rsidRPr="00C970AE" w:rsidRDefault="004835C2">
      <w:pPr>
        <w:spacing w:line="480" w:lineRule="auto"/>
        <w:rPr>
          <w:rFonts w:asciiTheme="majorHAnsi" w:hAnsiTheme="majorHAnsi" w:cstheme="majorHAnsi"/>
          <w:sz w:val="24"/>
          <w:szCs w:val="24"/>
        </w:rPr>
      </w:pPr>
    </w:p>
    <w:p w14:paraId="307A7B87" w14:textId="77777777" w:rsidR="004835C2" w:rsidRPr="00C970AE" w:rsidRDefault="004835C2">
      <w:pPr>
        <w:spacing w:line="480" w:lineRule="auto"/>
        <w:rPr>
          <w:rFonts w:asciiTheme="majorHAnsi" w:hAnsiTheme="majorHAnsi" w:cstheme="majorHAnsi"/>
          <w:sz w:val="24"/>
          <w:szCs w:val="24"/>
        </w:rPr>
      </w:pPr>
    </w:p>
    <w:p w14:paraId="65E1A921" w14:textId="77777777" w:rsidR="004835C2" w:rsidRPr="00C970AE" w:rsidRDefault="004835C2">
      <w:pPr>
        <w:spacing w:line="480" w:lineRule="auto"/>
        <w:rPr>
          <w:rFonts w:asciiTheme="majorHAnsi" w:hAnsiTheme="majorHAnsi" w:cstheme="majorHAnsi"/>
          <w:sz w:val="24"/>
          <w:szCs w:val="24"/>
        </w:rPr>
      </w:pPr>
    </w:p>
    <w:p w14:paraId="1D2254F2" w14:textId="77777777" w:rsidR="004835C2" w:rsidRPr="00C970AE" w:rsidRDefault="004835C2">
      <w:pPr>
        <w:spacing w:line="480" w:lineRule="auto"/>
        <w:rPr>
          <w:rFonts w:asciiTheme="majorHAnsi" w:hAnsiTheme="majorHAnsi" w:cstheme="majorHAnsi"/>
          <w:sz w:val="24"/>
          <w:szCs w:val="24"/>
        </w:rPr>
      </w:pPr>
    </w:p>
    <w:p w14:paraId="4921885A" w14:textId="77777777" w:rsidR="004835C2" w:rsidRPr="00C970AE" w:rsidRDefault="004835C2">
      <w:pPr>
        <w:spacing w:line="480" w:lineRule="auto"/>
        <w:rPr>
          <w:rFonts w:asciiTheme="majorHAnsi" w:hAnsiTheme="majorHAnsi" w:cstheme="majorHAnsi"/>
          <w:sz w:val="24"/>
          <w:szCs w:val="24"/>
        </w:rPr>
      </w:pPr>
    </w:p>
    <w:p w14:paraId="2678C6A1" w14:textId="77777777" w:rsidR="004835C2" w:rsidRPr="00C970AE" w:rsidRDefault="004835C2">
      <w:pPr>
        <w:spacing w:line="480" w:lineRule="auto"/>
        <w:rPr>
          <w:rFonts w:asciiTheme="majorHAnsi" w:hAnsiTheme="majorHAnsi" w:cstheme="majorHAnsi"/>
          <w:sz w:val="24"/>
          <w:szCs w:val="24"/>
        </w:rPr>
      </w:pPr>
    </w:p>
    <w:p w14:paraId="0268D17A" w14:textId="77777777" w:rsidR="004835C2" w:rsidRPr="00C970AE" w:rsidRDefault="004835C2">
      <w:pPr>
        <w:spacing w:line="480" w:lineRule="auto"/>
        <w:rPr>
          <w:rFonts w:asciiTheme="majorHAnsi" w:hAnsiTheme="majorHAnsi" w:cstheme="majorHAnsi"/>
          <w:sz w:val="24"/>
          <w:szCs w:val="24"/>
        </w:rPr>
      </w:pPr>
    </w:p>
    <w:p w14:paraId="0A38F7A3" w14:textId="5BA18DD6" w:rsidR="004835C2" w:rsidRPr="00C970AE" w:rsidRDefault="004835C2">
      <w:pPr>
        <w:spacing w:line="480" w:lineRule="auto"/>
        <w:rPr>
          <w:rFonts w:asciiTheme="majorHAnsi" w:hAnsiTheme="majorHAnsi" w:cstheme="majorHAnsi"/>
          <w:sz w:val="24"/>
          <w:szCs w:val="24"/>
        </w:rPr>
      </w:pPr>
    </w:p>
    <w:p w14:paraId="5FCB40AD" w14:textId="137D294E" w:rsidR="0033332B" w:rsidRPr="00C970AE" w:rsidRDefault="0033332B">
      <w:pPr>
        <w:spacing w:line="480" w:lineRule="auto"/>
        <w:rPr>
          <w:rFonts w:asciiTheme="majorHAnsi" w:hAnsiTheme="majorHAnsi" w:cstheme="majorHAnsi"/>
          <w:sz w:val="24"/>
          <w:szCs w:val="24"/>
        </w:rPr>
      </w:pPr>
    </w:p>
    <w:p w14:paraId="43A663DC" w14:textId="6151D68C" w:rsidR="0033332B" w:rsidRPr="00C970AE" w:rsidRDefault="0033332B">
      <w:pPr>
        <w:spacing w:line="480" w:lineRule="auto"/>
        <w:rPr>
          <w:rFonts w:asciiTheme="majorHAnsi" w:hAnsiTheme="majorHAnsi" w:cstheme="majorHAnsi"/>
          <w:sz w:val="24"/>
          <w:szCs w:val="24"/>
        </w:rPr>
      </w:pPr>
    </w:p>
    <w:p w14:paraId="1BA09AB8" w14:textId="7B5C40DC" w:rsidR="0033332B" w:rsidRPr="00C970AE" w:rsidRDefault="0033332B">
      <w:pPr>
        <w:spacing w:line="480" w:lineRule="auto"/>
        <w:rPr>
          <w:rFonts w:asciiTheme="majorHAnsi" w:hAnsiTheme="majorHAnsi" w:cstheme="majorHAnsi"/>
          <w:sz w:val="24"/>
          <w:szCs w:val="24"/>
        </w:rPr>
      </w:pPr>
    </w:p>
    <w:p w14:paraId="1D3124B8" w14:textId="015A76CC" w:rsidR="0033332B" w:rsidRPr="00C970AE" w:rsidRDefault="0033332B">
      <w:pPr>
        <w:spacing w:line="480" w:lineRule="auto"/>
        <w:rPr>
          <w:rFonts w:asciiTheme="majorHAnsi" w:hAnsiTheme="majorHAnsi" w:cstheme="majorHAnsi"/>
          <w:sz w:val="24"/>
          <w:szCs w:val="24"/>
        </w:rPr>
      </w:pPr>
    </w:p>
    <w:p w14:paraId="068C1C52" w14:textId="48272FB6" w:rsidR="0033332B" w:rsidRPr="00C970AE" w:rsidRDefault="0033332B">
      <w:pPr>
        <w:spacing w:line="480" w:lineRule="auto"/>
        <w:rPr>
          <w:rFonts w:asciiTheme="majorHAnsi" w:hAnsiTheme="majorHAnsi" w:cstheme="majorHAnsi"/>
          <w:sz w:val="24"/>
          <w:szCs w:val="24"/>
        </w:rPr>
      </w:pPr>
    </w:p>
    <w:p w14:paraId="225E27C0" w14:textId="1127C80B" w:rsidR="0033332B" w:rsidRPr="00C970AE" w:rsidRDefault="0033332B">
      <w:pPr>
        <w:spacing w:line="480" w:lineRule="auto"/>
        <w:rPr>
          <w:rFonts w:asciiTheme="majorHAnsi" w:hAnsiTheme="majorHAnsi" w:cstheme="majorHAnsi"/>
          <w:sz w:val="24"/>
          <w:szCs w:val="24"/>
        </w:rPr>
      </w:pPr>
    </w:p>
    <w:p w14:paraId="3E3218ED" w14:textId="77777777" w:rsidR="0033332B" w:rsidRPr="00C970AE" w:rsidRDefault="0033332B">
      <w:pPr>
        <w:spacing w:line="480" w:lineRule="auto"/>
        <w:rPr>
          <w:rFonts w:asciiTheme="majorHAnsi" w:hAnsiTheme="majorHAnsi" w:cstheme="majorHAnsi"/>
          <w:sz w:val="24"/>
          <w:szCs w:val="24"/>
        </w:rPr>
      </w:pPr>
    </w:p>
    <w:p w14:paraId="4680D22D" w14:textId="77777777" w:rsidR="004835C2" w:rsidRPr="00C970AE" w:rsidRDefault="004835C2">
      <w:pPr>
        <w:spacing w:line="480" w:lineRule="auto"/>
        <w:rPr>
          <w:rFonts w:asciiTheme="majorHAnsi" w:hAnsiTheme="majorHAnsi" w:cstheme="majorHAnsi"/>
          <w:sz w:val="24"/>
          <w:szCs w:val="24"/>
        </w:rPr>
      </w:pPr>
    </w:p>
    <w:p w14:paraId="570BEE64" w14:textId="77777777" w:rsidR="004835C2" w:rsidRPr="00C970AE" w:rsidRDefault="00C970AE" w:rsidP="0033332B">
      <w:pPr>
        <w:spacing w:line="480" w:lineRule="auto"/>
        <w:jc w:val="center"/>
        <w:rPr>
          <w:rFonts w:asciiTheme="majorHAnsi" w:hAnsiTheme="majorHAnsi" w:cstheme="majorHAnsi"/>
          <w:b/>
          <w:sz w:val="24"/>
          <w:szCs w:val="24"/>
        </w:rPr>
      </w:pPr>
      <w:r w:rsidRPr="00C970AE">
        <w:rPr>
          <w:rFonts w:asciiTheme="majorHAnsi" w:hAnsiTheme="majorHAnsi" w:cstheme="majorHAnsi"/>
          <w:b/>
          <w:sz w:val="24"/>
          <w:szCs w:val="24"/>
        </w:rPr>
        <w:t>Part 1: Initial tree</w:t>
      </w:r>
    </w:p>
    <w:p w14:paraId="7FC54C04" w14:textId="77777777"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t>The  data set provides 23 instances of ACL features and 72 instances of nonACL features. Approximately 31.94 % instance  variance between the classes. Also note, when there are a large number of samples in different classes (unbalanced target), accuracy is</w:t>
      </w:r>
      <w:r w:rsidRPr="00C970AE">
        <w:rPr>
          <w:rFonts w:asciiTheme="majorHAnsi" w:hAnsiTheme="majorHAnsi" w:cstheme="majorHAnsi"/>
          <w:sz w:val="24"/>
          <w:szCs w:val="24"/>
        </w:rPr>
        <w:t xml:space="preserve"> not a very reliable metric for the true performance of a classifier. </w:t>
      </w:r>
    </w:p>
    <w:p w14:paraId="4F021F8D" w14:textId="77777777"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t>In the initial classification model based on J48 with 10 k-fold cross validation,  78 % of instances of the model were correctly correlated and 22 % incorrectly correlated. For this mod</w:t>
      </w:r>
      <w:r w:rsidRPr="00C970AE">
        <w:rPr>
          <w:rFonts w:asciiTheme="majorHAnsi" w:hAnsiTheme="majorHAnsi" w:cstheme="majorHAnsi"/>
          <w:sz w:val="24"/>
          <w:szCs w:val="24"/>
        </w:rPr>
        <w:t>el, the MAE was calculated at 0.2178, which is a very good baseline. Despite comparing up to 78% of the correctly classified instances, it does not seem to be very strong in comparison.</w:t>
      </w:r>
    </w:p>
    <w:p w14:paraId="1F8145DB" w14:textId="77777777"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t>The misclassification error rates for both types of misclassifications</w:t>
      </w:r>
      <w:r w:rsidRPr="00C970AE">
        <w:rPr>
          <w:rFonts w:asciiTheme="majorHAnsi" w:hAnsiTheme="majorHAnsi" w:cstheme="majorHAnsi"/>
          <w:sz w:val="24"/>
          <w:szCs w:val="24"/>
        </w:rPr>
        <w:t xml:space="preserve"> from the confusion matrix are as follows in Table 1.1.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835C2" w:rsidRPr="00C970AE" w14:paraId="5427E823" w14:textId="77777777">
        <w:tc>
          <w:tcPr>
            <w:tcW w:w="3120" w:type="dxa"/>
            <w:shd w:val="clear" w:color="auto" w:fill="auto"/>
            <w:tcMar>
              <w:top w:w="100" w:type="dxa"/>
              <w:left w:w="100" w:type="dxa"/>
              <w:bottom w:w="100" w:type="dxa"/>
              <w:right w:w="100" w:type="dxa"/>
            </w:tcMar>
          </w:tcPr>
          <w:p w14:paraId="3D61B009" w14:textId="77777777"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t>a</w:t>
            </w:r>
          </w:p>
        </w:tc>
        <w:tc>
          <w:tcPr>
            <w:tcW w:w="3120" w:type="dxa"/>
            <w:shd w:val="clear" w:color="auto" w:fill="auto"/>
            <w:tcMar>
              <w:top w:w="100" w:type="dxa"/>
              <w:left w:w="100" w:type="dxa"/>
              <w:bottom w:w="100" w:type="dxa"/>
              <w:right w:w="100" w:type="dxa"/>
            </w:tcMar>
          </w:tcPr>
          <w:p w14:paraId="67AB1C10" w14:textId="77777777"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t>b</w:t>
            </w:r>
          </w:p>
        </w:tc>
        <w:tc>
          <w:tcPr>
            <w:tcW w:w="3120" w:type="dxa"/>
            <w:shd w:val="clear" w:color="auto" w:fill="auto"/>
            <w:tcMar>
              <w:top w:w="100" w:type="dxa"/>
              <w:left w:w="100" w:type="dxa"/>
              <w:bottom w:w="100" w:type="dxa"/>
              <w:right w:w="100" w:type="dxa"/>
            </w:tcMar>
          </w:tcPr>
          <w:p w14:paraId="2A608701" w14:textId="77777777" w:rsidR="004835C2" w:rsidRPr="00C970AE" w:rsidRDefault="004835C2">
            <w:pPr>
              <w:spacing w:line="480" w:lineRule="auto"/>
              <w:rPr>
                <w:rFonts w:asciiTheme="majorHAnsi" w:hAnsiTheme="majorHAnsi" w:cstheme="majorHAnsi"/>
                <w:sz w:val="24"/>
                <w:szCs w:val="24"/>
              </w:rPr>
            </w:pPr>
          </w:p>
        </w:tc>
      </w:tr>
      <w:tr w:rsidR="004835C2" w:rsidRPr="00C970AE" w14:paraId="33FDA776" w14:textId="77777777">
        <w:tc>
          <w:tcPr>
            <w:tcW w:w="3120" w:type="dxa"/>
            <w:shd w:val="clear" w:color="auto" w:fill="auto"/>
            <w:tcMar>
              <w:top w:w="100" w:type="dxa"/>
              <w:left w:w="100" w:type="dxa"/>
              <w:bottom w:w="100" w:type="dxa"/>
              <w:right w:w="100" w:type="dxa"/>
            </w:tcMar>
          </w:tcPr>
          <w:p w14:paraId="1A015817" w14:textId="77777777"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t>14</w:t>
            </w:r>
          </w:p>
        </w:tc>
        <w:tc>
          <w:tcPr>
            <w:tcW w:w="3120" w:type="dxa"/>
            <w:shd w:val="clear" w:color="auto" w:fill="auto"/>
            <w:tcMar>
              <w:top w:w="100" w:type="dxa"/>
              <w:left w:w="100" w:type="dxa"/>
              <w:bottom w:w="100" w:type="dxa"/>
              <w:right w:w="100" w:type="dxa"/>
            </w:tcMar>
          </w:tcPr>
          <w:p w14:paraId="409D27DF" w14:textId="77777777"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t>9</w:t>
            </w:r>
          </w:p>
        </w:tc>
        <w:tc>
          <w:tcPr>
            <w:tcW w:w="3120" w:type="dxa"/>
            <w:shd w:val="clear" w:color="auto" w:fill="auto"/>
            <w:tcMar>
              <w:top w:w="100" w:type="dxa"/>
              <w:left w:w="100" w:type="dxa"/>
              <w:bottom w:w="100" w:type="dxa"/>
              <w:right w:w="100" w:type="dxa"/>
            </w:tcMar>
          </w:tcPr>
          <w:p w14:paraId="680F74B8" w14:textId="77777777"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t>A =ACL</w:t>
            </w:r>
          </w:p>
        </w:tc>
      </w:tr>
      <w:tr w:rsidR="004835C2" w:rsidRPr="00C970AE" w14:paraId="4BED96BE" w14:textId="77777777">
        <w:tc>
          <w:tcPr>
            <w:tcW w:w="3120" w:type="dxa"/>
            <w:shd w:val="clear" w:color="auto" w:fill="auto"/>
            <w:tcMar>
              <w:top w:w="100" w:type="dxa"/>
              <w:left w:w="100" w:type="dxa"/>
              <w:bottom w:w="100" w:type="dxa"/>
              <w:right w:w="100" w:type="dxa"/>
            </w:tcMar>
          </w:tcPr>
          <w:p w14:paraId="250E33EF" w14:textId="77777777"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t>12</w:t>
            </w:r>
          </w:p>
        </w:tc>
        <w:tc>
          <w:tcPr>
            <w:tcW w:w="3120" w:type="dxa"/>
            <w:shd w:val="clear" w:color="auto" w:fill="auto"/>
            <w:tcMar>
              <w:top w:w="100" w:type="dxa"/>
              <w:left w:w="100" w:type="dxa"/>
              <w:bottom w:w="100" w:type="dxa"/>
              <w:right w:w="100" w:type="dxa"/>
            </w:tcMar>
          </w:tcPr>
          <w:p w14:paraId="2CEB180A" w14:textId="77777777"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t>60</w:t>
            </w:r>
          </w:p>
        </w:tc>
        <w:tc>
          <w:tcPr>
            <w:tcW w:w="3120" w:type="dxa"/>
            <w:shd w:val="clear" w:color="auto" w:fill="auto"/>
            <w:tcMar>
              <w:top w:w="100" w:type="dxa"/>
              <w:left w:w="100" w:type="dxa"/>
              <w:bottom w:w="100" w:type="dxa"/>
              <w:right w:w="100" w:type="dxa"/>
            </w:tcMar>
          </w:tcPr>
          <w:p w14:paraId="520604A9" w14:textId="77777777"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t>B = NonACL</w:t>
            </w:r>
          </w:p>
        </w:tc>
      </w:tr>
    </w:tbl>
    <w:p w14:paraId="74BCDE92" w14:textId="77777777"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t>Table 1.1</w:t>
      </w:r>
    </w:p>
    <w:p w14:paraId="0CB3884B" w14:textId="77777777"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t>The (ROC) Receiver Operator Characteristic  shows the weighted average below the curve at 0.732, nonACL at 0.731, and ACL at 0.736. This confirms the precision of the model inference.</w:t>
      </w:r>
    </w:p>
    <w:p w14:paraId="5E806575" w14:textId="77777777"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lastRenderedPageBreak/>
        <w:t xml:space="preserve">The data shows ACL classification 14 correct classification compared to </w:t>
      </w:r>
      <w:r w:rsidRPr="00C970AE">
        <w:rPr>
          <w:rFonts w:asciiTheme="majorHAnsi" w:hAnsiTheme="majorHAnsi" w:cstheme="majorHAnsi"/>
          <w:sz w:val="24"/>
          <w:szCs w:val="24"/>
        </w:rPr>
        <w:t>60 correct classification for nonACL. There are 12 Type I classifications and 9 Type II classifications.</w:t>
      </w:r>
    </w:p>
    <w:p w14:paraId="7EC12CE4" w14:textId="77777777" w:rsidR="004835C2" w:rsidRPr="00C970AE" w:rsidRDefault="00C970AE">
      <w:pPr>
        <w:numPr>
          <w:ilvl w:val="0"/>
          <w:numId w:val="1"/>
        </w:numPr>
        <w:spacing w:line="480" w:lineRule="auto"/>
        <w:rPr>
          <w:rFonts w:asciiTheme="majorHAnsi" w:hAnsiTheme="majorHAnsi" w:cstheme="majorHAnsi"/>
          <w:sz w:val="24"/>
          <w:szCs w:val="24"/>
        </w:rPr>
      </w:pPr>
      <w:r w:rsidRPr="00C970AE">
        <w:rPr>
          <w:rFonts w:asciiTheme="majorHAnsi" w:hAnsiTheme="majorHAnsi" w:cstheme="majorHAnsi"/>
          <w:sz w:val="24"/>
          <w:szCs w:val="24"/>
        </w:rPr>
        <w:t>Type I (False Positive): a nonACL module is classified as ACL</w:t>
      </w:r>
    </w:p>
    <w:p w14:paraId="53E41C8A" w14:textId="0956DA6F" w:rsidR="004835C2" w:rsidRPr="00C970AE" w:rsidRDefault="00C970AE">
      <w:pPr>
        <w:numPr>
          <w:ilvl w:val="0"/>
          <w:numId w:val="1"/>
        </w:numPr>
        <w:spacing w:line="480" w:lineRule="auto"/>
        <w:rPr>
          <w:rFonts w:asciiTheme="majorHAnsi" w:hAnsiTheme="majorHAnsi" w:cstheme="majorHAnsi"/>
          <w:sz w:val="24"/>
          <w:szCs w:val="24"/>
        </w:rPr>
      </w:pPr>
      <w:r w:rsidRPr="00C970AE">
        <w:rPr>
          <w:rFonts w:asciiTheme="majorHAnsi" w:hAnsiTheme="majorHAnsi" w:cstheme="majorHAnsi"/>
          <w:sz w:val="24"/>
          <w:szCs w:val="24"/>
        </w:rPr>
        <w:t xml:space="preserve">Type II (False Negative): </w:t>
      </w:r>
      <w:r w:rsidR="0033332B" w:rsidRPr="00C970AE">
        <w:rPr>
          <w:rFonts w:asciiTheme="majorHAnsi" w:hAnsiTheme="majorHAnsi" w:cstheme="majorHAnsi"/>
          <w:sz w:val="24"/>
          <w:szCs w:val="24"/>
        </w:rPr>
        <w:t>an</w:t>
      </w:r>
      <w:r w:rsidRPr="00C970AE">
        <w:rPr>
          <w:rFonts w:asciiTheme="majorHAnsi" w:hAnsiTheme="majorHAnsi" w:cstheme="majorHAnsi"/>
          <w:sz w:val="24"/>
          <w:szCs w:val="24"/>
        </w:rPr>
        <w:t xml:space="preserve"> ACL module is classified as nonACL</w:t>
      </w:r>
    </w:p>
    <w:p w14:paraId="7127C1C2" w14:textId="77777777"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t xml:space="preserve">According to the J48 tree </w:t>
      </w:r>
      <w:r w:rsidRPr="00C970AE">
        <w:rPr>
          <w:rFonts w:asciiTheme="majorHAnsi" w:hAnsiTheme="majorHAnsi" w:cstheme="majorHAnsi"/>
          <w:sz w:val="24"/>
          <w:szCs w:val="24"/>
        </w:rPr>
        <w:t>classification in Figure 1.2 below, there are 13 sizes and 7 leaves. Below is a list of 7 leaves more suited for the nonACL classification.</w:t>
      </w:r>
    </w:p>
    <w:p w14:paraId="1D411156" w14:textId="77777777"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t xml:space="preserve"> Figure 1.1</w:t>
      </w:r>
    </w:p>
    <w:p w14:paraId="71A8AC83" w14:textId="640683FA"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noProof/>
          <w:sz w:val="24"/>
          <w:szCs w:val="24"/>
        </w:rPr>
        <w:drawing>
          <wp:inline distT="114300" distB="114300" distL="114300" distR="114300" wp14:anchorId="69EA083A" wp14:editId="524A8E68">
            <wp:extent cx="5943600" cy="3937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937000"/>
                    </a:xfrm>
                    <a:prstGeom prst="rect">
                      <a:avLst/>
                    </a:prstGeom>
                    <a:ln/>
                  </pic:spPr>
                </pic:pic>
              </a:graphicData>
            </a:graphic>
          </wp:inline>
        </w:drawing>
      </w:r>
    </w:p>
    <w:p w14:paraId="6EEF0BA8" w14:textId="77777777" w:rsidR="004835C2" w:rsidRPr="00C970AE" w:rsidRDefault="00C970AE" w:rsidP="0033332B">
      <w:pPr>
        <w:spacing w:line="480" w:lineRule="auto"/>
        <w:jc w:val="center"/>
        <w:rPr>
          <w:rFonts w:asciiTheme="majorHAnsi" w:hAnsiTheme="majorHAnsi" w:cstheme="majorHAnsi"/>
          <w:b/>
          <w:sz w:val="24"/>
          <w:szCs w:val="24"/>
        </w:rPr>
      </w:pPr>
      <w:r w:rsidRPr="00C970AE">
        <w:rPr>
          <w:rFonts w:asciiTheme="majorHAnsi" w:hAnsiTheme="majorHAnsi" w:cstheme="majorHAnsi"/>
          <w:b/>
          <w:sz w:val="24"/>
          <w:szCs w:val="24"/>
        </w:rPr>
        <w:t>Part 2: Unpruned tree</w:t>
      </w:r>
    </w:p>
    <w:p w14:paraId="639F25CA" w14:textId="77777777"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t xml:space="preserve">Setting the J48 10 k-fold cross validation with the attribute to unpruned. The observations show 80% correctly classified instances and 20% incorrectly classified instances. The MAE is 0.209 which is slightly lower than the initial J48 tree classification </w:t>
      </w:r>
      <w:r w:rsidRPr="00C970AE">
        <w:rPr>
          <w:rFonts w:asciiTheme="majorHAnsi" w:hAnsiTheme="majorHAnsi" w:cstheme="majorHAnsi"/>
          <w:sz w:val="24"/>
          <w:szCs w:val="24"/>
        </w:rPr>
        <w:t>above.</w:t>
      </w:r>
    </w:p>
    <w:p w14:paraId="6B7996AA" w14:textId="77777777"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lastRenderedPageBreak/>
        <w:t xml:space="preserve"> The misclassification error rates for both types of misclassifications from the confusion matrix are as follows in Table 2.1.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835C2" w:rsidRPr="00C970AE" w14:paraId="7D4255F7" w14:textId="77777777">
        <w:tc>
          <w:tcPr>
            <w:tcW w:w="3120" w:type="dxa"/>
            <w:shd w:val="clear" w:color="auto" w:fill="auto"/>
            <w:tcMar>
              <w:top w:w="100" w:type="dxa"/>
              <w:left w:w="100" w:type="dxa"/>
              <w:bottom w:w="100" w:type="dxa"/>
              <w:right w:w="100" w:type="dxa"/>
            </w:tcMar>
          </w:tcPr>
          <w:p w14:paraId="3295E142" w14:textId="77777777"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t>a</w:t>
            </w:r>
          </w:p>
        </w:tc>
        <w:tc>
          <w:tcPr>
            <w:tcW w:w="3120" w:type="dxa"/>
            <w:shd w:val="clear" w:color="auto" w:fill="auto"/>
            <w:tcMar>
              <w:top w:w="100" w:type="dxa"/>
              <w:left w:w="100" w:type="dxa"/>
              <w:bottom w:w="100" w:type="dxa"/>
              <w:right w:w="100" w:type="dxa"/>
            </w:tcMar>
          </w:tcPr>
          <w:p w14:paraId="3AEF713A" w14:textId="77777777"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t>b</w:t>
            </w:r>
          </w:p>
        </w:tc>
        <w:tc>
          <w:tcPr>
            <w:tcW w:w="3120" w:type="dxa"/>
            <w:shd w:val="clear" w:color="auto" w:fill="auto"/>
            <w:tcMar>
              <w:top w:w="100" w:type="dxa"/>
              <w:left w:w="100" w:type="dxa"/>
              <w:bottom w:w="100" w:type="dxa"/>
              <w:right w:w="100" w:type="dxa"/>
            </w:tcMar>
          </w:tcPr>
          <w:p w14:paraId="0ED78628" w14:textId="77777777" w:rsidR="004835C2" w:rsidRPr="00C970AE" w:rsidRDefault="004835C2">
            <w:pPr>
              <w:spacing w:line="480" w:lineRule="auto"/>
              <w:rPr>
                <w:rFonts w:asciiTheme="majorHAnsi" w:hAnsiTheme="majorHAnsi" w:cstheme="majorHAnsi"/>
                <w:sz w:val="24"/>
                <w:szCs w:val="24"/>
              </w:rPr>
            </w:pPr>
          </w:p>
        </w:tc>
      </w:tr>
      <w:tr w:rsidR="004835C2" w:rsidRPr="00C970AE" w14:paraId="5137A2C1" w14:textId="77777777">
        <w:tc>
          <w:tcPr>
            <w:tcW w:w="3120" w:type="dxa"/>
            <w:shd w:val="clear" w:color="auto" w:fill="auto"/>
            <w:tcMar>
              <w:top w:w="100" w:type="dxa"/>
              <w:left w:w="100" w:type="dxa"/>
              <w:bottom w:w="100" w:type="dxa"/>
              <w:right w:w="100" w:type="dxa"/>
            </w:tcMar>
          </w:tcPr>
          <w:p w14:paraId="74E8CFBA" w14:textId="77777777"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t>14</w:t>
            </w:r>
          </w:p>
        </w:tc>
        <w:tc>
          <w:tcPr>
            <w:tcW w:w="3120" w:type="dxa"/>
            <w:shd w:val="clear" w:color="auto" w:fill="auto"/>
            <w:tcMar>
              <w:top w:w="100" w:type="dxa"/>
              <w:left w:w="100" w:type="dxa"/>
              <w:bottom w:w="100" w:type="dxa"/>
              <w:right w:w="100" w:type="dxa"/>
            </w:tcMar>
          </w:tcPr>
          <w:p w14:paraId="2275FB19" w14:textId="77777777"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t>9</w:t>
            </w:r>
          </w:p>
        </w:tc>
        <w:tc>
          <w:tcPr>
            <w:tcW w:w="3120" w:type="dxa"/>
            <w:shd w:val="clear" w:color="auto" w:fill="auto"/>
            <w:tcMar>
              <w:top w:w="100" w:type="dxa"/>
              <w:left w:w="100" w:type="dxa"/>
              <w:bottom w:w="100" w:type="dxa"/>
              <w:right w:w="100" w:type="dxa"/>
            </w:tcMar>
          </w:tcPr>
          <w:p w14:paraId="232EB08C" w14:textId="77777777"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t>A =ACL</w:t>
            </w:r>
          </w:p>
        </w:tc>
      </w:tr>
      <w:tr w:rsidR="004835C2" w:rsidRPr="00C970AE" w14:paraId="5C42CFAE" w14:textId="77777777">
        <w:tc>
          <w:tcPr>
            <w:tcW w:w="3120" w:type="dxa"/>
            <w:shd w:val="clear" w:color="auto" w:fill="auto"/>
            <w:tcMar>
              <w:top w:w="100" w:type="dxa"/>
              <w:left w:w="100" w:type="dxa"/>
              <w:bottom w:w="100" w:type="dxa"/>
              <w:right w:w="100" w:type="dxa"/>
            </w:tcMar>
          </w:tcPr>
          <w:p w14:paraId="5E6BB348" w14:textId="77777777"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t>10</w:t>
            </w:r>
          </w:p>
        </w:tc>
        <w:tc>
          <w:tcPr>
            <w:tcW w:w="3120" w:type="dxa"/>
            <w:shd w:val="clear" w:color="auto" w:fill="auto"/>
            <w:tcMar>
              <w:top w:w="100" w:type="dxa"/>
              <w:left w:w="100" w:type="dxa"/>
              <w:bottom w:w="100" w:type="dxa"/>
              <w:right w:w="100" w:type="dxa"/>
            </w:tcMar>
          </w:tcPr>
          <w:p w14:paraId="64C9C3F2" w14:textId="77777777"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t>62</w:t>
            </w:r>
          </w:p>
        </w:tc>
        <w:tc>
          <w:tcPr>
            <w:tcW w:w="3120" w:type="dxa"/>
            <w:shd w:val="clear" w:color="auto" w:fill="auto"/>
            <w:tcMar>
              <w:top w:w="100" w:type="dxa"/>
              <w:left w:w="100" w:type="dxa"/>
              <w:bottom w:w="100" w:type="dxa"/>
              <w:right w:w="100" w:type="dxa"/>
            </w:tcMar>
          </w:tcPr>
          <w:p w14:paraId="2B6EFF3F" w14:textId="77777777"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t>B = NonACL</w:t>
            </w:r>
          </w:p>
        </w:tc>
      </w:tr>
    </w:tbl>
    <w:p w14:paraId="0A261E1B" w14:textId="77777777" w:rsidR="004835C2" w:rsidRPr="00C970AE" w:rsidRDefault="00C970AE">
      <w:pPr>
        <w:spacing w:line="480" w:lineRule="auto"/>
        <w:rPr>
          <w:rFonts w:asciiTheme="majorHAnsi" w:hAnsiTheme="majorHAnsi" w:cstheme="majorHAnsi"/>
          <w:b/>
          <w:bCs/>
          <w:sz w:val="24"/>
          <w:szCs w:val="24"/>
        </w:rPr>
      </w:pPr>
      <w:r w:rsidRPr="00C970AE">
        <w:rPr>
          <w:rFonts w:asciiTheme="majorHAnsi" w:hAnsiTheme="majorHAnsi" w:cstheme="majorHAnsi"/>
          <w:b/>
          <w:bCs/>
          <w:sz w:val="24"/>
          <w:szCs w:val="24"/>
        </w:rPr>
        <w:t>Table 1.1</w:t>
      </w:r>
    </w:p>
    <w:p w14:paraId="735DA7C1" w14:textId="77777777"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t>The (ROC) Receiver Operator Characteristic  shows the weighted average below the curve at 0.732, nonACL at 0.731, and ACL at 0.736. This is consistent with the previous results for the initial inference. There is a reduction of the True Positive rate for n</w:t>
      </w:r>
      <w:r w:rsidRPr="00C970AE">
        <w:rPr>
          <w:rFonts w:asciiTheme="majorHAnsi" w:hAnsiTheme="majorHAnsi" w:cstheme="majorHAnsi"/>
          <w:sz w:val="24"/>
          <w:szCs w:val="24"/>
        </w:rPr>
        <w:t>onACL from 0.833 to 0.861 as well as a reduction in the False Positive rate in ACL from 0.167 to  0.139.</w:t>
      </w:r>
    </w:p>
    <w:p w14:paraId="6AF98EEC" w14:textId="77777777"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t>The data shows ACL classification 14 correct classification compared to 62 correct classification for nonACL. There are 10 Type I classifications and 9</w:t>
      </w:r>
      <w:r w:rsidRPr="00C970AE">
        <w:rPr>
          <w:rFonts w:asciiTheme="majorHAnsi" w:hAnsiTheme="majorHAnsi" w:cstheme="majorHAnsi"/>
          <w:sz w:val="24"/>
          <w:szCs w:val="24"/>
        </w:rPr>
        <w:t xml:space="preserve"> Type II classifications.</w:t>
      </w:r>
    </w:p>
    <w:p w14:paraId="02ECDEA9" w14:textId="0C236D69"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t xml:space="preserve">According to the J48 tree classification in Figure 2.2 below, there is a </w:t>
      </w:r>
      <w:r w:rsidR="0033332B" w:rsidRPr="00C970AE">
        <w:rPr>
          <w:rFonts w:asciiTheme="majorHAnsi" w:hAnsiTheme="majorHAnsi" w:cstheme="majorHAnsi"/>
          <w:sz w:val="24"/>
          <w:szCs w:val="24"/>
        </w:rPr>
        <w:t>13-node</w:t>
      </w:r>
      <w:r w:rsidRPr="00C970AE">
        <w:rPr>
          <w:rFonts w:asciiTheme="majorHAnsi" w:hAnsiTheme="majorHAnsi" w:cstheme="majorHAnsi"/>
          <w:sz w:val="24"/>
          <w:szCs w:val="24"/>
        </w:rPr>
        <w:t xml:space="preserve"> tree with 7 leaves consistent with some variation. </w:t>
      </w:r>
    </w:p>
    <w:p w14:paraId="5426B4A9" w14:textId="77777777"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t xml:space="preserve"> Figure 2.2 </w:t>
      </w:r>
    </w:p>
    <w:p w14:paraId="17CF0699" w14:textId="72DEE17B"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noProof/>
          <w:sz w:val="24"/>
          <w:szCs w:val="24"/>
        </w:rPr>
        <w:lastRenderedPageBreak/>
        <w:drawing>
          <wp:inline distT="114300" distB="114300" distL="114300" distR="114300" wp14:anchorId="114616DB" wp14:editId="48E798B0">
            <wp:extent cx="5943600" cy="41862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186238"/>
                    </a:xfrm>
                    <a:prstGeom prst="rect">
                      <a:avLst/>
                    </a:prstGeom>
                    <a:ln/>
                  </pic:spPr>
                </pic:pic>
              </a:graphicData>
            </a:graphic>
          </wp:inline>
        </w:drawing>
      </w:r>
    </w:p>
    <w:p w14:paraId="7C3CE156" w14:textId="77777777" w:rsidR="004835C2" w:rsidRPr="00C970AE" w:rsidRDefault="00C970AE" w:rsidP="00C970AE">
      <w:pPr>
        <w:spacing w:line="480" w:lineRule="auto"/>
        <w:jc w:val="center"/>
        <w:rPr>
          <w:rFonts w:asciiTheme="majorHAnsi" w:hAnsiTheme="majorHAnsi" w:cstheme="majorHAnsi"/>
          <w:b/>
          <w:sz w:val="24"/>
          <w:szCs w:val="24"/>
        </w:rPr>
      </w:pPr>
      <w:r w:rsidRPr="00C970AE">
        <w:rPr>
          <w:rFonts w:asciiTheme="majorHAnsi" w:hAnsiTheme="majorHAnsi" w:cstheme="majorHAnsi"/>
          <w:b/>
          <w:sz w:val="24"/>
          <w:szCs w:val="24"/>
        </w:rPr>
        <w:t>Part 3: Confidence Factor</w:t>
      </w:r>
    </w:p>
    <w:p w14:paraId="469DA491" w14:textId="0C5C0E31"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t xml:space="preserve">When a confidence factor is changed in the J48 with 10 k-fold cross validation, the tree size did not </w:t>
      </w:r>
      <w:r w:rsidR="0033332B" w:rsidRPr="00C970AE">
        <w:rPr>
          <w:rFonts w:asciiTheme="majorHAnsi" w:hAnsiTheme="majorHAnsi" w:cstheme="majorHAnsi"/>
          <w:sz w:val="24"/>
          <w:szCs w:val="24"/>
        </w:rPr>
        <w:t>reduce</w:t>
      </w:r>
      <w:r w:rsidRPr="00C970AE">
        <w:rPr>
          <w:rFonts w:asciiTheme="majorHAnsi" w:hAnsiTheme="majorHAnsi" w:cstheme="majorHAnsi"/>
          <w:sz w:val="24"/>
          <w:szCs w:val="24"/>
        </w:rPr>
        <w:t xml:space="preserve"> nor was it pruned any more than it was originally in the initial tree. No pruning occurred due to the accuracy of J48 confidence factor which appl</w:t>
      </w:r>
      <w:r w:rsidRPr="00C970AE">
        <w:rPr>
          <w:rFonts w:asciiTheme="majorHAnsi" w:hAnsiTheme="majorHAnsi" w:cstheme="majorHAnsi"/>
          <w:sz w:val="24"/>
          <w:szCs w:val="24"/>
        </w:rPr>
        <w:t>ies a statistical test value not significant enough to cause change or reduction in tree nodes alone.</w:t>
      </w:r>
      <w:r w:rsidR="0033332B" w:rsidRPr="00C970AE">
        <w:rPr>
          <w:rFonts w:asciiTheme="majorHAnsi" w:hAnsiTheme="majorHAnsi" w:cstheme="majorHAnsi"/>
          <w:sz w:val="24"/>
          <w:szCs w:val="24"/>
        </w:rPr>
        <w:t xml:space="preserve"> The only way for a strong prune would to be use and increase </w:t>
      </w:r>
      <w:r w:rsidR="0033332B" w:rsidRPr="00C970AE">
        <w:rPr>
          <w:rFonts w:asciiTheme="majorHAnsi" w:hAnsiTheme="majorHAnsi" w:cstheme="majorHAnsi"/>
          <w:i/>
          <w:iCs/>
          <w:color w:val="000000"/>
          <w:sz w:val="24"/>
          <w:szCs w:val="24"/>
          <w:shd w:val="clear" w:color="auto" w:fill="FFFFFF"/>
        </w:rPr>
        <w:t>minNumObj</w:t>
      </w:r>
      <w:r w:rsidR="0033332B" w:rsidRPr="00C970AE">
        <w:rPr>
          <w:rFonts w:asciiTheme="majorHAnsi" w:hAnsiTheme="majorHAnsi" w:cstheme="majorHAnsi"/>
          <w:color w:val="000000"/>
          <w:sz w:val="24"/>
          <w:szCs w:val="24"/>
          <w:shd w:val="clear" w:color="auto" w:fill="FFFFFF"/>
        </w:rPr>
        <w:t xml:space="preserve"> attribute with a smaller confidence factor such as 0.01.</w:t>
      </w:r>
    </w:p>
    <w:p w14:paraId="28BF2020" w14:textId="59C22125"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t xml:space="preserve"> The size of each leaf is allowed to grow the output number of leaves and also decreases. lowering the confidence factor is supposed to decrease the amoun</w:t>
      </w:r>
      <w:r w:rsidRPr="00C970AE">
        <w:rPr>
          <w:rFonts w:asciiTheme="majorHAnsi" w:hAnsiTheme="majorHAnsi" w:cstheme="majorHAnsi"/>
          <w:sz w:val="24"/>
          <w:szCs w:val="24"/>
        </w:rPr>
        <w:t xml:space="preserve">t of post-pruning. </w:t>
      </w:r>
      <w:r w:rsidR="0033332B" w:rsidRPr="00C970AE">
        <w:rPr>
          <w:rFonts w:asciiTheme="majorHAnsi" w:hAnsiTheme="majorHAnsi" w:cstheme="majorHAnsi"/>
          <w:sz w:val="24"/>
          <w:szCs w:val="24"/>
        </w:rPr>
        <w:t>Therefore,</w:t>
      </w:r>
      <w:r w:rsidRPr="00C970AE">
        <w:rPr>
          <w:rFonts w:asciiTheme="majorHAnsi" w:hAnsiTheme="majorHAnsi" w:cstheme="majorHAnsi"/>
          <w:sz w:val="24"/>
          <w:szCs w:val="24"/>
        </w:rPr>
        <w:t xml:space="preserve"> </w:t>
      </w:r>
      <w:r w:rsidRPr="00C970AE">
        <w:rPr>
          <w:rFonts w:asciiTheme="majorHAnsi" w:hAnsiTheme="majorHAnsi" w:cstheme="majorHAnsi"/>
          <w:sz w:val="24"/>
          <w:szCs w:val="24"/>
        </w:rPr>
        <w:lastRenderedPageBreak/>
        <w:t xml:space="preserve">a confidence factor of 0.01 with the same model accuracy as 0.25 is not significant enough to cause reduction. </w:t>
      </w:r>
    </w:p>
    <w:p w14:paraId="591021AF" w14:textId="263DB278" w:rsidR="004835C2"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t>The table below shows the calculated accuracy of the confidence factor</w:t>
      </w:r>
      <w:sdt>
        <w:sdtPr>
          <w:rPr>
            <w:rFonts w:asciiTheme="majorHAnsi" w:hAnsiTheme="majorHAnsi" w:cstheme="majorHAnsi"/>
            <w:sz w:val="24"/>
            <w:szCs w:val="24"/>
          </w:rPr>
          <w:id w:val="708775344"/>
          <w:citation/>
        </w:sdtPr>
        <w:sdtContent>
          <w:r w:rsidR="00091E8B" w:rsidRPr="00C970AE">
            <w:rPr>
              <w:rFonts w:asciiTheme="majorHAnsi" w:hAnsiTheme="majorHAnsi" w:cstheme="majorHAnsi"/>
              <w:sz w:val="24"/>
              <w:szCs w:val="24"/>
            </w:rPr>
            <w:fldChar w:fldCharType="begin"/>
          </w:r>
          <w:r w:rsidR="00091E8B" w:rsidRPr="00C970AE">
            <w:rPr>
              <w:rFonts w:asciiTheme="majorHAnsi" w:hAnsiTheme="majorHAnsi" w:cstheme="majorHAnsi"/>
              <w:sz w:val="24"/>
              <w:szCs w:val="24"/>
              <w:lang w:val="en-US"/>
            </w:rPr>
            <w:instrText xml:space="preserve"> CITATION Dat21 \l 1033 </w:instrText>
          </w:r>
          <w:r w:rsidR="00091E8B" w:rsidRPr="00C970AE">
            <w:rPr>
              <w:rFonts w:asciiTheme="majorHAnsi" w:hAnsiTheme="majorHAnsi" w:cstheme="majorHAnsi"/>
              <w:sz w:val="24"/>
              <w:szCs w:val="24"/>
            </w:rPr>
            <w:fldChar w:fldCharType="separate"/>
          </w:r>
          <w:r w:rsidR="00091E8B" w:rsidRPr="00C970AE">
            <w:rPr>
              <w:rFonts w:asciiTheme="majorHAnsi" w:hAnsiTheme="majorHAnsi" w:cstheme="majorHAnsi"/>
              <w:noProof/>
              <w:sz w:val="24"/>
              <w:szCs w:val="24"/>
              <w:lang w:val="en-US"/>
            </w:rPr>
            <w:t xml:space="preserve"> [1]</w:t>
          </w:r>
          <w:r w:rsidR="00091E8B" w:rsidRPr="00C970AE">
            <w:rPr>
              <w:rFonts w:asciiTheme="majorHAnsi" w:hAnsiTheme="majorHAnsi" w:cstheme="majorHAnsi"/>
              <w:sz w:val="24"/>
              <w:szCs w:val="24"/>
            </w:rPr>
            <w:fldChar w:fldCharType="end"/>
          </w:r>
        </w:sdtContent>
      </w:sdt>
      <w:r w:rsidRPr="00C970AE">
        <w:rPr>
          <w:rFonts w:asciiTheme="majorHAnsi" w:hAnsiTheme="majorHAnsi" w:cstheme="majorHAnsi"/>
          <w:sz w:val="24"/>
          <w:szCs w:val="24"/>
        </w:rPr>
        <w:t>.  Essentially, pruning is the process of com</w:t>
      </w:r>
      <w:r w:rsidRPr="00C970AE">
        <w:rPr>
          <w:rFonts w:asciiTheme="majorHAnsi" w:hAnsiTheme="majorHAnsi" w:cstheme="majorHAnsi"/>
          <w:sz w:val="24"/>
          <w:szCs w:val="24"/>
        </w:rPr>
        <w:t>paring the amount of error in a decision tree and then deciding on the best way to minimize it to avoid error. This error cannot be determined solely on the confidence error given. Each confidence factor was tested independently on the model by me</w:t>
      </w:r>
      <w:r w:rsidR="0033332B" w:rsidRPr="00C970AE">
        <w:rPr>
          <w:rFonts w:asciiTheme="majorHAnsi" w:hAnsiTheme="majorHAnsi" w:cstheme="majorHAnsi"/>
          <w:sz w:val="24"/>
          <w:szCs w:val="24"/>
        </w:rPr>
        <w:t xml:space="preserve"> </w:t>
      </w:r>
      <w:sdt>
        <w:sdtPr>
          <w:rPr>
            <w:rFonts w:asciiTheme="majorHAnsi" w:hAnsiTheme="majorHAnsi" w:cstheme="majorHAnsi"/>
            <w:sz w:val="24"/>
            <w:szCs w:val="24"/>
          </w:rPr>
          <w:id w:val="556973503"/>
          <w:citation/>
        </w:sdtPr>
        <w:sdtContent>
          <w:r w:rsidR="0033332B" w:rsidRPr="00C970AE">
            <w:rPr>
              <w:rFonts w:asciiTheme="majorHAnsi" w:hAnsiTheme="majorHAnsi" w:cstheme="majorHAnsi"/>
              <w:sz w:val="24"/>
              <w:szCs w:val="24"/>
            </w:rPr>
            <w:fldChar w:fldCharType="begin"/>
          </w:r>
          <w:r w:rsidR="0033332B" w:rsidRPr="00C970AE">
            <w:rPr>
              <w:rFonts w:asciiTheme="majorHAnsi" w:hAnsiTheme="majorHAnsi" w:cstheme="majorHAnsi"/>
              <w:sz w:val="24"/>
              <w:szCs w:val="24"/>
              <w:lang w:val="en-US"/>
            </w:rPr>
            <w:instrText xml:space="preserve"> CITATION Mon06 \l 1033 </w:instrText>
          </w:r>
          <w:r w:rsidR="0033332B" w:rsidRPr="00C970AE">
            <w:rPr>
              <w:rFonts w:asciiTheme="majorHAnsi" w:hAnsiTheme="majorHAnsi" w:cstheme="majorHAnsi"/>
              <w:sz w:val="24"/>
              <w:szCs w:val="24"/>
            </w:rPr>
            <w:fldChar w:fldCharType="separate"/>
          </w:r>
          <w:r w:rsidR="00091E8B" w:rsidRPr="00C970AE">
            <w:rPr>
              <w:rFonts w:asciiTheme="majorHAnsi" w:hAnsiTheme="majorHAnsi" w:cstheme="majorHAnsi"/>
              <w:noProof/>
              <w:sz w:val="24"/>
              <w:szCs w:val="24"/>
              <w:lang w:val="en-US"/>
            </w:rPr>
            <w:t>[2]</w:t>
          </w:r>
          <w:r w:rsidR="0033332B" w:rsidRPr="00C970AE">
            <w:rPr>
              <w:rFonts w:asciiTheme="majorHAnsi" w:hAnsiTheme="majorHAnsi" w:cstheme="majorHAnsi"/>
              <w:sz w:val="24"/>
              <w:szCs w:val="24"/>
            </w:rPr>
            <w:fldChar w:fldCharType="end"/>
          </w:r>
        </w:sdtContent>
      </w:sdt>
      <w:r w:rsidRPr="00C970AE">
        <w:rPr>
          <w:rFonts w:asciiTheme="majorHAnsi" w:hAnsiTheme="majorHAnsi" w:cstheme="majorHAnsi"/>
          <w:sz w:val="24"/>
          <w:szCs w:val="24"/>
        </w:rPr>
        <w:t>.</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4215"/>
        <w:gridCol w:w="5145"/>
      </w:tblGrid>
      <w:tr w:rsidR="004835C2" w:rsidRPr="00C970AE" w14:paraId="41B21615" w14:textId="77777777">
        <w:trPr>
          <w:trHeight w:val="770"/>
        </w:trPr>
        <w:tc>
          <w:tcPr>
            <w:tcW w:w="4215" w:type="dxa"/>
            <w:tcBorders>
              <w:top w:val="single" w:sz="4" w:space="0" w:color="DEE2E6"/>
              <w:left w:val="single" w:sz="4" w:space="0" w:color="DEE2E6"/>
              <w:bottom w:val="single" w:sz="4" w:space="0" w:color="212529"/>
              <w:right w:val="single" w:sz="4" w:space="0" w:color="DEE2E6"/>
            </w:tcBorders>
            <w:tcMar>
              <w:top w:w="100" w:type="dxa"/>
              <w:left w:w="100" w:type="dxa"/>
              <w:bottom w:w="100" w:type="dxa"/>
              <w:right w:w="100" w:type="dxa"/>
            </w:tcMar>
          </w:tcPr>
          <w:p w14:paraId="5AE92BD6" w14:textId="77777777" w:rsidR="004835C2" w:rsidRPr="00C970AE" w:rsidRDefault="00C970AE">
            <w:pPr>
              <w:spacing w:line="480" w:lineRule="auto"/>
              <w:jc w:val="center"/>
              <w:rPr>
                <w:rFonts w:asciiTheme="majorHAnsi" w:hAnsiTheme="majorHAnsi" w:cstheme="majorHAnsi"/>
                <w:sz w:val="24"/>
                <w:szCs w:val="24"/>
              </w:rPr>
            </w:pPr>
            <w:r w:rsidRPr="00C970AE">
              <w:rPr>
                <w:rFonts w:asciiTheme="majorHAnsi" w:hAnsiTheme="majorHAnsi" w:cstheme="majorHAnsi"/>
                <w:sz w:val="24"/>
                <w:szCs w:val="24"/>
              </w:rPr>
              <w:t>Con</w:t>
            </w:r>
            <w:r w:rsidRPr="00C970AE">
              <w:rPr>
                <w:rFonts w:asciiTheme="majorHAnsi" w:hAnsiTheme="majorHAnsi" w:cstheme="majorHAnsi"/>
                <w:sz w:val="24"/>
                <w:szCs w:val="24"/>
              </w:rPr>
              <w:t>fidence Factor J48</w:t>
            </w:r>
          </w:p>
        </w:tc>
        <w:tc>
          <w:tcPr>
            <w:tcW w:w="5145" w:type="dxa"/>
            <w:tcBorders>
              <w:top w:val="single" w:sz="4" w:space="0" w:color="DEE2E6"/>
              <w:left w:val="single" w:sz="4" w:space="0" w:color="DEE2E6"/>
              <w:bottom w:val="single" w:sz="4" w:space="0" w:color="212529"/>
              <w:right w:val="single" w:sz="4" w:space="0" w:color="DEE2E6"/>
            </w:tcBorders>
            <w:tcMar>
              <w:top w:w="100" w:type="dxa"/>
              <w:left w:w="100" w:type="dxa"/>
              <w:bottom w:w="100" w:type="dxa"/>
              <w:right w:w="100" w:type="dxa"/>
            </w:tcMar>
          </w:tcPr>
          <w:p w14:paraId="3E4394D9" w14:textId="77777777" w:rsidR="004835C2" w:rsidRPr="00C970AE" w:rsidRDefault="00C970AE">
            <w:pPr>
              <w:spacing w:line="480" w:lineRule="auto"/>
              <w:jc w:val="center"/>
              <w:rPr>
                <w:rFonts w:asciiTheme="majorHAnsi" w:hAnsiTheme="majorHAnsi" w:cstheme="majorHAnsi"/>
                <w:sz w:val="24"/>
                <w:szCs w:val="24"/>
              </w:rPr>
            </w:pPr>
            <w:r w:rsidRPr="00C970AE">
              <w:rPr>
                <w:rFonts w:asciiTheme="majorHAnsi" w:hAnsiTheme="majorHAnsi" w:cstheme="majorHAnsi"/>
                <w:sz w:val="24"/>
                <w:szCs w:val="24"/>
              </w:rPr>
              <w:t>Accuracy</w:t>
            </w:r>
          </w:p>
        </w:tc>
      </w:tr>
      <w:tr w:rsidR="004835C2" w:rsidRPr="00C970AE" w14:paraId="436DA6E5" w14:textId="77777777">
        <w:trPr>
          <w:trHeight w:val="770"/>
        </w:trPr>
        <w:tc>
          <w:tcPr>
            <w:tcW w:w="4215" w:type="dxa"/>
            <w:tcBorders>
              <w:top w:val="single" w:sz="4" w:space="0" w:color="212529"/>
              <w:left w:val="single" w:sz="4" w:space="0" w:color="DEE2E6"/>
              <w:bottom w:val="single" w:sz="4" w:space="0" w:color="DEE2E6"/>
              <w:right w:val="single" w:sz="4" w:space="0" w:color="DEE2E6"/>
            </w:tcBorders>
            <w:tcMar>
              <w:top w:w="100" w:type="dxa"/>
              <w:left w:w="100" w:type="dxa"/>
              <w:bottom w:w="100" w:type="dxa"/>
              <w:right w:w="100" w:type="dxa"/>
            </w:tcMar>
          </w:tcPr>
          <w:p w14:paraId="680607E1" w14:textId="77777777" w:rsidR="004835C2" w:rsidRPr="00C970AE" w:rsidRDefault="00C970AE">
            <w:pPr>
              <w:spacing w:line="480" w:lineRule="auto"/>
              <w:jc w:val="center"/>
              <w:rPr>
                <w:rFonts w:asciiTheme="majorHAnsi" w:hAnsiTheme="majorHAnsi" w:cstheme="majorHAnsi"/>
                <w:sz w:val="24"/>
                <w:szCs w:val="24"/>
              </w:rPr>
            </w:pPr>
            <w:r w:rsidRPr="00C970AE">
              <w:rPr>
                <w:rFonts w:asciiTheme="majorHAnsi" w:hAnsiTheme="majorHAnsi" w:cstheme="majorHAnsi"/>
                <w:sz w:val="24"/>
                <w:szCs w:val="24"/>
              </w:rPr>
              <w:t>0.005</w:t>
            </w:r>
          </w:p>
        </w:tc>
        <w:tc>
          <w:tcPr>
            <w:tcW w:w="5145" w:type="dxa"/>
            <w:tcBorders>
              <w:top w:val="single" w:sz="4" w:space="0" w:color="212529"/>
              <w:left w:val="single" w:sz="4" w:space="0" w:color="DEE2E6"/>
              <w:bottom w:val="single" w:sz="4" w:space="0" w:color="DEE2E6"/>
              <w:right w:val="single" w:sz="4" w:space="0" w:color="DEE2E6"/>
            </w:tcBorders>
            <w:tcMar>
              <w:top w:w="100" w:type="dxa"/>
              <w:left w:w="100" w:type="dxa"/>
              <w:bottom w:w="100" w:type="dxa"/>
              <w:right w:w="100" w:type="dxa"/>
            </w:tcMar>
          </w:tcPr>
          <w:p w14:paraId="4A69444A" w14:textId="77777777" w:rsidR="004835C2" w:rsidRPr="00C970AE" w:rsidRDefault="00C970AE">
            <w:pPr>
              <w:spacing w:line="480" w:lineRule="auto"/>
              <w:jc w:val="center"/>
              <w:rPr>
                <w:rFonts w:asciiTheme="majorHAnsi" w:hAnsiTheme="majorHAnsi" w:cstheme="majorHAnsi"/>
                <w:sz w:val="24"/>
                <w:szCs w:val="24"/>
              </w:rPr>
            </w:pPr>
            <w:r w:rsidRPr="00C970AE">
              <w:rPr>
                <w:rFonts w:asciiTheme="majorHAnsi" w:hAnsiTheme="majorHAnsi" w:cstheme="majorHAnsi"/>
                <w:sz w:val="24"/>
                <w:szCs w:val="24"/>
              </w:rPr>
              <w:t>73.0769</w:t>
            </w:r>
          </w:p>
        </w:tc>
      </w:tr>
      <w:tr w:rsidR="004835C2" w:rsidRPr="00C970AE" w14:paraId="20221119" w14:textId="77777777">
        <w:trPr>
          <w:trHeight w:val="770"/>
        </w:trPr>
        <w:tc>
          <w:tcPr>
            <w:tcW w:w="4215" w:type="dxa"/>
            <w:tcBorders>
              <w:top w:val="single" w:sz="4" w:space="0" w:color="DEE2E6"/>
              <w:left w:val="single" w:sz="4" w:space="0" w:color="DEE2E6"/>
              <w:bottom w:val="single" w:sz="4" w:space="0" w:color="DEE2E6"/>
              <w:right w:val="single" w:sz="4" w:space="0" w:color="DEE2E6"/>
            </w:tcBorders>
            <w:tcMar>
              <w:top w:w="100" w:type="dxa"/>
              <w:left w:w="100" w:type="dxa"/>
              <w:bottom w:w="100" w:type="dxa"/>
              <w:right w:w="100" w:type="dxa"/>
            </w:tcMar>
          </w:tcPr>
          <w:p w14:paraId="60A87B20" w14:textId="77777777" w:rsidR="004835C2" w:rsidRPr="00C970AE" w:rsidRDefault="00C970AE">
            <w:pPr>
              <w:spacing w:line="480" w:lineRule="auto"/>
              <w:jc w:val="center"/>
              <w:rPr>
                <w:rFonts w:asciiTheme="majorHAnsi" w:hAnsiTheme="majorHAnsi" w:cstheme="majorHAnsi"/>
                <w:sz w:val="24"/>
                <w:szCs w:val="24"/>
              </w:rPr>
            </w:pPr>
            <w:r w:rsidRPr="00C970AE">
              <w:rPr>
                <w:rFonts w:asciiTheme="majorHAnsi" w:hAnsiTheme="majorHAnsi" w:cstheme="majorHAnsi"/>
                <w:sz w:val="24"/>
                <w:szCs w:val="24"/>
              </w:rPr>
              <w:t>0.05</w:t>
            </w:r>
          </w:p>
        </w:tc>
        <w:tc>
          <w:tcPr>
            <w:tcW w:w="5145" w:type="dxa"/>
            <w:tcBorders>
              <w:top w:val="single" w:sz="4" w:space="0" w:color="DEE2E6"/>
              <w:left w:val="single" w:sz="4" w:space="0" w:color="DEE2E6"/>
              <w:bottom w:val="single" w:sz="4" w:space="0" w:color="DEE2E6"/>
              <w:right w:val="single" w:sz="4" w:space="0" w:color="DEE2E6"/>
            </w:tcBorders>
            <w:tcMar>
              <w:top w:w="100" w:type="dxa"/>
              <w:left w:w="100" w:type="dxa"/>
              <w:bottom w:w="100" w:type="dxa"/>
              <w:right w:w="100" w:type="dxa"/>
            </w:tcMar>
          </w:tcPr>
          <w:p w14:paraId="3A8875F5" w14:textId="77777777" w:rsidR="004835C2" w:rsidRPr="00C970AE" w:rsidRDefault="00C970AE">
            <w:pPr>
              <w:spacing w:line="480" w:lineRule="auto"/>
              <w:jc w:val="center"/>
              <w:rPr>
                <w:rFonts w:asciiTheme="majorHAnsi" w:hAnsiTheme="majorHAnsi" w:cstheme="majorHAnsi"/>
                <w:sz w:val="24"/>
                <w:szCs w:val="24"/>
              </w:rPr>
            </w:pPr>
            <w:r w:rsidRPr="00C970AE">
              <w:rPr>
                <w:rFonts w:asciiTheme="majorHAnsi" w:hAnsiTheme="majorHAnsi" w:cstheme="majorHAnsi"/>
                <w:sz w:val="24"/>
                <w:szCs w:val="24"/>
              </w:rPr>
              <w:t>75.5245</w:t>
            </w:r>
          </w:p>
        </w:tc>
      </w:tr>
      <w:tr w:rsidR="004835C2" w:rsidRPr="00C970AE" w14:paraId="48D532CB" w14:textId="77777777">
        <w:trPr>
          <w:trHeight w:val="770"/>
        </w:trPr>
        <w:tc>
          <w:tcPr>
            <w:tcW w:w="4215" w:type="dxa"/>
            <w:tcBorders>
              <w:top w:val="single" w:sz="4" w:space="0" w:color="DEE2E6"/>
              <w:left w:val="single" w:sz="4" w:space="0" w:color="DEE2E6"/>
              <w:bottom w:val="single" w:sz="4" w:space="0" w:color="DEE2E6"/>
              <w:right w:val="single" w:sz="4" w:space="0" w:color="DEE2E6"/>
            </w:tcBorders>
            <w:tcMar>
              <w:top w:w="100" w:type="dxa"/>
              <w:left w:w="100" w:type="dxa"/>
              <w:bottom w:w="100" w:type="dxa"/>
              <w:right w:w="100" w:type="dxa"/>
            </w:tcMar>
          </w:tcPr>
          <w:p w14:paraId="55F69E6F" w14:textId="77777777" w:rsidR="004835C2" w:rsidRPr="00C970AE" w:rsidRDefault="00C970AE">
            <w:pPr>
              <w:spacing w:line="480" w:lineRule="auto"/>
              <w:jc w:val="center"/>
              <w:rPr>
                <w:rFonts w:asciiTheme="majorHAnsi" w:hAnsiTheme="majorHAnsi" w:cstheme="majorHAnsi"/>
                <w:sz w:val="24"/>
                <w:szCs w:val="24"/>
              </w:rPr>
            </w:pPr>
            <w:r w:rsidRPr="00C970AE">
              <w:rPr>
                <w:rFonts w:asciiTheme="majorHAnsi" w:hAnsiTheme="majorHAnsi" w:cstheme="majorHAnsi"/>
                <w:sz w:val="24"/>
                <w:szCs w:val="24"/>
              </w:rPr>
              <w:t>0.1</w:t>
            </w:r>
          </w:p>
        </w:tc>
        <w:tc>
          <w:tcPr>
            <w:tcW w:w="5145" w:type="dxa"/>
            <w:tcBorders>
              <w:top w:val="single" w:sz="4" w:space="0" w:color="DEE2E6"/>
              <w:left w:val="single" w:sz="4" w:space="0" w:color="DEE2E6"/>
              <w:bottom w:val="single" w:sz="4" w:space="0" w:color="DEE2E6"/>
              <w:right w:val="single" w:sz="4" w:space="0" w:color="DEE2E6"/>
            </w:tcBorders>
            <w:tcMar>
              <w:top w:w="100" w:type="dxa"/>
              <w:left w:w="100" w:type="dxa"/>
              <w:bottom w:w="100" w:type="dxa"/>
              <w:right w:w="100" w:type="dxa"/>
            </w:tcMar>
          </w:tcPr>
          <w:p w14:paraId="7128E48F" w14:textId="77777777" w:rsidR="004835C2" w:rsidRPr="00C970AE" w:rsidRDefault="00C970AE">
            <w:pPr>
              <w:spacing w:line="480" w:lineRule="auto"/>
              <w:jc w:val="center"/>
              <w:rPr>
                <w:rFonts w:asciiTheme="majorHAnsi" w:hAnsiTheme="majorHAnsi" w:cstheme="majorHAnsi"/>
                <w:sz w:val="24"/>
                <w:szCs w:val="24"/>
              </w:rPr>
            </w:pPr>
            <w:r w:rsidRPr="00C970AE">
              <w:rPr>
                <w:rFonts w:asciiTheme="majorHAnsi" w:hAnsiTheme="majorHAnsi" w:cstheme="majorHAnsi"/>
                <w:sz w:val="24"/>
                <w:szCs w:val="24"/>
              </w:rPr>
              <w:t>75.5245</w:t>
            </w:r>
          </w:p>
        </w:tc>
      </w:tr>
      <w:tr w:rsidR="004835C2" w:rsidRPr="00C970AE" w14:paraId="709B9893" w14:textId="77777777">
        <w:trPr>
          <w:trHeight w:val="770"/>
        </w:trPr>
        <w:tc>
          <w:tcPr>
            <w:tcW w:w="4215" w:type="dxa"/>
            <w:tcBorders>
              <w:top w:val="single" w:sz="4" w:space="0" w:color="DEE2E6"/>
              <w:left w:val="single" w:sz="4" w:space="0" w:color="DEE2E6"/>
              <w:bottom w:val="single" w:sz="4" w:space="0" w:color="DEE2E6"/>
              <w:right w:val="single" w:sz="4" w:space="0" w:color="DEE2E6"/>
            </w:tcBorders>
            <w:tcMar>
              <w:top w:w="100" w:type="dxa"/>
              <w:left w:w="100" w:type="dxa"/>
              <w:bottom w:w="100" w:type="dxa"/>
              <w:right w:w="100" w:type="dxa"/>
            </w:tcMar>
          </w:tcPr>
          <w:p w14:paraId="360A5E81" w14:textId="77777777" w:rsidR="004835C2" w:rsidRPr="00C970AE" w:rsidRDefault="00C970AE">
            <w:pPr>
              <w:spacing w:line="480" w:lineRule="auto"/>
              <w:jc w:val="center"/>
              <w:rPr>
                <w:rFonts w:asciiTheme="majorHAnsi" w:hAnsiTheme="majorHAnsi" w:cstheme="majorHAnsi"/>
                <w:sz w:val="24"/>
                <w:szCs w:val="24"/>
              </w:rPr>
            </w:pPr>
            <w:r w:rsidRPr="00C970AE">
              <w:rPr>
                <w:rFonts w:asciiTheme="majorHAnsi" w:hAnsiTheme="majorHAnsi" w:cstheme="majorHAnsi"/>
                <w:sz w:val="24"/>
                <w:szCs w:val="24"/>
              </w:rPr>
              <w:t>0.25</w:t>
            </w:r>
          </w:p>
        </w:tc>
        <w:tc>
          <w:tcPr>
            <w:tcW w:w="5145" w:type="dxa"/>
            <w:tcBorders>
              <w:top w:val="single" w:sz="4" w:space="0" w:color="DEE2E6"/>
              <w:left w:val="single" w:sz="4" w:space="0" w:color="DEE2E6"/>
              <w:bottom w:val="single" w:sz="4" w:space="0" w:color="DEE2E6"/>
              <w:right w:val="single" w:sz="4" w:space="0" w:color="DEE2E6"/>
            </w:tcBorders>
            <w:tcMar>
              <w:top w:w="100" w:type="dxa"/>
              <w:left w:w="100" w:type="dxa"/>
              <w:bottom w:w="100" w:type="dxa"/>
              <w:right w:w="100" w:type="dxa"/>
            </w:tcMar>
          </w:tcPr>
          <w:p w14:paraId="46D83CA6" w14:textId="77777777" w:rsidR="004835C2" w:rsidRPr="00C970AE" w:rsidRDefault="00C970AE">
            <w:pPr>
              <w:spacing w:line="480" w:lineRule="auto"/>
              <w:jc w:val="center"/>
              <w:rPr>
                <w:rFonts w:asciiTheme="majorHAnsi" w:hAnsiTheme="majorHAnsi" w:cstheme="majorHAnsi"/>
                <w:sz w:val="24"/>
                <w:szCs w:val="24"/>
              </w:rPr>
            </w:pPr>
            <w:r w:rsidRPr="00C970AE">
              <w:rPr>
                <w:rFonts w:asciiTheme="majorHAnsi" w:hAnsiTheme="majorHAnsi" w:cstheme="majorHAnsi"/>
                <w:sz w:val="24"/>
                <w:szCs w:val="24"/>
              </w:rPr>
              <w:t>75.5245</w:t>
            </w:r>
          </w:p>
        </w:tc>
      </w:tr>
      <w:tr w:rsidR="004835C2" w:rsidRPr="00C970AE" w14:paraId="01D7D435" w14:textId="77777777">
        <w:trPr>
          <w:trHeight w:val="770"/>
        </w:trPr>
        <w:tc>
          <w:tcPr>
            <w:tcW w:w="4215" w:type="dxa"/>
            <w:tcBorders>
              <w:top w:val="single" w:sz="4" w:space="0" w:color="DEE2E6"/>
              <w:left w:val="single" w:sz="4" w:space="0" w:color="DEE2E6"/>
              <w:bottom w:val="single" w:sz="4" w:space="0" w:color="DEE2E6"/>
              <w:right w:val="single" w:sz="4" w:space="0" w:color="DEE2E6"/>
            </w:tcBorders>
            <w:tcMar>
              <w:top w:w="100" w:type="dxa"/>
              <w:left w:w="100" w:type="dxa"/>
              <w:bottom w:w="100" w:type="dxa"/>
              <w:right w:w="100" w:type="dxa"/>
            </w:tcMar>
          </w:tcPr>
          <w:p w14:paraId="1C392B4D" w14:textId="77777777" w:rsidR="004835C2" w:rsidRPr="00C970AE" w:rsidRDefault="00C970AE">
            <w:pPr>
              <w:spacing w:line="480" w:lineRule="auto"/>
              <w:jc w:val="center"/>
              <w:rPr>
                <w:rFonts w:asciiTheme="majorHAnsi" w:hAnsiTheme="majorHAnsi" w:cstheme="majorHAnsi"/>
                <w:sz w:val="24"/>
                <w:szCs w:val="24"/>
              </w:rPr>
            </w:pPr>
            <w:r w:rsidRPr="00C970AE">
              <w:rPr>
                <w:rFonts w:asciiTheme="majorHAnsi" w:hAnsiTheme="majorHAnsi" w:cstheme="majorHAnsi"/>
                <w:sz w:val="24"/>
                <w:szCs w:val="24"/>
              </w:rPr>
              <w:t>0.5</w:t>
            </w:r>
          </w:p>
        </w:tc>
        <w:tc>
          <w:tcPr>
            <w:tcW w:w="5145" w:type="dxa"/>
            <w:tcBorders>
              <w:top w:val="single" w:sz="4" w:space="0" w:color="DEE2E6"/>
              <w:left w:val="single" w:sz="4" w:space="0" w:color="DEE2E6"/>
              <w:bottom w:val="single" w:sz="4" w:space="0" w:color="DEE2E6"/>
              <w:right w:val="single" w:sz="4" w:space="0" w:color="DEE2E6"/>
            </w:tcBorders>
            <w:tcMar>
              <w:top w:w="100" w:type="dxa"/>
              <w:left w:w="100" w:type="dxa"/>
              <w:bottom w:w="100" w:type="dxa"/>
              <w:right w:w="100" w:type="dxa"/>
            </w:tcMar>
          </w:tcPr>
          <w:p w14:paraId="583EF207" w14:textId="77777777" w:rsidR="004835C2" w:rsidRPr="00C970AE" w:rsidRDefault="00C970AE">
            <w:pPr>
              <w:spacing w:line="480" w:lineRule="auto"/>
              <w:jc w:val="center"/>
              <w:rPr>
                <w:rFonts w:asciiTheme="majorHAnsi" w:hAnsiTheme="majorHAnsi" w:cstheme="majorHAnsi"/>
                <w:sz w:val="24"/>
                <w:szCs w:val="24"/>
              </w:rPr>
            </w:pPr>
            <w:r w:rsidRPr="00C970AE">
              <w:rPr>
                <w:rFonts w:asciiTheme="majorHAnsi" w:hAnsiTheme="majorHAnsi" w:cstheme="majorHAnsi"/>
                <w:sz w:val="24"/>
                <w:szCs w:val="24"/>
              </w:rPr>
              <w:t>73.4266</w:t>
            </w:r>
          </w:p>
        </w:tc>
      </w:tr>
    </w:tbl>
    <w:p w14:paraId="3EA1E836" w14:textId="77777777" w:rsidR="004835C2" w:rsidRPr="00C970AE" w:rsidRDefault="004835C2">
      <w:pPr>
        <w:spacing w:line="480" w:lineRule="auto"/>
        <w:rPr>
          <w:rFonts w:asciiTheme="majorHAnsi" w:hAnsiTheme="majorHAnsi" w:cstheme="majorHAnsi"/>
          <w:sz w:val="24"/>
          <w:szCs w:val="24"/>
        </w:rPr>
      </w:pPr>
    </w:p>
    <w:p w14:paraId="64562B98" w14:textId="77777777" w:rsidR="004835C2" w:rsidRPr="00C970AE" w:rsidRDefault="00C970AE" w:rsidP="00C970AE">
      <w:pPr>
        <w:spacing w:line="480" w:lineRule="auto"/>
        <w:jc w:val="center"/>
        <w:rPr>
          <w:rFonts w:asciiTheme="majorHAnsi" w:hAnsiTheme="majorHAnsi" w:cstheme="majorHAnsi"/>
          <w:b/>
          <w:bCs/>
          <w:sz w:val="24"/>
          <w:szCs w:val="24"/>
        </w:rPr>
      </w:pPr>
      <w:r w:rsidRPr="00C970AE">
        <w:rPr>
          <w:rFonts w:asciiTheme="majorHAnsi" w:hAnsiTheme="majorHAnsi" w:cstheme="majorHAnsi"/>
          <w:b/>
          <w:bCs/>
          <w:sz w:val="24"/>
          <w:szCs w:val="24"/>
        </w:rPr>
        <w:t>Part 4: Cost sensitivity</w:t>
      </w:r>
    </w:p>
    <w:p w14:paraId="0C1F0741" w14:textId="0AF02C1F" w:rsidR="00060BF2" w:rsidRPr="00C970AE" w:rsidRDefault="00060BF2">
      <w:pPr>
        <w:spacing w:line="480" w:lineRule="auto"/>
        <w:rPr>
          <w:rFonts w:asciiTheme="majorHAnsi" w:hAnsiTheme="majorHAnsi" w:cstheme="majorHAnsi"/>
          <w:sz w:val="24"/>
          <w:szCs w:val="24"/>
        </w:rPr>
      </w:pPr>
      <w:r w:rsidRPr="00C970AE">
        <w:rPr>
          <w:rFonts w:asciiTheme="majorHAnsi" w:hAnsiTheme="majorHAnsi" w:cstheme="majorHAnsi"/>
          <w:sz w:val="24"/>
          <w:szCs w:val="24"/>
        </w:rPr>
        <w:t>The</w:t>
      </w:r>
      <w:r w:rsidRPr="00C970AE">
        <w:rPr>
          <w:rFonts w:asciiTheme="majorHAnsi" w:hAnsiTheme="majorHAnsi" w:cstheme="majorHAnsi"/>
          <w:sz w:val="24"/>
          <w:szCs w:val="24"/>
        </w:rPr>
        <w:t xml:space="preserve"> distinction between a Type I and a Type II error</w:t>
      </w:r>
      <w:r w:rsidRPr="00C970AE">
        <w:rPr>
          <w:rFonts w:asciiTheme="majorHAnsi" w:hAnsiTheme="majorHAnsi" w:cstheme="majorHAnsi"/>
          <w:sz w:val="24"/>
          <w:szCs w:val="24"/>
        </w:rPr>
        <w:t xml:space="preserve"> drastically changed when implementing the cost sensitive classifier with the J48. I increased the Type II classifier by a maximum of 2.5 and a minimum of 1.5 the results of the Type II errors are as follows</w:t>
      </w:r>
      <w:r w:rsidR="00951B71" w:rsidRPr="00C970AE">
        <w:rPr>
          <w:rFonts w:asciiTheme="majorHAnsi" w:hAnsiTheme="majorHAnsi" w:cstheme="majorHAnsi"/>
          <w:sz w:val="24"/>
          <w:szCs w:val="24"/>
        </w:rPr>
        <w:t>.</w:t>
      </w:r>
    </w:p>
    <w:p w14:paraId="00B04079" w14:textId="3AD95B8E" w:rsidR="00951B71" w:rsidRPr="00C970AE" w:rsidRDefault="00951B71">
      <w:pPr>
        <w:spacing w:line="480" w:lineRule="auto"/>
        <w:rPr>
          <w:rFonts w:asciiTheme="majorHAnsi" w:hAnsiTheme="majorHAnsi" w:cstheme="majorHAnsi"/>
          <w:sz w:val="24"/>
          <w:szCs w:val="24"/>
        </w:rPr>
      </w:pPr>
      <w:r w:rsidRPr="00C970AE">
        <w:rPr>
          <w:rFonts w:asciiTheme="majorHAnsi" w:hAnsiTheme="majorHAnsi" w:cstheme="majorHAnsi"/>
          <w:sz w:val="24"/>
          <w:szCs w:val="24"/>
        </w:rPr>
        <w:lastRenderedPageBreak/>
        <w:t>For the increase in the cost matrix we see the results become worse case with increased Type II errors.</w:t>
      </w:r>
    </w:p>
    <w:p w14:paraId="75D3382E" w14:textId="01CBC95D" w:rsidR="00060BF2" w:rsidRPr="00C970AE" w:rsidRDefault="00060BF2" w:rsidP="00951B71">
      <w:pPr>
        <w:pStyle w:val="ListParagraph"/>
        <w:numPr>
          <w:ilvl w:val="0"/>
          <w:numId w:val="2"/>
        </w:numPr>
        <w:spacing w:line="480" w:lineRule="auto"/>
        <w:rPr>
          <w:rFonts w:asciiTheme="majorHAnsi" w:hAnsiTheme="majorHAnsi" w:cstheme="majorHAnsi"/>
          <w:sz w:val="24"/>
          <w:szCs w:val="24"/>
        </w:rPr>
      </w:pPr>
      <w:r w:rsidRPr="00C970AE">
        <w:rPr>
          <w:rFonts w:asciiTheme="majorHAnsi" w:hAnsiTheme="majorHAnsi" w:cstheme="majorHAnsi"/>
          <w:sz w:val="24"/>
          <w:szCs w:val="24"/>
        </w:rPr>
        <w:t xml:space="preserve">The Type II number of leaves </w:t>
      </w:r>
      <w:r w:rsidR="00951B71" w:rsidRPr="00C970AE">
        <w:rPr>
          <w:rFonts w:asciiTheme="majorHAnsi" w:hAnsiTheme="majorHAnsi" w:cstheme="majorHAnsi"/>
          <w:sz w:val="24"/>
          <w:szCs w:val="24"/>
        </w:rPr>
        <w:t>decreased to 5</w:t>
      </w:r>
      <w:r w:rsidRPr="00C970AE">
        <w:rPr>
          <w:rFonts w:asciiTheme="majorHAnsi" w:hAnsiTheme="majorHAnsi" w:cstheme="majorHAnsi"/>
          <w:sz w:val="24"/>
          <w:szCs w:val="24"/>
        </w:rPr>
        <w:t xml:space="preserve">,  and the tree size </w:t>
      </w:r>
      <w:r w:rsidR="00951B71" w:rsidRPr="00C970AE">
        <w:rPr>
          <w:rFonts w:asciiTheme="majorHAnsi" w:hAnsiTheme="majorHAnsi" w:cstheme="majorHAnsi"/>
          <w:sz w:val="24"/>
          <w:szCs w:val="24"/>
        </w:rPr>
        <w:t>decreased to 9</w:t>
      </w:r>
    </w:p>
    <w:p w14:paraId="084D4C9F" w14:textId="4C3DED09" w:rsidR="00060BF2" w:rsidRPr="00C970AE" w:rsidRDefault="00060BF2" w:rsidP="00951B71">
      <w:pPr>
        <w:pStyle w:val="ListParagraph"/>
        <w:numPr>
          <w:ilvl w:val="0"/>
          <w:numId w:val="2"/>
        </w:numPr>
        <w:spacing w:line="480" w:lineRule="auto"/>
        <w:rPr>
          <w:rFonts w:asciiTheme="majorHAnsi" w:hAnsiTheme="majorHAnsi" w:cstheme="majorHAnsi"/>
          <w:sz w:val="24"/>
          <w:szCs w:val="24"/>
        </w:rPr>
      </w:pPr>
      <w:r w:rsidRPr="00C970AE">
        <w:rPr>
          <w:rFonts w:asciiTheme="majorHAnsi" w:hAnsiTheme="majorHAnsi" w:cstheme="majorHAnsi"/>
          <w:sz w:val="24"/>
          <w:szCs w:val="24"/>
        </w:rPr>
        <w:t>The correctly classified instances where 70 at 74%</w:t>
      </w:r>
    </w:p>
    <w:p w14:paraId="768571F2" w14:textId="279E069B" w:rsidR="00060BF2" w:rsidRPr="00C970AE" w:rsidRDefault="00060BF2" w:rsidP="00951B71">
      <w:pPr>
        <w:pStyle w:val="ListParagraph"/>
        <w:numPr>
          <w:ilvl w:val="0"/>
          <w:numId w:val="2"/>
        </w:numPr>
        <w:spacing w:line="480" w:lineRule="auto"/>
        <w:rPr>
          <w:rFonts w:asciiTheme="majorHAnsi" w:hAnsiTheme="majorHAnsi" w:cstheme="majorHAnsi"/>
          <w:sz w:val="24"/>
          <w:szCs w:val="24"/>
        </w:rPr>
      </w:pPr>
      <w:r w:rsidRPr="00C970AE">
        <w:rPr>
          <w:rFonts w:asciiTheme="majorHAnsi" w:hAnsiTheme="majorHAnsi" w:cstheme="majorHAnsi"/>
          <w:sz w:val="24"/>
          <w:szCs w:val="24"/>
        </w:rPr>
        <w:t>Incorrectly classified instances where 25 at 26%</w:t>
      </w:r>
    </w:p>
    <w:p w14:paraId="74702539" w14:textId="376141C6" w:rsidR="00060BF2" w:rsidRPr="00C970AE" w:rsidRDefault="00060BF2" w:rsidP="00951B71">
      <w:pPr>
        <w:pStyle w:val="ListParagraph"/>
        <w:numPr>
          <w:ilvl w:val="0"/>
          <w:numId w:val="2"/>
        </w:numPr>
        <w:spacing w:line="480" w:lineRule="auto"/>
        <w:rPr>
          <w:rFonts w:asciiTheme="majorHAnsi" w:hAnsiTheme="majorHAnsi" w:cstheme="majorHAnsi"/>
          <w:sz w:val="24"/>
          <w:szCs w:val="24"/>
        </w:rPr>
      </w:pPr>
      <w:r w:rsidRPr="00C970AE">
        <w:rPr>
          <w:rFonts w:asciiTheme="majorHAnsi" w:hAnsiTheme="majorHAnsi" w:cstheme="majorHAnsi"/>
          <w:sz w:val="24"/>
          <w:szCs w:val="24"/>
        </w:rPr>
        <w:t>The MAE increased to 0.2582</w:t>
      </w:r>
    </w:p>
    <w:p w14:paraId="4BAB9A89" w14:textId="7345C069" w:rsidR="00060BF2" w:rsidRPr="00C970AE" w:rsidRDefault="00060BF2" w:rsidP="00951B71">
      <w:pPr>
        <w:pStyle w:val="ListParagraph"/>
        <w:numPr>
          <w:ilvl w:val="0"/>
          <w:numId w:val="2"/>
        </w:numPr>
        <w:spacing w:line="480" w:lineRule="auto"/>
        <w:rPr>
          <w:rFonts w:asciiTheme="majorHAnsi" w:hAnsiTheme="majorHAnsi" w:cstheme="majorHAnsi"/>
          <w:sz w:val="24"/>
          <w:szCs w:val="24"/>
        </w:rPr>
      </w:pPr>
      <w:r w:rsidRPr="00C970AE">
        <w:rPr>
          <w:rFonts w:asciiTheme="majorHAnsi" w:hAnsiTheme="majorHAnsi" w:cstheme="majorHAnsi"/>
          <w:sz w:val="24"/>
          <w:szCs w:val="24"/>
        </w:rPr>
        <w:t>The ROC for both classes was  0.591, this suggest a  naïve or un-trustworthy precision in the classifier. 0 .5 is typically the minimum limit for a good classification.</w:t>
      </w:r>
    </w:p>
    <w:p w14:paraId="10BD859A" w14:textId="2A04EC8F" w:rsidR="00951B71" w:rsidRPr="00C970AE" w:rsidRDefault="00951B71" w:rsidP="00951B71">
      <w:pPr>
        <w:pStyle w:val="ListParagraph"/>
        <w:numPr>
          <w:ilvl w:val="0"/>
          <w:numId w:val="2"/>
        </w:numPr>
        <w:spacing w:line="480" w:lineRule="auto"/>
        <w:rPr>
          <w:rFonts w:asciiTheme="majorHAnsi" w:hAnsiTheme="majorHAnsi" w:cstheme="majorHAnsi"/>
          <w:sz w:val="24"/>
          <w:szCs w:val="24"/>
        </w:rPr>
      </w:pPr>
      <w:r w:rsidRPr="00C970AE">
        <w:rPr>
          <w:rFonts w:asciiTheme="majorHAnsi" w:hAnsiTheme="majorHAnsi" w:cstheme="majorHAnsi"/>
          <w:sz w:val="24"/>
          <w:szCs w:val="24"/>
        </w:rPr>
        <w:t xml:space="preserve">The confusion matrix showed </w:t>
      </w:r>
      <w:r w:rsidRPr="00C970AE">
        <w:rPr>
          <w:rFonts w:asciiTheme="majorHAnsi" w:hAnsiTheme="majorHAnsi" w:cstheme="majorHAnsi"/>
          <w:sz w:val="24"/>
          <w:szCs w:val="24"/>
        </w:rPr>
        <w:t xml:space="preserve">ACL classification </w:t>
      </w:r>
      <w:r w:rsidRPr="00C970AE">
        <w:rPr>
          <w:rFonts w:asciiTheme="majorHAnsi" w:hAnsiTheme="majorHAnsi" w:cstheme="majorHAnsi"/>
          <w:sz w:val="24"/>
          <w:szCs w:val="24"/>
        </w:rPr>
        <w:t>7</w:t>
      </w:r>
      <w:r w:rsidRPr="00C970AE">
        <w:rPr>
          <w:rFonts w:asciiTheme="majorHAnsi" w:hAnsiTheme="majorHAnsi" w:cstheme="majorHAnsi"/>
          <w:sz w:val="24"/>
          <w:szCs w:val="24"/>
        </w:rPr>
        <w:t xml:space="preserve"> correct classification compared to 6</w:t>
      </w:r>
      <w:r w:rsidRPr="00C970AE">
        <w:rPr>
          <w:rFonts w:asciiTheme="majorHAnsi" w:hAnsiTheme="majorHAnsi" w:cstheme="majorHAnsi"/>
          <w:sz w:val="24"/>
          <w:szCs w:val="24"/>
        </w:rPr>
        <w:t>3</w:t>
      </w:r>
      <w:r w:rsidRPr="00C970AE">
        <w:rPr>
          <w:rFonts w:asciiTheme="majorHAnsi" w:hAnsiTheme="majorHAnsi" w:cstheme="majorHAnsi"/>
          <w:sz w:val="24"/>
          <w:szCs w:val="24"/>
        </w:rPr>
        <w:t xml:space="preserve"> correct classification for nonACL. There are </w:t>
      </w:r>
      <w:r w:rsidRPr="00C970AE">
        <w:rPr>
          <w:rFonts w:asciiTheme="majorHAnsi" w:hAnsiTheme="majorHAnsi" w:cstheme="majorHAnsi"/>
          <w:sz w:val="24"/>
          <w:szCs w:val="24"/>
        </w:rPr>
        <w:t>9</w:t>
      </w:r>
      <w:r w:rsidRPr="00C970AE">
        <w:rPr>
          <w:rFonts w:asciiTheme="majorHAnsi" w:hAnsiTheme="majorHAnsi" w:cstheme="majorHAnsi"/>
          <w:sz w:val="24"/>
          <w:szCs w:val="24"/>
        </w:rPr>
        <w:t xml:space="preserve"> Type I classifications and </w:t>
      </w:r>
      <w:r w:rsidRPr="00C970AE">
        <w:rPr>
          <w:rFonts w:asciiTheme="majorHAnsi" w:hAnsiTheme="majorHAnsi" w:cstheme="majorHAnsi"/>
          <w:sz w:val="24"/>
          <w:szCs w:val="24"/>
        </w:rPr>
        <w:t>16</w:t>
      </w:r>
      <w:r w:rsidRPr="00C970AE">
        <w:rPr>
          <w:rFonts w:asciiTheme="majorHAnsi" w:hAnsiTheme="majorHAnsi" w:cstheme="majorHAnsi"/>
          <w:sz w:val="24"/>
          <w:szCs w:val="24"/>
        </w:rPr>
        <w:t xml:space="preserve"> Type II classifications</w:t>
      </w:r>
      <w:r w:rsidRPr="00C970AE">
        <w:rPr>
          <w:rFonts w:asciiTheme="majorHAnsi" w:hAnsiTheme="majorHAnsi" w:cstheme="majorHAnsi"/>
          <w:sz w:val="24"/>
          <w:szCs w:val="24"/>
        </w:rPr>
        <w:t>.</w:t>
      </w:r>
    </w:p>
    <w:p w14:paraId="2932DB3E" w14:textId="3D17D22A" w:rsidR="00060BF2" w:rsidRPr="00C970AE" w:rsidRDefault="00060BF2" w:rsidP="00060BF2">
      <w:pPr>
        <w:spacing w:line="480" w:lineRule="auto"/>
        <w:rPr>
          <w:rFonts w:asciiTheme="majorHAnsi" w:hAnsiTheme="majorHAnsi" w:cstheme="majorHAnsi"/>
          <w:sz w:val="24"/>
          <w:szCs w:val="24"/>
        </w:rPr>
      </w:pPr>
      <w:r w:rsidRPr="00C970AE">
        <w:rPr>
          <w:rFonts w:asciiTheme="majorHAnsi" w:hAnsiTheme="majorHAnsi" w:cstheme="majorHAnsi"/>
          <w:sz w:val="24"/>
          <w:szCs w:val="24"/>
        </w:rPr>
        <w:t xml:space="preserve">The tree for the Type II cost classifier of  </w:t>
      </w:r>
      <w:r w:rsidR="00951B71" w:rsidRPr="00C970AE">
        <w:rPr>
          <w:rFonts w:asciiTheme="majorHAnsi" w:hAnsiTheme="majorHAnsi" w:cstheme="majorHAnsi"/>
          <w:sz w:val="24"/>
          <w:szCs w:val="24"/>
        </w:rPr>
        <w:t>cost 2.5</w:t>
      </w:r>
      <w:r w:rsidRPr="00C970AE">
        <w:rPr>
          <w:rFonts w:asciiTheme="majorHAnsi" w:hAnsiTheme="majorHAnsi" w:cstheme="majorHAnsi"/>
          <w:sz w:val="24"/>
          <w:szCs w:val="24"/>
        </w:rPr>
        <w:t xml:space="preserve"> reduce the tree by</w:t>
      </w:r>
      <w:r w:rsidR="00951B71" w:rsidRPr="00C970AE">
        <w:rPr>
          <w:rFonts w:asciiTheme="majorHAnsi" w:hAnsiTheme="majorHAnsi" w:cstheme="majorHAnsi"/>
          <w:sz w:val="24"/>
          <w:szCs w:val="24"/>
        </w:rPr>
        <w:t xml:space="preserve"> 2 stumps as follows in Figure 4.1.</w:t>
      </w:r>
    </w:p>
    <w:p w14:paraId="519DAE41" w14:textId="5671C13C" w:rsidR="00060BF2" w:rsidRPr="00C970AE" w:rsidRDefault="00951B71">
      <w:pPr>
        <w:spacing w:line="480" w:lineRule="auto"/>
        <w:rPr>
          <w:rFonts w:asciiTheme="majorHAnsi" w:hAnsiTheme="majorHAnsi" w:cstheme="majorHAnsi"/>
          <w:sz w:val="24"/>
          <w:szCs w:val="24"/>
        </w:rPr>
      </w:pPr>
      <w:r w:rsidRPr="00C970AE">
        <w:rPr>
          <w:rFonts w:asciiTheme="majorHAnsi" w:hAnsiTheme="majorHAnsi" w:cstheme="majorHAnsi"/>
          <w:noProof/>
          <w:sz w:val="24"/>
          <w:szCs w:val="24"/>
        </w:rPr>
        <w:drawing>
          <wp:inline distT="0" distB="0" distL="0" distR="0" wp14:anchorId="4D860BAB" wp14:editId="5C0CEFB4">
            <wp:extent cx="5943600" cy="296227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62275"/>
                    </a:xfrm>
                    <a:prstGeom prst="rect">
                      <a:avLst/>
                    </a:prstGeom>
                  </pic:spPr>
                </pic:pic>
              </a:graphicData>
            </a:graphic>
          </wp:inline>
        </w:drawing>
      </w:r>
    </w:p>
    <w:p w14:paraId="5ABD3B54" w14:textId="7754AEEB" w:rsidR="00951B71" w:rsidRPr="00C970AE" w:rsidRDefault="00951B71">
      <w:pPr>
        <w:spacing w:line="480" w:lineRule="auto"/>
        <w:rPr>
          <w:rFonts w:asciiTheme="majorHAnsi" w:hAnsiTheme="majorHAnsi" w:cstheme="majorHAnsi"/>
          <w:b/>
          <w:bCs/>
          <w:sz w:val="24"/>
          <w:szCs w:val="24"/>
        </w:rPr>
      </w:pPr>
      <w:r w:rsidRPr="00C970AE">
        <w:rPr>
          <w:rFonts w:asciiTheme="majorHAnsi" w:hAnsiTheme="majorHAnsi" w:cstheme="majorHAnsi"/>
          <w:b/>
          <w:bCs/>
          <w:sz w:val="24"/>
          <w:szCs w:val="24"/>
        </w:rPr>
        <w:t>Figure 4.1</w:t>
      </w:r>
    </w:p>
    <w:p w14:paraId="5E5A759C" w14:textId="62C98191" w:rsidR="00951B71" w:rsidRPr="00C970AE" w:rsidRDefault="00951B71" w:rsidP="00951B71">
      <w:pPr>
        <w:spacing w:line="480" w:lineRule="auto"/>
        <w:rPr>
          <w:rFonts w:asciiTheme="majorHAnsi" w:hAnsiTheme="majorHAnsi" w:cstheme="majorHAnsi"/>
          <w:sz w:val="24"/>
          <w:szCs w:val="24"/>
        </w:rPr>
      </w:pPr>
      <w:r w:rsidRPr="00C970AE">
        <w:rPr>
          <w:rFonts w:asciiTheme="majorHAnsi" w:hAnsiTheme="majorHAnsi" w:cstheme="majorHAnsi"/>
          <w:sz w:val="24"/>
          <w:szCs w:val="24"/>
        </w:rPr>
        <w:lastRenderedPageBreak/>
        <w:t xml:space="preserve">For the </w:t>
      </w:r>
      <w:r w:rsidRPr="00C970AE">
        <w:rPr>
          <w:rFonts w:asciiTheme="majorHAnsi" w:hAnsiTheme="majorHAnsi" w:cstheme="majorHAnsi"/>
          <w:sz w:val="24"/>
          <w:szCs w:val="24"/>
        </w:rPr>
        <w:t>decrease</w:t>
      </w:r>
      <w:r w:rsidRPr="00C970AE">
        <w:rPr>
          <w:rFonts w:asciiTheme="majorHAnsi" w:hAnsiTheme="majorHAnsi" w:cstheme="majorHAnsi"/>
          <w:sz w:val="24"/>
          <w:szCs w:val="24"/>
        </w:rPr>
        <w:t xml:space="preserve"> in the cost matrix </w:t>
      </w:r>
      <w:r w:rsidRPr="00C970AE">
        <w:rPr>
          <w:rFonts w:asciiTheme="majorHAnsi" w:hAnsiTheme="majorHAnsi" w:cstheme="majorHAnsi"/>
          <w:sz w:val="24"/>
          <w:szCs w:val="24"/>
        </w:rPr>
        <w:t xml:space="preserve"> type II of 0.5 </w:t>
      </w:r>
      <w:r w:rsidRPr="00C970AE">
        <w:rPr>
          <w:rFonts w:asciiTheme="majorHAnsi" w:hAnsiTheme="majorHAnsi" w:cstheme="majorHAnsi"/>
          <w:sz w:val="24"/>
          <w:szCs w:val="24"/>
        </w:rPr>
        <w:t xml:space="preserve">we see the results become </w:t>
      </w:r>
      <w:r w:rsidRPr="00C970AE">
        <w:rPr>
          <w:rFonts w:asciiTheme="majorHAnsi" w:hAnsiTheme="majorHAnsi" w:cstheme="majorHAnsi"/>
          <w:sz w:val="24"/>
          <w:szCs w:val="24"/>
        </w:rPr>
        <w:t>best</w:t>
      </w:r>
      <w:r w:rsidRPr="00C970AE">
        <w:rPr>
          <w:rFonts w:asciiTheme="majorHAnsi" w:hAnsiTheme="majorHAnsi" w:cstheme="majorHAnsi"/>
          <w:sz w:val="24"/>
          <w:szCs w:val="24"/>
        </w:rPr>
        <w:t xml:space="preserve"> case with </w:t>
      </w:r>
      <w:r w:rsidRPr="00C970AE">
        <w:rPr>
          <w:rFonts w:asciiTheme="majorHAnsi" w:hAnsiTheme="majorHAnsi" w:cstheme="majorHAnsi"/>
          <w:sz w:val="24"/>
          <w:szCs w:val="24"/>
        </w:rPr>
        <w:t>decreased</w:t>
      </w:r>
      <w:r w:rsidRPr="00C970AE">
        <w:rPr>
          <w:rFonts w:asciiTheme="majorHAnsi" w:hAnsiTheme="majorHAnsi" w:cstheme="majorHAnsi"/>
          <w:sz w:val="24"/>
          <w:szCs w:val="24"/>
        </w:rPr>
        <w:t xml:space="preserve"> Type II errors.</w:t>
      </w:r>
    </w:p>
    <w:p w14:paraId="4F5ED6C9" w14:textId="7DBEB1FC" w:rsidR="00951B71" w:rsidRPr="00C970AE" w:rsidRDefault="00951B71" w:rsidP="00951B71">
      <w:pPr>
        <w:pStyle w:val="ListParagraph"/>
        <w:numPr>
          <w:ilvl w:val="0"/>
          <w:numId w:val="3"/>
        </w:numPr>
        <w:spacing w:line="480" w:lineRule="auto"/>
        <w:rPr>
          <w:rFonts w:asciiTheme="majorHAnsi" w:hAnsiTheme="majorHAnsi" w:cstheme="majorHAnsi"/>
          <w:sz w:val="24"/>
          <w:szCs w:val="24"/>
        </w:rPr>
      </w:pPr>
      <w:r w:rsidRPr="00C970AE">
        <w:rPr>
          <w:rFonts w:asciiTheme="majorHAnsi" w:hAnsiTheme="majorHAnsi" w:cstheme="majorHAnsi"/>
          <w:sz w:val="24"/>
          <w:szCs w:val="24"/>
        </w:rPr>
        <w:t xml:space="preserve">The Type II number of leaves </w:t>
      </w:r>
      <w:r w:rsidRPr="00C970AE">
        <w:rPr>
          <w:rFonts w:asciiTheme="majorHAnsi" w:hAnsiTheme="majorHAnsi" w:cstheme="majorHAnsi"/>
          <w:sz w:val="24"/>
          <w:szCs w:val="24"/>
        </w:rPr>
        <w:t>decreased to 6</w:t>
      </w:r>
      <w:r w:rsidRPr="00C970AE">
        <w:rPr>
          <w:rFonts w:asciiTheme="majorHAnsi" w:hAnsiTheme="majorHAnsi" w:cstheme="majorHAnsi"/>
          <w:sz w:val="24"/>
          <w:szCs w:val="24"/>
        </w:rPr>
        <w:t xml:space="preserve">,  and the tree size </w:t>
      </w:r>
      <w:r w:rsidRPr="00C970AE">
        <w:rPr>
          <w:rFonts w:asciiTheme="majorHAnsi" w:hAnsiTheme="majorHAnsi" w:cstheme="majorHAnsi"/>
          <w:sz w:val="24"/>
          <w:szCs w:val="24"/>
        </w:rPr>
        <w:t>decreased to 11</w:t>
      </w:r>
    </w:p>
    <w:p w14:paraId="0462B331" w14:textId="4E427DAE" w:rsidR="00951B71" w:rsidRPr="00C970AE" w:rsidRDefault="00951B71" w:rsidP="00951B71">
      <w:pPr>
        <w:pStyle w:val="ListParagraph"/>
        <w:numPr>
          <w:ilvl w:val="0"/>
          <w:numId w:val="3"/>
        </w:numPr>
        <w:spacing w:line="480" w:lineRule="auto"/>
        <w:rPr>
          <w:rFonts w:asciiTheme="majorHAnsi" w:hAnsiTheme="majorHAnsi" w:cstheme="majorHAnsi"/>
          <w:sz w:val="24"/>
          <w:szCs w:val="24"/>
        </w:rPr>
      </w:pPr>
      <w:r w:rsidRPr="00C970AE">
        <w:rPr>
          <w:rFonts w:asciiTheme="majorHAnsi" w:hAnsiTheme="majorHAnsi" w:cstheme="majorHAnsi"/>
          <w:sz w:val="24"/>
          <w:szCs w:val="24"/>
        </w:rPr>
        <w:t xml:space="preserve">The correctly classified instances where </w:t>
      </w:r>
      <w:r w:rsidRPr="00C970AE">
        <w:rPr>
          <w:rFonts w:asciiTheme="majorHAnsi" w:hAnsiTheme="majorHAnsi" w:cstheme="majorHAnsi"/>
          <w:sz w:val="24"/>
          <w:szCs w:val="24"/>
        </w:rPr>
        <w:t>82</w:t>
      </w:r>
      <w:r w:rsidRPr="00C970AE">
        <w:rPr>
          <w:rFonts w:asciiTheme="majorHAnsi" w:hAnsiTheme="majorHAnsi" w:cstheme="majorHAnsi"/>
          <w:sz w:val="24"/>
          <w:szCs w:val="24"/>
        </w:rPr>
        <w:t xml:space="preserve"> at </w:t>
      </w:r>
      <w:r w:rsidRPr="00C970AE">
        <w:rPr>
          <w:rFonts w:asciiTheme="majorHAnsi" w:hAnsiTheme="majorHAnsi" w:cstheme="majorHAnsi"/>
          <w:sz w:val="24"/>
          <w:szCs w:val="24"/>
        </w:rPr>
        <w:t>86</w:t>
      </w:r>
      <w:r w:rsidRPr="00C970AE">
        <w:rPr>
          <w:rFonts w:asciiTheme="majorHAnsi" w:hAnsiTheme="majorHAnsi" w:cstheme="majorHAnsi"/>
          <w:sz w:val="24"/>
          <w:szCs w:val="24"/>
        </w:rPr>
        <w:t>%</w:t>
      </w:r>
    </w:p>
    <w:p w14:paraId="59810DEE" w14:textId="3AF32C39" w:rsidR="00951B71" w:rsidRPr="00C970AE" w:rsidRDefault="00951B71" w:rsidP="00951B71">
      <w:pPr>
        <w:pStyle w:val="ListParagraph"/>
        <w:numPr>
          <w:ilvl w:val="0"/>
          <w:numId w:val="3"/>
        </w:numPr>
        <w:spacing w:line="480" w:lineRule="auto"/>
        <w:rPr>
          <w:rFonts w:asciiTheme="majorHAnsi" w:hAnsiTheme="majorHAnsi" w:cstheme="majorHAnsi"/>
          <w:sz w:val="24"/>
          <w:szCs w:val="24"/>
        </w:rPr>
      </w:pPr>
      <w:r w:rsidRPr="00C970AE">
        <w:rPr>
          <w:rFonts w:asciiTheme="majorHAnsi" w:hAnsiTheme="majorHAnsi" w:cstheme="majorHAnsi"/>
          <w:sz w:val="24"/>
          <w:szCs w:val="24"/>
        </w:rPr>
        <w:t xml:space="preserve">Incorrectly classified instances where </w:t>
      </w:r>
      <w:r w:rsidRPr="00C970AE">
        <w:rPr>
          <w:rFonts w:asciiTheme="majorHAnsi" w:hAnsiTheme="majorHAnsi" w:cstheme="majorHAnsi"/>
          <w:sz w:val="24"/>
          <w:szCs w:val="24"/>
        </w:rPr>
        <w:t>13</w:t>
      </w:r>
      <w:r w:rsidRPr="00C970AE">
        <w:rPr>
          <w:rFonts w:asciiTheme="majorHAnsi" w:hAnsiTheme="majorHAnsi" w:cstheme="majorHAnsi"/>
          <w:sz w:val="24"/>
          <w:szCs w:val="24"/>
        </w:rPr>
        <w:t xml:space="preserve"> at </w:t>
      </w:r>
      <w:r w:rsidRPr="00C970AE">
        <w:rPr>
          <w:rFonts w:asciiTheme="majorHAnsi" w:hAnsiTheme="majorHAnsi" w:cstheme="majorHAnsi"/>
          <w:sz w:val="24"/>
          <w:szCs w:val="24"/>
        </w:rPr>
        <w:t>14</w:t>
      </w:r>
      <w:r w:rsidRPr="00C970AE">
        <w:rPr>
          <w:rFonts w:asciiTheme="majorHAnsi" w:hAnsiTheme="majorHAnsi" w:cstheme="majorHAnsi"/>
          <w:sz w:val="24"/>
          <w:szCs w:val="24"/>
        </w:rPr>
        <w:t>%</w:t>
      </w:r>
    </w:p>
    <w:p w14:paraId="70AF53F5" w14:textId="491C46FA" w:rsidR="00951B71" w:rsidRPr="00C970AE" w:rsidRDefault="00951B71" w:rsidP="00951B71">
      <w:pPr>
        <w:pStyle w:val="ListParagraph"/>
        <w:numPr>
          <w:ilvl w:val="0"/>
          <w:numId w:val="3"/>
        </w:numPr>
        <w:spacing w:line="480" w:lineRule="auto"/>
        <w:rPr>
          <w:rFonts w:asciiTheme="majorHAnsi" w:hAnsiTheme="majorHAnsi" w:cstheme="majorHAnsi"/>
          <w:sz w:val="24"/>
          <w:szCs w:val="24"/>
        </w:rPr>
      </w:pPr>
      <w:r w:rsidRPr="00C970AE">
        <w:rPr>
          <w:rFonts w:asciiTheme="majorHAnsi" w:hAnsiTheme="majorHAnsi" w:cstheme="majorHAnsi"/>
          <w:sz w:val="24"/>
          <w:szCs w:val="24"/>
        </w:rPr>
        <w:t xml:space="preserve">The MAE </w:t>
      </w:r>
      <w:r w:rsidRPr="00C970AE">
        <w:rPr>
          <w:rFonts w:asciiTheme="majorHAnsi" w:hAnsiTheme="majorHAnsi" w:cstheme="majorHAnsi"/>
          <w:sz w:val="24"/>
          <w:szCs w:val="24"/>
        </w:rPr>
        <w:t>decreased</w:t>
      </w:r>
      <w:r w:rsidRPr="00C970AE">
        <w:rPr>
          <w:rFonts w:asciiTheme="majorHAnsi" w:hAnsiTheme="majorHAnsi" w:cstheme="majorHAnsi"/>
          <w:sz w:val="24"/>
          <w:szCs w:val="24"/>
        </w:rPr>
        <w:t xml:space="preserve"> to 0.</w:t>
      </w:r>
      <w:r w:rsidRPr="00C970AE">
        <w:rPr>
          <w:rFonts w:asciiTheme="majorHAnsi" w:hAnsiTheme="majorHAnsi" w:cstheme="majorHAnsi"/>
          <w:sz w:val="24"/>
          <w:szCs w:val="24"/>
        </w:rPr>
        <w:t>1403(</w:t>
      </w:r>
      <w:r w:rsidR="00C970AE" w:rsidRPr="00C970AE">
        <w:rPr>
          <w:rFonts w:asciiTheme="majorHAnsi" w:hAnsiTheme="majorHAnsi" w:cstheme="majorHAnsi"/>
          <w:sz w:val="24"/>
          <w:szCs w:val="24"/>
        </w:rPr>
        <w:t>lowest</w:t>
      </w:r>
      <w:r w:rsidRPr="00C970AE">
        <w:rPr>
          <w:rFonts w:asciiTheme="majorHAnsi" w:hAnsiTheme="majorHAnsi" w:cstheme="majorHAnsi"/>
          <w:sz w:val="24"/>
          <w:szCs w:val="24"/>
        </w:rPr>
        <w:t>)</w:t>
      </w:r>
    </w:p>
    <w:p w14:paraId="34FE0069" w14:textId="089F6A7C" w:rsidR="00951B71" w:rsidRPr="00C970AE" w:rsidRDefault="00951B71" w:rsidP="00951B71">
      <w:pPr>
        <w:pStyle w:val="ListParagraph"/>
        <w:numPr>
          <w:ilvl w:val="0"/>
          <w:numId w:val="3"/>
        </w:numPr>
        <w:spacing w:line="480" w:lineRule="auto"/>
        <w:rPr>
          <w:rFonts w:asciiTheme="majorHAnsi" w:hAnsiTheme="majorHAnsi" w:cstheme="majorHAnsi"/>
          <w:sz w:val="24"/>
          <w:szCs w:val="24"/>
        </w:rPr>
      </w:pPr>
      <w:r w:rsidRPr="00C970AE">
        <w:rPr>
          <w:rFonts w:asciiTheme="majorHAnsi" w:hAnsiTheme="majorHAnsi" w:cstheme="majorHAnsi"/>
          <w:sz w:val="24"/>
          <w:szCs w:val="24"/>
        </w:rPr>
        <w:t xml:space="preserve">The ROC for </w:t>
      </w:r>
      <w:r w:rsidRPr="00C970AE">
        <w:rPr>
          <w:rFonts w:asciiTheme="majorHAnsi" w:hAnsiTheme="majorHAnsi" w:cstheme="majorHAnsi"/>
          <w:sz w:val="24"/>
          <w:szCs w:val="24"/>
        </w:rPr>
        <w:t>ACL</w:t>
      </w:r>
      <w:r w:rsidRPr="00C970AE">
        <w:rPr>
          <w:rFonts w:asciiTheme="majorHAnsi" w:hAnsiTheme="majorHAnsi" w:cstheme="majorHAnsi"/>
          <w:sz w:val="24"/>
          <w:szCs w:val="24"/>
        </w:rPr>
        <w:t xml:space="preserve"> class </w:t>
      </w:r>
      <w:r w:rsidRPr="00C970AE">
        <w:rPr>
          <w:rFonts w:asciiTheme="majorHAnsi" w:hAnsiTheme="majorHAnsi" w:cstheme="majorHAnsi"/>
          <w:sz w:val="24"/>
          <w:szCs w:val="24"/>
        </w:rPr>
        <w:t>0.830</w:t>
      </w:r>
      <w:r w:rsidRPr="00C970AE">
        <w:rPr>
          <w:rFonts w:asciiTheme="majorHAnsi" w:hAnsiTheme="majorHAnsi" w:cstheme="majorHAnsi"/>
          <w:sz w:val="24"/>
          <w:szCs w:val="24"/>
        </w:rPr>
        <w:t>,</w:t>
      </w:r>
      <w:r w:rsidRPr="00C970AE">
        <w:rPr>
          <w:rFonts w:asciiTheme="majorHAnsi" w:hAnsiTheme="majorHAnsi" w:cstheme="majorHAnsi"/>
          <w:sz w:val="24"/>
          <w:szCs w:val="24"/>
        </w:rPr>
        <w:t xml:space="preserve"> nonACL class 0.831</w:t>
      </w:r>
      <w:r w:rsidRPr="00C970AE">
        <w:rPr>
          <w:rFonts w:asciiTheme="majorHAnsi" w:hAnsiTheme="majorHAnsi" w:cstheme="majorHAnsi"/>
          <w:sz w:val="24"/>
          <w:szCs w:val="24"/>
        </w:rPr>
        <w:t xml:space="preserve"> this suggest a</w:t>
      </w:r>
      <w:r w:rsidRPr="00C970AE">
        <w:rPr>
          <w:rFonts w:asciiTheme="majorHAnsi" w:hAnsiTheme="majorHAnsi" w:cstheme="majorHAnsi"/>
          <w:sz w:val="24"/>
          <w:szCs w:val="24"/>
        </w:rPr>
        <w:t xml:space="preserve"> good classification</w:t>
      </w:r>
    </w:p>
    <w:p w14:paraId="5503CC00" w14:textId="6B76B9E5" w:rsidR="00951B71" w:rsidRPr="00C970AE" w:rsidRDefault="00951B71" w:rsidP="00951B71">
      <w:pPr>
        <w:pStyle w:val="ListParagraph"/>
        <w:numPr>
          <w:ilvl w:val="0"/>
          <w:numId w:val="3"/>
        </w:numPr>
        <w:spacing w:line="480" w:lineRule="auto"/>
        <w:rPr>
          <w:rFonts w:asciiTheme="majorHAnsi" w:hAnsiTheme="majorHAnsi" w:cstheme="majorHAnsi"/>
          <w:sz w:val="24"/>
          <w:szCs w:val="24"/>
        </w:rPr>
      </w:pPr>
      <w:r w:rsidRPr="00C970AE">
        <w:rPr>
          <w:rFonts w:asciiTheme="majorHAnsi" w:hAnsiTheme="majorHAnsi" w:cstheme="majorHAnsi"/>
          <w:sz w:val="24"/>
          <w:szCs w:val="24"/>
        </w:rPr>
        <w:t xml:space="preserve">The confusion matrix showed ACL classification </w:t>
      </w:r>
      <w:r w:rsidRPr="00C970AE">
        <w:rPr>
          <w:rFonts w:asciiTheme="majorHAnsi" w:hAnsiTheme="majorHAnsi" w:cstheme="majorHAnsi"/>
          <w:sz w:val="24"/>
          <w:szCs w:val="24"/>
        </w:rPr>
        <w:t>16</w:t>
      </w:r>
      <w:r w:rsidRPr="00C970AE">
        <w:rPr>
          <w:rFonts w:asciiTheme="majorHAnsi" w:hAnsiTheme="majorHAnsi" w:cstheme="majorHAnsi"/>
          <w:sz w:val="24"/>
          <w:szCs w:val="24"/>
        </w:rPr>
        <w:t xml:space="preserve"> correct classification compared to 6</w:t>
      </w:r>
      <w:r w:rsidRPr="00C970AE">
        <w:rPr>
          <w:rFonts w:asciiTheme="majorHAnsi" w:hAnsiTheme="majorHAnsi" w:cstheme="majorHAnsi"/>
          <w:sz w:val="24"/>
          <w:szCs w:val="24"/>
        </w:rPr>
        <w:t>6</w:t>
      </w:r>
      <w:r w:rsidRPr="00C970AE">
        <w:rPr>
          <w:rFonts w:asciiTheme="majorHAnsi" w:hAnsiTheme="majorHAnsi" w:cstheme="majorHAnsi"/>
          <w:sz w:val="24"/>
          <w:szCs w:val="24"/>
        </w:rPr>
        <w:t xml:space="preserve"> correct classification for nonACL. There </w:t>
      </w:r>
      <w:r w:rsidRPr="00C970AE">
        <w:rPr>
          <w:rFonts w:asciiTheme="majorHAnsi" w:hAnsiTheme="majorHAnsi" w:cstheme="majorHAnsi"/>
          <w:sz w:val="24"/>
          <w:szCs w:val="24"/>
        </w:rPr>
        <w:t>where 6</w:t>
      </w:r>
      <w:r w:rsidRPr="00C970AE">
        <w:rPr>
          <w:rFonts w:asciiTheme="majorHAnsi" w:hAnsiTheme="majorHAnsi" w:cstheme="majorHAnsi"/>
          <w:sz w:val="24"/>
          <w:szCs w:val="24"/>
        </w:rPr>
        <w:t xml:space="preserve"> Type I classifications and </w:t>
      </w:r>
      <w:r w:rsidRPr="00C970AE">
        <w:rPr>
          <w:rFonts w:asciiTheme="majorHAnsi" w:hAnsiTheme="majorHAnsi" w:cstheme="majorHAnsi"/>
          <w:sz w:val="24"/>
          <w:szCs w:val="24"/>
        </w:rPr>
        <w:t xml:space="preserve">7 </w:t>
      </w:r>
      <w:r w:rsidRPr="00C970AE">
        <w:rPr>
          <w:rFonts w:asciiTheme="majorHAnsi" w:hAnsiTheme="majorHAnsi" w:cstheme="majorHAnsi"/>
          <w:sz w:val="24"/>
          <w:szCs w:val="24"/>
        </w:rPr>
        <w:t>Type II classifications.</w:t>
      </w:r>
    </w:p>
    <w:p w14:paraId="0DB60919" w14:textId="7EA74A6B" w:rsidR="00951B71" w:rsidRPr="00C970AE" w:rsidRDefault="00951B71" w:rsidP="00951B71">
      <w:pPr>
        <w:spacing w:line="480" w:lineRule="auto"/>
        <w:rPr>
          <w:rFonts w:asciiTheme="majorHAnsi" w:hAnsiTheme="majorHAnsi" w:cstheme="majorHAnsi"/>
          <w:sz w:val="24"/>
          <w:szCs w:val="24"/>
        </w:rPr>
      </w:pPr>
      <w:r w:rsidRPr="00C970AE">
        <w:rPr>
          <w:rFonts w:asciiTheme="majorHAnsi" w:hAnsiTheme="majorHAnsi" w:cstheme="majorHAnsi"/>
          <w:sz w:val="24"/>
          <w:szCs w:val="24"/>
        </w:rPr>
        <w:t xml:space="preserve">The tree for the Type II cost classifier of  cost </w:t>
      </w:r>
      <w:r w:rsidR="00C970AE">
        <w:rPr>
          <w:rFonts w:asciiTheme="majorHAnsi" w:hAnsiTheme="majorHAnsi" w:cstheme="majorHAnsi"/>
          <w:sz w:val="24"/>
          <w:szCs w:val="24"/>
        </w:rPr>
        <w:t>0.5</w:t>
      </w:r>
      <w:r w:rsidRPr="00C970AE">
        <w:rPr>
          <w:rFonts w:asciiTheme="majorHAnsi" w:hAnsiTheme="majorHAnsi" w:cstheme="majorHAnsi"/>
          <w:sz w:val="24"/>
          <w:szCs w:val="24"/>
        </w:rPr>
        <w:t xml:space="preserve"> reduce the tree by </w:t>
      </w:r>
      <w:r w:rsidR="00C970AE">
        <w:rPr>
          <w:rFonts w:asciiTheme="majorHAnsi" w:hAnsiTheme="majorHAnsi" w:cstheme="majorHAnsi"/>
          <w:sz w:val="24"/>
          <w:szCs w:val="24"/>
        </w:rPr>
        <w:t>1</w:t>
      </w:r>
      <w:r w:rsidRPr="00C970AE">
        <w:rPr>
          <w:rFonts w:asciiTheme="majorHAnsi" w:hAnsiTheme="majorHAnsi" w:cstheme="majorHAnsi"/>
          <w:sz w:val="24"/>
          <w:szCs w:val="24"/>
        </w:rPr>
        <w:t xml:space="preserve"> stump</w:t>
      </w:r>
      <w:r w:rsidR="00C970AE">
        <w:rPr>
          <w:rFonts w:asciiTheme="majorHAnsi" w:hAnsiTheme="majorHAnsi" w:cstheme="majorHAnsi"/>
          <w:sz w:val="24"/>
          <w:szCs w:val="24"/>
        </w:rPr>
        <w:t xml:space="preserve"> </w:t>
      </w:r>
      <w:r w:rsidRPr="00C970AE">
        <w:rPr>
          <w:rFonts w:asciiTheme="majorHAnsi" w:hAnsiTheme="majorHAnsi" w:cstheme="majorHAnsi"/>
          <w:sz w:val="24"/>
          <w:szCs w:val="24"/>
        </w:rPr>
        <w:t>as follows in Figure 4.</w:t>
      </w:r>
      <w:r w:rsidR="00C970AE" w:rsidRPr="00C970AE">
        <w:rPr>
          <w:rFonts w:asciiTheme="majorHAnsi" w:hAnsiTheme="majorHAnsi" w:cstheme="majorHAnsi"/>
          <w:sz w:val="24"/>
          <w:szCs w:val="24"/>
        </w:rPr>
        <w:t>2</w:t>
      </w:r>
      <w:r w:rsidRPr="00C970AE">
        <w:rPr>
          <w:rFonts w:asciiTheme="majorHAnsi" w:hAnsiTheme="majorHAnsi" w:cstheme="majorHAnsi"/>
          <w:sz w:val="24"/>
          <w:szCs w:val="24"/>
        </w:rPr>
        <w:t>.</w:t>
      </w:r>
    </w:p>
    <w:p w14:paraId="32C41B91" w14:textId="3C4B99BF" w:rsidR="00951B71"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noProof/>
          <w:sz w:val="24"/>
          <w:szCs w:val="24"/>
        </w:rPr>
        <w:drawing>
          <wp:inline distT="0" distB="0" distL="0" distR="0" wp14:anchorId="7D262A56" wp14:editId="1D547A9C">
            <wp:extent cx="5943600" cy="36385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38550"/>
                    </a:xfrm>
                    <a:prstGeom prst="rect">
                      <a:avLst/>
                    </a:prstGeom>
                  </pic:spPr>
                </pic:pic>
              </a:graphicData>
            </a:graphic>
          </wp:inline>
        </w:drawing>
      </w:r>
    </w:p>
    <w:p w14:paraId="3B561BB7" w14:textId="0CCEF7EB" w:rsidR="00C970AE" w:rsidRPr="00C970AE" w:rsidRDefault="00C970AE">
      <w:pPr>
        <w:spacing w:line="480" w:lineRule="auto"/>
        <w:rPr>
          <w:rFonts w:asciiTheme="majorHAnsi" w:hAnsiTheme="majorHAnsi" w:cstheme="majorHAnsi"/>
          <w:b/>
          <w:bCs/>
          <w:sz w:val="24"/>
          <w:szCs w:val="24"/>
        </w:rPr>
      </w:pPr>
      <w:r w:rsidRPr="00C970AE">
        <w:rPr>
          <w:rFonts w:asciiTheme="majorHAnsi" w:hAnsiTheme="majorHAnsi" w:cstheme="majorHAnsi"/>
          <w:b/>
          <w:bCs/>
          <w:sz w:val="24"/>
          <w:szCs w:val="24"/>
        </w:rPr>
        <w:lastRenderedPageBreak/>
        <w:t>Figure 4.2</w:t>
      </w:r>
    </w:p>
    <w:p w14:paraId="2EA99057" w14:textId="264F7315" w:rsidR="00C970AE" w:rsidRPr="00C970AE" w:rsidRDefault="00C970AE">
      <w:pPr>
        <w:spacing w:line="480" w:lineRule="auto"/>
        <w:rPr>
          <w:rFonts w:asciiTheme="majorHAnsi" w:hAnsiTheme="majorHAnsi" w:cstheme="majorHAnsi"/>
          <w:sz w:val="24"/>
          <w:szCs w:val="24"/>
        </w:rPr>
      </w:pPr>
      <w:r w:rsidRPr="00C970AE">
        <w:rPr>
          <w:rFonts w:asciiTheme="majorHAnsi" w:hAnsiTheme="majorHAnsi" w:cstheme="majorHAnsi"/>
          <w:sz w:val="24"/>
          <w:szCs w:val="24"/>
        </w:rPr>
        <w:t>Overall, the reduction in the cost matrix through the cost sensitive classifier yielded the best classification for the model.</w:t>
      </w:r>
    </w:p>
    <w:p w14:paraId="33599D39" w14:textId="0FF173EB" w:rsidR="00C970AE" w:rsidRPr="00C970AE" w:rsidRDefault="00C970AE">
      <w:pPr>
        <w:spacing w:line="480" w:lineRule="auto"/>
        <w:rPr>
          <w:rFonts w:asciiTheme="majorHAnsi" w:hAnsiTheme="majorHAnsi" w:cstheme="majorHAnsi"/>
          <w:sz w:val="24"/>
          <w:szCs w:val="24"/>
        </w:rPr>
      </w:pPr>
    </w:p>
    <w:p w14:paraId="3CF8BA8A" w14:textId="2D191481" w:rsidR="00C970AE" w:rsidRPr="00C970AE" w:rsidRDefault="00C970AE">
      <w:pPr>
        <w:spacing w:line="480" w:lineRule="auto"/>
        <w:rPr>
          <w:rFonts w:asciiTheme="majorHAnsi" w:hAnsiTheme="majorHAnsi" w:cstheme="majorHAnsi"/>
          <w:sz w:val="24"/>
          <w:szCs w:val="24"/>
        </w:rPr>
      </w:pPr>
    </w:p>
    <w:p w14:paraId="36346092" w14:textId="1269945D" w:rsidR="00C970AE" w:rsidRPr="00C970AE" w:rsidRDefault="00C970AE">
      <w:pPr>
        <w:spacing w:line="480" w:lineRule="auto"/>
        <w:rPr>
          <w:rFonts w:asciiTheme="majorHAnsi" w:hAnsiTheme="majorHAnsi" w:cstheme="majorHAnsi"/>
          <w:sz w:val="24"/>
          <w:szCs w:val="24"/>
        </w:rPr>
      </w:pPr>
    </w:p>
    <w:p w14:paraId="776D66A9" w14:textId="3B08480C" w:rsidR="00C970AE" w:rsidRPr="00C970AE" w:rsidRDefault="00C970AE">
      <w:pPr>
        <w:spacing w:line="480" w:lineRule="auto"/>
        <w:rPr>
          <w:rFonts w:asciiTheme="majorHAnsi" w:hAnsiTheme="majorHAnsi" w:cstheme="majorHAnsi"/>
          <w:sz w:val="24"/>
          <w:szCs w:val="24"/>
        </w:rPr>
      </w:pPr>
    </w:p>
    <w:p w14:paraId="47C0C881" w14:textId="49D8D607" w:rsidR="00C970AE" w:rsidRPr="00C970AE" w:rsidRDefault="00C970AE">
      <w:pPr>
        <w:spacing w:line="480" w:lineRule="auto"/>
        <w:rPr>
          <w:rFonts w:asciiTheme="majorHAnsi" w:hAnsiTheme="majorHAnsi" w:cstheme="majorHAnsi"/>
          <w:sz w:val="24"/>
          <w:szCs w:val="24"/>
        </w:rPr>
      </w:pPr>
    </w:p>
    <w:p w14:paraId="1E97AA3B" w14:textId="3B6A4B30" w:rsidR="00C970AE" w:rsidRPr="00C970AE" w:rsidRDefault="00C970AE">
      <w:pPr>
        <w:spacing w:line="480" w:lineRule="auto"/>
        <w:rPr>
          <w:rFonts w:asciiTheme="majorHAnsi" w:hAnsiTheme="majorHAnsi" w:cstheme="majorHAnsi"/>
          <w:sz w:val="24"/>
          <w:szCs w:val="24"/>
        </w:rPr>
      </w:pPr>
    </w:p>
    <w:p w14:paraId="77D33B4A" w14:textId="7D967154" w:rsidR="00C970AE" w:rsidRPr="00C970AE" w:rsidRDefault="00C970AE">
      <w:pPr>
        <w:spacing w:line="480" w:lineRule="auto"/>
        <w:rPr>
          <w:rFonts w:asciiTheme="majorHAnsi" w:hAnsiTheme="majorHAnsi" w:cstheme="majorHAnsi"/>
          <w:sz w:val="24"/>
          <w:szCs w:val="24"/>
        </w:rPr>
      </w:pPr>
    </w:p>
    <w:p w14:paraId="0F868FA4" w14:textId="38413E40" w:rsidR="00C970AE" w:rsidRPr="00C970AE" w:rsidRDefault="00C970AE">
      <w:pPr>
        <w:spacing w:line="480" w:lineRule="auto"/>
        <w:rPr>
          <w:rFonts w:asciiTheme="majorHAnsi" w:hAnsiTheme="majorHAnsi" w:cstheme="majorHAnsi"/>
          <w:sz w:val="24"/>
          <w:szCs w:val="24"/>
        </w:rPr>
      </w:pPr>
    </w:p>
    <w:p w14:paraId="39FDF584" w14:textId="5EC0A1BE" w:rsidR="00C970AE" w:rsidRPr="00C970AE" w:rsidRDefault="00C970AE">
      <w:pPr>
        <w:spacing w:line="480" w:lineRule="auto"/>
        <w:rPr>
          <w:rFonts w:asciiTheme="majorHAnsi" w:hAnsiTheme="majorHAnsi" w:cstheme="majorHAnsi"/>
          <w:sz w:val="24"/>
          <w:szCs w:val="24"/>
        </w:rPr>
      </w:pPr>
    </w:p>
    <w:p w14:paraId="1F09D93B" w14:textId="57DF72CA" w:rsidR="00C970AE" w:rsidRPr="00C970AE" w:rsidRDefault="00C970AE">
      <w:pPr>
        <w:spacing w:line="480" w:lineRule="auto"/>
        <w:rPr>
          <w:rFonts w:asciiTheme="majorHAnsi" w:hAnsiTheme="majorHAnsi" w:cstheme="majorHAnsi"/>
          <w:sz w:val="24"/>
          <w:szCs w:val="24"/>
        </w:rPr>
      </w:pPr>
    </w:p>
    <w:p w14:paraId="32439EBA" w14:textId="672D1C43" w:rsidR="00C970AE" w:rsidRPr="00C970AE" w:rsidRDefault="00C970AE">
      <w:pPr>
        <w:spacing w:line="480" w:lineRule="auto"/>
        <w:rPr>
          <w:rFonts w:asciiTheme="majorHAnsi" w:hAnsiTheme="majorHAnsi" w:cstheme="majorHAnsi"/>
          <w:sz w:val="24"/>
          <w:szCs w:val="24"/>
        </w:rPr>
      </w:pPr>
    </w:p>
    <w:p w14:paraId="48A2163F" w14:textId="0D3C5BE9" w:rsidR="00C970AE" w:rsidRPr="00C970AE" w:rsidRDefault="00C970AE">
      <w:pPr>
        <w:spacing w:line="480" w:lineRule="auto"/>
        <w:rPr>
          <w:rFonts w:asciiTheme="majorHAnsi" w:hAnsiTheme="majorHAnsi" w:cstheme="majorHAnsi"/>
          <w:sz w:val="24"/>
          <w:szCs w:val="24"/>
        </w:rPr>
      </w:pPr>
    </w:p>
    <w:p w14:paraId="5F9EB822" w14:textId="670ADCEC" w:rsidR="00C970AE" w:rsidRPr="00C970AE" w:rsidRDefault="00C970AE">
      <w:pPr>
        <w:spacing w:line="480" w:lineRule="auto"/>
        <w:rPr>
          <w:rFonts w:asciiTheme="majorHAnsi" w:hAnsiTheme="majorHAnsi" w:cstheme="majorHAnsi"/>
          <w:sz w:val="24"/>
          <w:szCs w:val="24"/>
        </w:rPr>
      </w:pPr>
    </w:p>
    <w:p w14:paraId="26CA2B25" w14:textId="34E5E303" w:rsidR="00C970AE" w:rsidRPr="00C970AE" w:rsidRDefault="00C970AE">
      <w:pPr>
        <w:spacing w:line="480" w:lineRule="auto"/>
        <w:rPr>
          <w:rFonts w:asciiTheme="majorHAnsi" w:hAnsiTheme="majorHAnsi" w:cstheme="majorHAnsi"/>
          <w:sz w:val="24"/>
          <w:szCs w:val="24"/>
        </w:rPr>
      </w:pPr>
    </w:p>
    <w:p w14:paraId="7242C93F" w14:textId="072F69F4" w:rsidR="00C970AE" w:rsidRPr="00C970AE" w:rsidRDefault="00C970AE">
      <w:pPr>
        <w:spacing w:line="480" w:lineRule="auto"/>
        <w:rPr>
          <w:rFonts w:asciiTheme="majorHAnsi" w:hAnsiTheme="majorHAnsi" w:cstheme="majorHAnsi"/>
          <w:sz w:val="24"/>
          <w:szCs w:val="24"/>
        </w:rPr>
      </w:pPr>
    </w:p>
    <w:p w14:paraId="4100770E" w14:textId="49E41D84" w:rsidR="00C970AE" w:rsidRPr="00C970AE" w:rsidRDefault="00C970AE">
      <w:pPr>
        <w:spacing w:line="480" w:lineRule="auto"/>
        <w:rPr>
          <w:rFonts w:asciiTheme="majorHAnsi" w:hAnsiTheme="majorHAnsi" w:cstheme="majorHAnsi"/>
          <w:sz w:val="24"/>
          <w:szCs w:val="24"/>
        </w:rPr>
      </w:pPr>
    </w:p>
    <w:p w14:paraId="4F4D2B17" w14:textId="5E7AFEE6" w:rsidR="00C970AE" w:rsidRPr="00C970AE" w:rsidRDefault="00C970AE">
      <w:pPr>
        <w:spacing w:line="480" w:lineRule="auto"/>
        <w:rPr>
          <w:rFonts w:asciiTheme="majorHAnsi" w:hAnsiTheme="majorHAnsi" w:cstheme="majorHAnsi"/>
          <w:sz w:val="24"/>
          <w:szCs w:val="24"/>
        </w:rPr>
      </w:pPr>
    </w:p>
    <w:p w14:paraId="2F91ACD3" w14:textId="029FEA61" w:rsidR="00C970AE" w:rsidRPr="00C970AE" w:rsidRDefault="00C970AE">
      <w:pPr>
        <w:spacing w:line="480" w:lineRule="auto"/>
        <w:rPr>
          <w:rFonts w:asciiTheme="majorHAnsi" w:hAnsiTheme="majorHAnsi" w:cstheme="majorHAnsi"/>
          <w:sz w:val="24"/>
          <w:szCs w:val="24"/>
        </w:rPr>
      </w:pPr>
    </w:p>
    <w:p w14:paraId="39436D2F" w14:textId="6AC0748B" w:rsidR="00C970AE" w:rsidRPr="00C970AE" w:rsidRDefault="00C970AE">
      <w:pPr>
        <w:spacing w:line="480" w:lineRule="auto"/>
        <w:rPr>
          <w:rFonts w:asciiTheme="majorHAnsi" w:hAnsiTheme="majorHAnsi" w:cstheme="majorHAnsi"/>
          <w:sz w:val="24"/>
          <w:szCs w:val="24"/>
        </w:rPr>
      </w:pPr>
    </w:p>
    <w:sdt>
      <w:sdtPr>
        <w:rPr>
          <w:rFonts w:asciiTheme="majorHAnsi" w:hAnsiTheme="majorHAnsi" w:cstheme="majorHAnsi"/>
          <w:sz w:val="24"/>
          <w:szCs w:val="24"/>
        </w:rPr>
        <w:id w:val="1463389294"/>
        <w:docPartObj>
          <w:docPartGallery w:val="Bibliographies"/>
          <w:docPartUnique/>
        </w:docPartObj>
      </w:sdtPr>
      <w:sdtContent>
        <w:p w14:paraId="01B81B25" w14:textId="4091920F" w:rsidR="00C970AE" w:rsidRPr="00C970AE" w:rsidRDefault="00C970AE" w:rsidP="00C970AE">
          <w:pPr>
            <w:pStyle w:val="Heading1"/>
            <w:spacing w:before="0" w:after="0" w:line="480" w:lineRule="auto"/>
            <w:jc w:val="center"/>
            <w:rPr>
              <w:rFonts w:asciiTheme="majorHAnsi" w:hAnsiTheme="majorHAnsi" w:cstheme="majorHAnsi"/>
              <w:b/>
              <w:bCs/>
              <w:sz w:val="24"/>
              <w:szCs w:val="24"/>
            </w:rPr>
          </w:pPr>
          <w:r w:rsidRPr="00C970AE">
            <w:rPr>
              <w:rFonts w:asciiTheme="majorHAnsi" w:hAnsiTheme="majorHAnsi" w:cstheme="majorHAnsi"/>
              <w:b/>
              <w:bCs/>
              <w:sz w:val="24"/>
              <w:szCs w:val="24"/>
            </w:rPr>
            <w:t>References</w:t>
          </w:r>
        </w:p>
        <w:sdt>
          <w:sdtPr>
            <w:rPr>
              <w:rFonts w:asciiTheme="majorHAnsi" w:hAnsiTheme="majorHAnsi" w:cstheme="majorHAnsi"/>
              <w:sz w:val="24"/>
              <w:szCs w:val="24"/>
            </w:rPr>
            <w:id w:val="-573587230"/>
            <w:bibliography/>
          </w:sdtPr>
          <w:sdtContent>
            <w:p w14:paraId="05C87B3B" w14:textId="77777777" w:rsidR="00C970AE" w:rsidRPr="00C970AE" w:rsidRDefault="00C970AE" w:rsidP="00C970AE">
              <w:pPr>
                <w:spacing w:line="480" w:lineRule="auto"/>
                <w:rPr>
                  <w:rFonts w:asciiTheme="majorHAnsi" w:hAnsiTheme="majorHAnsi" w:cstheme="majorHAnsi"/>
                  <w:noProof/>
                  <w:sz w:val="24"/>
                  <w:szCs w:val="24"/>
                </w:rPr>
              </w:pPr>
              <w:r w:rsidRPr="00C970AE">
                <w:rPr>
                  <w:rFonts w:asciiTheme="majorHAnsi" w:hAnsiTheme="majorHAnsi" w:cstheme="majorHAnsi"/>
                  <w:sz w:val="24"/>
                  <w:szCs w:val="24"/>
                </w:rPr>
                <w:fldChar w:fldCharType="begin"/>
              </w:r>
              <w:r w:rsidRPr="00C970AE">
                <w:rPr>
                  <w:rFonts w:asciiTheme="majorHAnsi" w:hAnsiTheme="majorHAnsi" w:cstheme="majorHAnsi"/>
                  <w:sz w:val="24"/>
                  <w:szCs w:val="24"/>
                </w:rPr>
                <w:instrText xml:space="preserve"> BIBLIOGRAPHY </w:instrText>
              </w:r>
              <w:r w:rsidRPr="00C970AE">
                <w:rPr>
                  <w:rFonts w:asciiTheme="majorHAnsi" w:hAnsiTheme="majorHAnsi" w:cstheme="majorHAnsi"/>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C970AE" w:rsidRPr="00C970AE" w14:paraId="770828FC" w14:textId="77777777">
                <w:trPr>
                  <w:divId w:val="723873588"/>
                  <w:tblCellSpacing w:w="15" w:type="dxa"/>
                </w:trPr>
                <w:tc>
                  <w:tcPr>
                    <w:tcW w:w="50" w:type="pct"/>
                    <w:hideMark/>
                  </w:tcPr>
                  <w:p w14:paraId="4833DF91" w14:textId="4385F9AF" w:rsidR="00C970AE" w:rsidRPr="00C970AE" w:rsidRDefault="00C970AE" w:rsidP="00C970AE">
                    <w:pPr>
                      <w:pStyle w:val="Bibliography"/>
                      <w:spacing w:line="480" w:lineRule="auto"/>
                      <w:rPr>
                        <w:rFonts w:asciiTheme="majorHAnsi" w:hAnsiTheme="majorHAnsi" w:cstheme="majorHAnsi"/>
                        <w:noProof/>
                        <w:sz w:val="24"/>
                        <w:szCs w:val="24"/>
                      </w:rPr>
                    </w:pPr>
                    <w:r w:rsidRPr="00C970AE">
                      <w:rPr>
                        <w:rFonts w:asciiTheme="majorHAnsi" w:hAnsiTheme="majorHAnsi" w:cstheme="majorHAnsi"/>
                        <w:noProof/>
                        <w:sz w:val="24"/>
                        <w:szCs w:val="24"/>
                      </w:rPr>
                      <w:t xml:space="preserve">[1] </w:t>
                    </w:r>
                  </w:p>
                </w:tc>
                <w:tc>
                  <w:tcPr>
                    <w:tcW w:w="0" w:type="auto"/>
                    <w:hideMark/>
                  </w:tcPr>
                  <w:p w14:paraId="09149E43" w14:textId="77777777" w:rsidR="00C970AE" w:rsidRPr="00C970AE" w:rsidRDefault="00C970AE" w:rsidP="00C970AE">
                    <w:pPr>
                      <w:pStyle w:val="Bibliography"/>
                      <w:spacing w:line="480" w:lineRule="auto"/>
                      <w:rPr>
                        <w:rFonts w:asciiTheme="majorHAnsi" w:hAnsiTheme="majorHAnsi" w:cstheme="majorHAnsi"/>
                        <w:noProof/>
                        <w:sz w:val="24"/>
                        <w:szCs w:val="24"/>
                      </w:rPr>
                    </w:pPr>
                    <w:r w:rsidRPr="00C970AE">
                      <w:rPr>
                        <w:rFonts w:asciiTheme="majorHAnsi" w:hAnsiTheme="majorHAnsi" w:cstheme="majorHAnsi"/>
                        <w:noProof/>
                        <w:sz w:val="24"/>
                        <w:szCs w:val="24"/>
                      </w:rPr>
                      <w:t>DataCadamia, "Data Mining - Pruning (a decision tree, decision rules)," https://datacadamia.com , 17 sept 2021. [Online]. Available: https://datacadamia.com/data_mining/pruning#confidence_factor. [Accessed 17 sept 2021].</w:t>
                    </w:r>
                  </w:p>
                </w:tc>
              </w:tr>
              <w:tr w:rsidR="00C970AE" w:rsidRPr="00C970AE" w14:paraId="3A28B48B" w14:textId="77777777">
                <w:trPr>
                  <w:divId w:val="723873588"/>
                  <w:tblCellSpacing w:w="15" w:type="dxa"/>
                </w:trPr>
                <w:tc>
                  <w:tcPr>
                    <w:tcW w:w="50" w:type="pct"/>
                    <w:hideMark/>
                  </w:tcPr>
                  <w:p w14:paraId="0F1931AD" w14:textId="77777777" w:rsidR="00C970AE" w:rsidRPr="00C970AE" w:rsidRDefault="00C970AE" w:rsidP="00C970AE">
                    <w:pPr>
                      <w:pStyle w:val="Bibliography"/>
                      <w:spacing w:line="480" w:lineRule="auto"/>
                      <w:rPr>
                        <w:rFonts w:asciiTheme="majorHAnsi" w:hAnsiTheme="majorHAnsi" w:cstheme="majorHAnsi"/>
                        <w:noProof/>
                        <w:sz w:val="24"/>
                        <w:szCs w:val="24"/>
                      </w:rPr>
                    </w:pPr>
                    <w:r w:rsidRPr="00C970AE">
                      <w:rPr>
                        <w:rFonts w:asciiTheme="majorHAnsi" w:hAnsiTheme="majorHAnsi" w:cstheme="majorHAnsi"/>
                        <w:noProof/>
                        <w:sz w:val="24"/>
                        <w:szCs w:val="24"/>
                      </w:rPr>
                      <w:t xml:space="preserve">[2] </w:t>
                    </w:r>
                  </w:p>
                </w:tc>
                <w:tc>
                  <w:tcPr>
                    <w:tcW w:w="0" w:type="auto"/>
                    <w:hideMark/>
                  </w:tcPr>
                  <w:p w14:paraId="54938380" w14:textId="77777777" w:rsidR="00C970AE" w:rsidRPr="00C970AE" w:rsidRDefault="00C970AE" w:rsidP="00C970AE">
                    <w:pPr>
                      <w:pStyle w:val="Bibliography"/>
                      <w:spacing w:line="480" w:lineRule="auto"/>
                      <w:rPr>
                        <w:rFonts w:asciiTheme="majorHAnsi" w:hAnsiTheme="majorHAnsi" w:cstheme="majorHAnsi"/>
                        <w:noProof/>
                        <w:sz w:val="24"/>
                        <w:szCs w:val="24"/>
                      </w:rPr>
                    </w:pPr>
                    <w:r w:rsidRPr="00C970AE">
                      <w:rPr>
                        <w:rFonts w:asciiTheme="majorHAnsi" w:hAnsiTheme="majorHAnsi" w:cstheme="majorHAnsi"/>
                        <w:noProof/>
                        <w:sz w:val="24"/>
                        <w:szCs w:val="24"/>
                      </w:rPr>
                      <w:t>S. D. a. M. Montag, "Decision Tree Analysis using Weka," University of Miami, Miami, 2006.</w:t>
                    </w:r>
                  </w:p>
                </w:tc>
              </w:tr>
            </w:tbl>
            <w:p w14:paraId="46A319AE" w14:textId="77777777" w:rsidR="00C970AE" w:rsidRPr="00C970AE" w:rsidRDefault="00C970AE" w:rsidP="00C970AE">
              <w:pPr>
                <w:spacing w:line="480" w:lineRule="auto"/>
                <w:divId w:val="723873588"/>
                <w:rPr>
                  <w:rFonts w:asciiTheme="majorHAnsi" w:eastAsia="Times New Roman" w:hAnsiTheme="majorHAnsi" w:cstheme="majorHAnsi"/>
                  <w:noProof/>
                  <w:sz w:val="24"/>
                  <w:szCs w:val="24"/>
                </w:rPr>
              </w:pPr>
            </w:p>
            <w:p w14:paraId="0EF60FB8" w14:textId="75AB1D57" w:rsidR="00C970AE" w:rsidRPr="00C970AE" w:rsidRDefault="00C970AE" w:rsidP="00C970AE">
              <w:pPr>
                <w:spacing w:line="480" w:lineRule="auto"/>
                <w:rPr>
                  <w:rFonts w:asciiTheme="majorHAnsi" w:hAnsiTheme="majorHAnsi" w:cstheme="majorHAnsi"/>
                  <w:sz w:val="24"/>
                  <w:szCs w:val="24"/>
                </w:rPr>
              </w:pPr>
              <w:r w:rsidRPr="00C970AE">
                <w:rPr>
                  <w:rFonts w:asciiTheme="majorHAnsi" w:hAnsiTheme="majorHAnsi" w:cstheme="majorHAnsi"/>
                  <w:b/>
                  <w:bCs/>
                  <w:noProof/>
                  <w:sz w:val="24"/>
                  <w:szCs w:val="24"/>
                </w:rPr>
                <w:fldChar w:fldCharType="end"/>
              </w:r>
            </w:p>
          </w:sdtContent>
        </w:sdt>
      </w:sdtContent>
    </w:sdt>
    <w:p w14:paraId="7443FBD8" w14:textId="77777777" w:rsidR="00C970AE" w:rsidRPr="00C970AE" w:rsidRDefault="00C970AE">
      <w:pPr>
        <w:spacing w:line="480" w:lineRule="auto"/>
        <w:rPr>
          <w:rFonts w:asciiTheme="majorHAnsi" w:hAnsiTheme="majorHAnsi" w:cstheme="majorHAnsi"/>
          <w:sz w:val="24"/>
          <w:szCs w:val="24"/>
        </w:rPr>
      </w:pPr>
    </w:p>
    <w:sectPr w:rsidR="00C970AE" w:rsidRPr="00C970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57E33"/>
    <w:multiLevelType w:val="multilevel"/>
    <w:tmpl w:val="7D28C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C32A85"/>
    <w:multiLevelType w:val="hybridMultilevel"/>
    <w:tmpl w:val="52481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4327E"/>
    <w:multiLevelType w:val="hybridMultilevel"/>
    <w:tmpl w:val="A6405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5C2"/>
    <w:rsid w:val="00060BF2"/>
    <w:rsid w:val="00091E8B"/>
    <w:rsid w:val="0033332B"/>
    <w:rsid w:val="004835C2"/>
    <w:rsid w:val="00951B71"/>
    <w:rsid w:val="00C97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C9E57"/>
  <w15:docId w15:val="{718C62E8-4DF4-40F5-AA50-0D0060E1A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951B71"/>
    <w:pPr>
      <w:ind w:left="720"/>
      <w:contextualSpacing/>
    </w:pPr>
  </w:style>
  <w:style w:type="character" w:customStyle="1" w:styleId="Heading1Char">
    <w:name w:val="Heading 1 Char"/>
    <w:basedOn w:val="DefaultParagraphFont"/>
    <w:link w:val="Heading1"/>
    <w:uiPriority w:val="9"/>
    <w:rsid w:val="00C970AE"/>
    <w:rPr>
      <w:sz w:val="40"/>
      <w:szCs w:val="40"/>
    </w:rPr>
  </w:style>
  <w:style w:type="paragraph" w:styleId="Bibliography">
    <w:name w:val="Bibliography"/>
    <w:basedOn w:val="Normal"/>
    <w:next w:val="Normal"/>
    <w:uiPriority w:val="37"/>
    <w:unhideWhenUsed/>
    <w:rsid w:val="00C97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526059">
      <w:bodyDiv w:val="1"/>
      <w:marLeft w:val="0"/>
      <w:marRight w:val="0"/>
      <w:marTop w:val="0"/>
      <w:marBottom w:val="0"/>
      <w:divBdr>
        <w:top w:val="none" w:sz="0" w:space="0" w:color="auto"/>
        <w:left w:val="none" w:sz="0" w:space="0" w:color="auto"/>
        <w:bottom w:val="none" w:sz="0" w:space="0" w:color="auto"/>
        <w:right w:val="none" w:sz="0" w:space="0" w:color="auto"/>
      </w:divBdr>
    </w:div>
    <w:div w:id="469447535">
      <w:bodyDiv w:val="1"/>
      <w:marLeft w:val="0"/>
      <w:marRight w:val="0"/>
      <w:marTop w:val="0"/>
      <w:marBottom w:val="0"/>
      <w:divBdr>
        <w:top w:val="none" w:sz="0" w:space="0" w:color="auto"/>
        <w:left w:val="none" w:sz="0" w:space="0" w:color="auto"/>
        <w:bottom w:val="none" w:sz="0" w:space="0" w:color="auto"/>
        <w:right w:val="none" w:sz="0" w:space="0" w:color="auto"/>
      </w:divBdr>
    </w:div>
    <w:div w:id="723873588">
      <w:bodyDiv w:val="1"/>
      <w:marLeft w:val="0"/>
      <w:marRight w:val="0"/>
      <w:marTop w:val="0"/>
      <w:marBottom w:val="0"/>
      <w:divBdr>
        <w:top w:val="none" w:sz="0" w:space="0" w:color="auto"/>
        <w:left w:val="none" w:sz="0" w:space="0" w:color="auto"/>
        <w:bottom w:val="none" w:sz="0" w:space="0" w:color="auto"/>
        <w:right w:val="none" w:sz="0" w:space="0" w:color="auto"/>
      </w:divBdr>
    </w:div>
    <w:div w:id="862132339">
      <w:bodyDiv w:val="1"/>
      <w:marLeft w:val="0"/>
      <w:marRight w:val="0"/>
      <w:marTop w:val="0"/>
      <w:marBottom w:val="0"/>
      <w:divBdr>
        <w:top w:val="none" w:sz="0" w:space="0" w:color="auto"/>
        <w:left w:val="none" w:sz="0" w:space="0" w:color="auto"/>
        <w:bottom w:val="none" w:sz="0" w:space="0" w:color="auto"/>
        <w:right w:val="none" w:sz="0" w:space="0" w:color="auto"/>
      </w:divBdr>
    </w:div>
    <w:div w:id="896280054">
      <w:bodyDiv w:val="1"/>
      <w:marLeft w:val="0"/>
      <w:marRight w:val="0"/>
      <w:marTop w:val="0"/>
      <w:marBottom w:val="0"/>
      <w:divBdr>
        <w:top w:val="none" w:sz="0" w:space="0" w:color="auto"/>
        <w:left w:val="none" w:sz="0" w:space="0" w:color="auto"/>
        <w:bottom w:val="none" w:sz="0" w:space="0" w:color="auto"/>
        <w:right w:val="none" w:sz="0" w:space="0" w:color="auto"/>
      </w:divBdr>
    </w:div>
    <w:div w:id="904921801">
      <w:bodyDiv w:val="1"/>
      <w:marLeft w:val="0"/>
      <w:marRight w:val="0"/>
      <w:marTop w:val="0"/>
      <w:marBottom w:val="0"/>
      <w:divBdr>
        <w:top w:val="none" w:sz="0" w:space="0" w:color="auto"/>
        <w:left w:val="none" w:sz="0" w:space="0" w:color="auto"/>
        <w:bottom w:val="none" w:sz="0" w:space="0" w:color="auto"/>
        <w:right w:val="none" w:sz="0" w:space="0" w:color="auto"/>
      </w:divBdr>
    </w:div>
    <w:div w:id="1000623267">
      <w:bodyDiv w:val="1"/>
      <w:marLeft w:val="0"/>
      <w:marRight w:val="0"/>
      <w:marTop w:val="0"/>
      <w:marBottom w:val="0"/>
      <w:divBdr>
        <w:top w:val="none" w:sz="0" w:space="0" w:color="auto"/>
        <w:left w:val="none" w:sz="0" w:space="0" w:color="auto"/>
        <w:bottom w:val="none" w:sz="0" w:space="0" w:color="auto"/>
        <w:right w:val="none" w:sz="0" w:space="0" w:color="auto"/>
      </w:divBdr>
    </w:div>
    <w:div w:id="1083332030">
      <w:bodyDiv w:val="1"/>
      <w:marLeft w:val="0"/>
      <w:marRight w:val="0"/>
      <w:marTop w:val="0"/>
      <w:marBottom w:val="0"/>
      <w:divBdr>
        <w:top w:val="none" w:sz="0" w:space="0" w:color="auto"/>
        <w:left w:val="none" w:sz="0" w:space="0" w:color="auto"/>
        <w:bottom w:val="none" w:sz="0" w:space="0" w:color="auto"/>
        <w:right w:val="none" w:sz="0" w:space="0" w:color="auto"/>
      </w:divBdr>
    </w:div>
    <w:div w:id="1103039571">
      <w:bodyDiv w:val="1"/>
      <w:marLeft w:val="0"/>
      <w:marRight w:val="0"/>
      <w:marTop w:val="0"/>
      <w:marBottom w:val="0"/>
      <w:divBdr>
        <w:top w:val="none" w:sz="0" w:space="0" w:color="auto"/>
        <w:left w:val="none" w:sz="0" w:space="0" w:color="auto"/>
        <w:bottom w:val="none" w:sz="0" w:space="0" w:color="auto"/>
        <w:right w:val="none" w:sz="0" w:space="0" w:color="auto"/>
      </w:divBdr>
    </w:div>
    <w:div w:id="1164976543">
      <w:bodyDiv w:val="1"/>
      <w:marLeft w:val="0"/>
      <w:marRight w:val="0"/>
      <w:marTop w:val="0"/>
      <w:marBottom w:val="0"/>
      <w:divBdr>
        <w:top w:val="none" w:sz="0" w:space="0" w:color="auto"/>
        <w:left w:val="none" w:sz="0" w:space="0" w:color="auto"/>
        <w:bottom w:val="none" w:sz="0" w:space="0" w:color="auto"/>
        <w:right w:val="none" w:sz="0" w:space="0" w:color="auto"/>
      </w:divBdr>
    </w:div>
    <w:div w:id="1179002392">
      <w:bodyDiv w:val="1"/>
      <w:marLeft w:val="0"/>
      <w:marRight w:val="0"/>
      <w:marTop w:val="0"/>
      <w:marBottom w:val="0"/>
      <w:divBdr>
        <w:top w:val="none" w:sz="0" w:space="0" w:color="auto"/>
        <w:left w:val="none" w:sz="0" w:space="0" w:color="auto"/>
        <w:bottom w:val="none" w:sz="0" w:space="0" w:color="auto"/>
        <w:right w:val="none" w:sz="0" w:space="0" w:color="auto"/>
      </w:divBdr>
    </w:div>
    <w:div w:id="1218395767">
      <w:bodyDiv w:val="1"/>
      <w:marLeft w:val="0"/>
      <w:marRight w:val="0"/>
      <w:marTop w:val="0"/>
      <w:marBottom w:val="0"/>
      <w:divBdr>
        <w:top w:val="none" w:sz="0" w:space="0" w:color="auto"/>
        <w:left w:val="none" w:sz="0" w:space="0" w:color="auto"/>
        <w:bottom w:val="none" w:sz="0" w:space="0" w:color="auto"/>
        <w:right w:val="none" w:sz="0" w:space="0" w:color="auto"/>
      </w:divBdr>
    </w:div>
    <w:div w:id="1314070136">
      <w:bodyDiv w:val="1"/>
      <w:marLeft w:val="0"/>
      <w:marRight w:val="0"/>
      <w:marTop w:val="0"/>
      <w:marBottom w:val="0"/>
      <w:divBdr>
        <w:top w:val="none" w:sz="0" w:space="0" w:color="auto"/>
        <w:left w:val="none" w:sz="0" w:space="0" w:color="auto"/>
        <w:bottom w:val="none" w:sz="0" w:space="0" w:color="auto"/>
        <w:right w:val="none" w:sz="0" w:space="0" w:color="auto"/>
      </w:divBdr>
    </w:div>
    <w:div w:id="1349140718">
      <w:bodyDiv w:val="1"/>
      <w:marLeft w:val="0"/>
      <w:marRight w:val="0"/>
      <w:marTop w:val="0"/>
      <w:marBottom w:val="0"/>
      <w:divBdr>
        <w:top w:val="none" w:sz="0" w:space="0" w:color="auto"/>
        <w:left w:val="none" w:sz="0" w:space="0" w:color="auto"/>
        <w:bottom w:val="none" w:sz="0" w:space="0" w:color="auto"/>
        <w:right w:val="none" w:sz="0" w:space="0" w:color="auto"/>
      </w:divBdr>
    </w:div>
    <w:div w:id="1405370186">
      <w:bodyDiv w:val="1"/>
      <w:marLeft w:val="0"/>
      <w:marRight w:val="0"/>
      <w:marTop w:val="0"/>
      <w:marBottom w:val="0"/>
      <w:divBdr>
        <w:top w:val="none" w:sz="0" w:space="0" w:color="auto"/>
        <w:left w:val="none" w:sz="0" w:space="0" w:color="auto"/>
        <w:bottom w:val="none" w:sz="0" w:space="0" w:color="auto"/>
        <w:right w:val="none" w:sz="0" w:space="0" w:color="auto"/>
      </w:divBdr>
    </w:div>
    <w:div w:id="1412196746">
      <w:bodyDiv w:val="1"/>
      <w:marLeft w:val="0"/>
      <w:marRight w:val="0"/>
      <w:marTop w:val="0"/>
      <w:marBottom w:val="0"/>
      <w:divBdr>
        <w:top w:val="none" w:sz="0" w:space="0" w:color="auto"/>
        <w:left w:val="none" w:sz="0" w:space="0" w:color="auto"/>
        <w:bottom w:val="none" w:sz="0" w:space="0" w:color="auto"/>
        <w:right w:val="none" w:sz="0" w:space="0" w:color="auto"/>
      </w:divBdr>
    </w:div>
    <w:div w:id="1456290879">
      <w:bodyDiv w:val="1"/>
      <w:marLeft w:val="0"/>
      <w:marRight w:val="0"/>
      <w:marTop w:val="0"/>
      <w:marBottom w:val="0"/>
      <w:divBdr>
        <w:top w:val="none" w:sz="0" w:space="0" w:color="auto"/>
        <w:left w:val="none" w:sz="0" w:space="0" w:color="auto"/>
        <w:bottom w:val="none" w:sz="0" w:space="0" w:color="auto"/>
        <w:right w:val="none" w:sz="0" w:space="0" w:color="auto"/>
      </w:divBdr>
    </w:div>
    <w:div w:id="1527020493">
      <w:bodyDiv w:val="1"/>
      <w:marLeft w:val="0"/>
      <w:marRight w:val="0"/>
      <w:marTop w:val="0"/>
      <w:marBottom w:val="0"/>
      <w:divBdr>
        <w:top w:val="none" w:sz="0" w:space="0" w:color="auto"/>
        <w:left w:val="none" w:sz="0" w:space="0" w:color="auto"/>
        <w:bottom w:val="none" w:sz="0" w:space="0" w:color="auto"/>
        <w:right w:val="none" w:sz="0" w:space="0" w:color="auto"/>
      </w:divBdr>
    </w:div>
    <w:div w:id="1533954145">
      <w:bodyDiv w:val="1"/>
      <w:marLeft w:val="0"/>
      <w:marRight w:val="0"/>
      <w:marTop w:val="0"/>
      <w:marBottom w:val="0"/>
      <w:divBdr>
        <w:top w:val="none" w:sz="0" w:space="0" w:color="auto"/>
        <w:left w:val="none" w:sz="0" w:space="0" w:color="auto"/>
        <w:bottom w:val="none" w:sz="0" w:space="0" w:color="auto"/>
        <w:right w:val="none" w:sz="0" w:space="0" w:color="auto"/>
      </w:divBdr>
    </w:div>
    <w:div w:id="1815027560">
      <w:bodyDiv w:val="1"/>
      <w:marLeft w:val="0"/>
      <w:marRight w:val="0"/>
      <w:marTop w:val="0"/>
      <w:marBottom w:val="0"/>
      <w:divBdr>
        <w:top w:val="none" w:sz="0" w:space="0" w:color="auto"/>
        <w:left w:val="none" w:sz="0" w:space="0" w:color="auto"/>
        <w:bottom w:val="none" w:sz="0" w:space="0" w:color="auto"/>
        <w:right w:val="none" w:sz="0" w:space="0" w:color="auto"/>
      </w:divBdr>
    </w:div>
    <w:div w:id="2000646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Mon06</b:Tag>
    <b:SourceType>ElectronicSource</b:SourceType>
    <b:Guid>{314ABB0E-ABEF-489B-AC0B-4113D78AAB5D}</b:Guid>
    <b:Title>Decision Tree Analysis using Weka</b:Title>
    <b:Year>2006</b:Year>
    <b:City>Miami</b:City>
    <b:Publisher>University of Miami</b:Publisher>
    <b:Author>
      <b:Author>
        <b:NameList>
          <b:Person>
            <b:Last>Montag</b:Last>
            <b:First>Sam</b:First>
            <b:Middle>Drazin and Matt</b:Middle>
          </b:Person>
        </b:NameList>
      </b:Author>
    </b:Author>
    <b:RefOrder>2</b:RefOrder>
  </b:Source>
  <b:Source>
    <b:Tag>Dat21</b:Tag>
    <b:SourceType>InternetSite</b:SourceType>
    <b:Guid>{C544CB84-1D3F-46E6-A4DA-0AF45785AC4E}</b:Guid>
    <b:Title>Data Mining - Pruning (a decision tree, decision rules)</b:Title>
    <b:Year>2021</b:Year>
    <b:Author>
      <b:Author>
        <b:NameList>
          <b:Person>
            <b:Last>DataCadamia</b:Last>
          </b:Person>
        </b:NameList>
      </b:Author>
    </b:Author>
    <b:ProductionCompany>https://datacadamia.com </b:ProductionCompany>
    <b:Month>sept</b:Month>
    <b:Day>17</b:Day>
    <b:YearAccessed>2021</b:YearAccessed>
    <b:MonthAccessed>sept</b:MonthAccessed>
    <b:DayAccessed>17</b:DayAccessed>
    <b:URL>https://datacadamia.com/data_mining/pruning#confidence_factor</b:URL>
    <b:RefOrder>1</b:RefOrder>
  </b:Source>
</b:Sources>
</file>

<file path=customXml/itemProps1.xml><?xml version="1.0" encoding="utf-8"?>
<ds:datastoreItem xmlns:ds="http://schemas.openxmlformats.org/officeDocument/2006/customXml" ds:itemID="{606A435C-2BB3-4C2D-8010-911ED3381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10</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Pritchard, Shaun</cp:lastModifiedBy>
  <cp:revision>2</cp:revision>
  <dcterms:created xsi:type="dcterms:W3CDTF">2021-09-17T21:41:00Z</dcterms:created>
  <dcterms:modified xsi:type="dcterms:W3CDTF">2021-09-17T22:41:00Z</dcterms:modified>
</cp:coreProperties>
</file>