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E74B5"/>
          <w:sz w:val="20"/>
        </w:rPr>
        <w:t>INTEGRATION SPECIFICATION</w:t>
      </w:r>
    </w:p>
    <w:p>
      <w:pPr>
        <w:spacing w:after="100"/>
      </w:pPr>
      <w:r>
        <w:rPr>
          <w:rFonts w:ascii="Calibri" w:hAnsi="Calibri"/>
          <w:b/>
          <w:color w:val="0B2545"/>
          <w:sz w:val="48"/>
        </w:rPr>
        <w:t>Pybricks Hub Protocol and Command Set</w:t>
      </w:r>
    </w:p>
    <w:p>
      <w:pPr>
        <w:spacing w:after="280"/>
      </w:pPr>
      <w:r>
        <w:rPr>
          <w:rFonts w:ascii="Calibri" w:hAnsi="Calibri"/>
          <w:color w:val="59636E"/>
          <w:sz w:val="26"/>
        </w:rPr>
        <w:t>Shared BLE contract for iOS, Android, and the Raspberry Pi Python web app</w:t>
      </w:r>
    </w:p>
    <w:tbl>
      <w:tblPr>
        <w:tblStyle w:val="TableGrid"/>
        <w:tblW w:type="dxa" w:w="9360"/>
        <w:tblLook w:firstColumn="1" w:firstRow="1" w:lastColumn="0" w:lastRow="0" w:noHBand="0" w:noVBand="1" w:val="04A0"/>
        <w:tblLayout w:type="fixed"/>
      </w:tblPr>
      <w:tblGrid>
        <w:gridCol w:w="2100"/>
        <w:gridCol w:w="3300"/>
        <w:gridCol w:w="3960"/>
      </w:tblGrid>
      <w:tr>
        <w:tc>
          <w:tcPr>
            <w:tcW w:type="dxa" w:w="2100"/>
            <w:tcMar>
              <w:top w:w="80" w:type="dxa"/>
              <w:start w:w="120" w:type="dxa"/>
              <w:bottom w:w="80" w:type="dxa"/>
              <w:end w:w="120" w:type="dxa"/>
            </w:tcMar>
            <w:vAlign w:val="center"/>
            <w:shd w:fill="F2F4F7"/>
          </w:tcPr>
          <w:p>
            <w:pPr>
              <w:spacing w:after="0"/>
            </w:pPr>
            <w:r>
              <w:rPr>
                <w:rFonts w:ascii="Calibri" w:hAnsi="Calibri"/>
                <w:b/>
                <w:color w:val="1F4D78"/>
                <w:sz w:val="19"/>
              </w:rPr>
              <w:t>Status</w:t>
            </w:r>
          </w:p>
        </w:tc>
        <w:tc>
          <w:tcPr>
            <w:tcW w:type="dxa" w:w="3300"/>
            <w:tcMar>
              <w:top w:w="80" w:type="dxa"/>
              <w:start w:w="120" w:type="dxa"/>
              <w:bottom w:w="80" w:type="dxa"/>
              <w:end w:w="120" w:type="dxa"/>
            </w:tcMar>
            <w:vAlign w:val="center"/>
            <w:shd w:fill="F2F4F7"/>
          </w:tcPr>
          <w:p>
            <w:pPr>
              <w:spacing w:after="0"/>
            </w:pPr>
            <w:r>
              <w:rPr>
                <w:rFonts w:ascii="Calibri" w:hAnsi="Calibri"/>
                <w:b/>
                <w:color w:val="1F4D78"/>
                <w:sz w:val="19"/>
              </w:rPr>
              <w:t>Scope</w:t>
            </w:r>
          </w:p>
        </w:tc>
        <w:tc>
          <w:tcPr>
            <w:tcW w:type="dxa" w:w="3960"/>
            <w:tcMar>
              <w:top w:w="80" w:type="dxa"/>
              <w:start w:w="120" w:type="dxa"/>
              <w:bottom w:w="80" w:type="dxa"/>
              <w:end w:w="120" w:type="dxa"/>
            </w:tcMar>
            <w:vAlign w:val="center"/>
            <w:shd w:fill="F2F4F7"/>
          </w:tcPr>
          <w:p>
            <w:pPr>
              <w:spacing w:after="0"/>
            </w:pPr>
            <w:r>
              <w:rPr>
                <w:rFonts w:ascii="Calibri" w:hAnsi="Calibri"/>
                <w:b/>
                <w:color w:val="1F4D78"/>
                <w:sz w:val="19"/>
              </w:rPr>
              <w:t>Source baseline</w:t>
            </w:r>
          </w:p>
        </w:tc>
      </w:tr>
      <w:tr>
        <w:tc>
          <w:tcPr>
            <w:tcW w:type="dxa" w:w="2100"/>
          </w:tcPr>
          <w:p>
            <w:pPr>
              <w:spacing w:after="0"/>
            </w:pPr>
            <w:r>
              <w:rPr>
                <w:rFonts w:ascii="Calibri" w:hAnsi="Calibri"/>
                <w:color w:val="0B2545"/>
                <w:sz w:val="19"/>
              </w:rPr>
              <w:t>Draft v1.0 • 16 Aug 2026</w:t>
            </w:r>
          </w:p>
        </w:tc>
        <w:tc>
          <w:tcPr>
            <w:tcW w:type="dxa" w:w="3300"/>
          </w:tcPr>
          <w:p>
            <w:pPr>
              <w:spacing w:after="0"/>
            </w:pPr>
            <w:r>
              <w:rPr>
                <w:rFonts w:ascii="Calibri" w:hAnsi="Calibri"/>
                <w:color w:val="0B2545"/>
                <w:sz w:val="19"/>
              </w:rPr>
              <w:t>SPIKE Prime / Pybricks Wall‑E companion</w:t>
            </w:r>
          </w:p>
        </w:tc>
        <w:tc>
          <w:tcPr>
            <w:tcW w:type="dxa" w:w="3960"/>
          </w:tcPr>
          <w:p>
            <w:pPr>
              <w:spacing w:after="0"/>
            </w:pPr>
            <w:r>
              <w:rPr>
                <w:rFonts w:ascii="Calibri" w:hAnsi="Calibri"/>
                <w:color w:val="0B2545"/>
                <w:sz w:val="19"/>
              </w:rPr>
              <w:t>Existing iOS, web bridge, and hub program</w:t>
            </w:r>
          </w:p>
        </w:tc>
      </w:tr>
    </w:tbl>
    <w:p>
      <w:pPr>
        <w:spacing w:after="0"/>
      </w:pPr>
    </w:p>
    <w:p>
      <w:pPr>
        <w:pStyle w:val="Heading1"/>
        <w:keepNext/>
      </w:pPr>
      <w:r>
        <w:rPr>
          <w:rFonts w:ascii="Calibri" w:hAnsi="Calibri"/>
          <w:b/>
          <w:color w:val="2E74B5"/>
          <w:sz w:val="32"/>
        </w:rPr>
        <w:t>1. Purpose and decision</w:t>
      </w:r>
    </w:p>
    <w:p>
      <w:pPr>
        <w:keepNext w:val="0"/>
        <w:spacing w:before="0" w:after="120" w:line="264" w:lineRule="auto"/>
      </w:pPr>
      <w:r>
        <w:rPr>
          <w:rFonts w:ascii="Calibri" w:hAnsi="Calibri"/>
          <w:color w:val="0B2545"/>
          <w:sz w:val="22"/>
        </w:rPr>
        <w:t>This document defines the one app-to-hub contract that new clients must implement. It standardizes the newline-delimited Wall‑E companion protocol already used by the Python web app and hub program. The next iOS and Android releases should adopt this contract so every client sends the same commands, parses the same events, and preserves the same robot safety behavior.</w:t>
      </w:r>
    </w:p>
    <w:p>
      <w:pPr>
        <w:keepNext w:val="0"/>
        <w:spacing w:before="80" w:after="160" w:line="264" w:lineRule="auto"/>
        <w:ind w:left="230"/>
        <w:shd w:fill="F4F6F9"/>
      </w:pPr>
      <w:r>
        <w:rPr>
          <w:rFonts w:ascii="Calibri" w:hAnsi="Calibri"/>
          <w:b/>
          <w:color w:val="1F4D78"/>
          <w:sz w:val="22"/>
        </w:rPr>
        <w:t xml:space="preserve">Normative choice: </w:t>
      </w:r>
      <w:r>
        <w:rPr>
          <w:rFonts w:ascii="Calibri" w:hAnsi="Calibri"/>
          <w:color w:val="0B2545"/>
          <w:sz w:val="22"/>
        </w:rPr>
        <w:t>use the current line protocol (READY / ACK / ERR / SAFE / TEL), not the older fixed three-byte iOS demo protocol. The older `fwd`, `rev`, `stp`, `rdy`, and `ack:` exchange is legacy-only and must not be used by new integrations.</w:t>
      </w:r>
    </w:p>
    <w:p>
      <w:pPr>
        <w:pStyle w:val="Heading1"/>
        <w:keepNext/>
      </w:pPr>
      <w:r>
        <w:rPr>
          <w:rFonts w:ascii="Calibri" w:hAnsi="Calibri"/>
          <w:b/>
          <w:color w:val="2E74B5"/>
          <w:sz w:val="32"/>
        </w:rPr>
        <w:t>2. Architecture and responsibilities</w:t>
      </w:r>
    </w:p>
    <w:tbl>
      <w:tblPr>
        <w:tblStyle w:val="TableGrid"/>
        <w:tblW w:type="dxa" w:w="9360"/>
        <w:tblLook w:firstColumn="1" w:firstRow="1" w:lastColumn="0" w:lastRow="0" w:noHBand="0" w:noVBand="1" w:val="04A0"/>
        <w:tblLayout w:type="fixed"/>
      </w:tblPr>
      <w:tblGrid>
        <w:gridCol w:w="1600"/>
        <w:gridCol w:w="3400"/>
        <w:gridCol w:w="4360"/>
      </w:tblGrid>
      <w:tr>
        <w:tc>
          <w:tcPr>
            <w:tcW w:type="dxa" w:w="1600"/>
            <w:tcMar>
              <w:top w:w="80" w:type="dxa"/>
              <w:start w:w="120" w:type="dxa"/>
              <w:bottom w:w="80" w:type="dxa"/>
              <w:end w:w="120" w:type="dxa"/>
            </w:tcMar>
            <w:vAlign w:val="center"/>
            <w:shd w:fill="F2F4F7"/>
          </w:tcPr>
          <w:p>
            <w:pPr>
              <w:spacing w:after="0"/>
            </w:pPr>
            <w:r>
              <w:rPr>
                <w:rFonts w:ascii="Calibri" w:hAnsi="Calibri"/>
                <w:b/>
                <w:color w:val="1F4D78"/>
                <w:sz w:val="19"/>
              </w:rPr>
              <w:t>Layer</w:t>
            </w:r>
          </w:p>
        </w:tc>
        <w:tc>
          <w:tcPr>
            <w:tcW w:type="dxa" w:w="3400"/>
            <w:tcMar>
              <w:top w:w="80" w:type="dxa"/>
              <w:start w:w="120" w:type="dxa"/>
              <w:bottom w:w="80" w:type="dxa"/>
              <w:end w:w="120" w:type="dxa"/>
            </w:tcMar>
            <w:vAlign w:val="center"/>
            <w:shd w:fill="F2F4F7"/>
          </w:tcPr>
          <w:p>
            <w:pPr>
              <w:spacing w:after="0"/>
            </w:pPr>
            <w:r>
              <w:rPr>
                <w:rFonts w:ascii="Calibri" w:hAnsi="Calibri"/>
                <w:b/>
                <w:color w:val="1F4D78"/>
                <w:sz w:val="19"/>
              </w:rPr>
              <w:t>Responsibility</w:t>
            </w:r>
          </w:p>
        </w:tc>
        <w:tc>
          <w:tcPr>
            <w:tcW w:type="dxa" w:w="4360"/>
            <w:tcMar>
              <w:top w:w="80" w:type="dxa"/>
              <w:start w:w="120" w:type="dxa"/>
              <w:bottom w:w="80" w:type="dxa"/>
              <w:end w:w="120" w:type="dxa"/>
            </w:tcMar>
            <w:vAlign w:val="center"/>
            <w:shd w:fill="F2F4F7"/>
          </w:tcPr>
          <w:p>
            <w:pPr>
              <w:spacing w:after="0"/>
            </w:pPr>
            <w:r>
              <w:rPr>
                <w:rFonts w:ascii="Calibri" w:hAnsi="Calibri"/>
                <w:b/>
                <w:color w:val="1F4D78"/>
                <w:sz w:val="19"/>
              </w:rPr>
              <w:t>Implementation rule</w:t>
            </w:r>
          </w:p>
        </w:tc>
      </w:tr>
      <w:tr>
        <w:tc>
          <w:tcPr>
            <w:tcW w:type="dxa" w:w="1600"/>
          </w:tcPr>
          <w:p>
            <w:pPr>
              <w:spacing w:after="0"/>
            </w:pPr>
            <w:r>
              <w:rPr>
                <w:rFonts w:ascii="Calibri" w:hAnsi="Calibri"/>
                <w:color w:val="0B2545"/>
                <w:sz w:val="19"/>
              </w:rPr>
              <w:t>Mobile or web client</w:t>
            </w:r>
          </w:p>
        </w:tc>
        <w:tc>
          <w:tcPr>
            <w:tcW w:type="dxa" w:w="3400"/>
          </w:tcPr>
          <w:p>
            <w:pPr>
              <w:spacing w:after="0"/>
            </w:pPr>
            <w:r>
              <w:rPr>
                <w:rFonts w:ascii="Calibri" w:hAnsi="Calibri"/>
                <w:color w:val="0B2545"/>
                <w:sz w:val="19"/>
              </w:rPr>
              <w:t>Scan, select, connect, subscribe, issue supported commands, render status.</w:t>
            </w:r>
          </w:p>
        </w:tc>
        <w:tc>
          <w:tcPr>
            <w:tcW w:type="dxa" w:w="4360"/>
          </w:tcPr>
          <w:p>
            <w:pPr>
              <w:spacing w:after="0"/>
            </w:pPr>
            <w:r>
              <w:rPr>
                <w:rFonts w:ascii="Calibri" w:hAnsi="Calibri"/>
                <w:color w:val="0B2545"/>
                <w:sz w:val="19"/>
              </w:rPr>
              <w:t>Never bypass hub safety rules or assume a command succeeded without an ACK/event.</w:t>
            </w:r>
          </w:p>
        </w:tc>
      </w:tr>
      <w:tr>
        <w:tc>
          <w:tcPr>
            <w:tcW w:type="dxa" w:w="1600"/>
          </w:tcPr>
          <w:p>
            <w:pPr>
              <w:spacing w:after="0"/>
            </w:pPr>
            <w:r>
              <w:rPr>
                <w:rFonts w:ascii="Calibri" w:hAnsi="Calibri"/>
                <w:color w:val="0B2545"/>
                <w:sz w:val="19"/>
              </w:rPr>
              <w:t>BLE transport</w:t>
            </w:r>
          </w:p>
        </w:tc>
        <w:tc>
          <w:tcPr>
            <w:tcW w:type="dxa" w:w="3400"/>
          </w:tcPr>
          <w:p>
            <w:pPr>
              <w:spacing w:after="0"/>
            </w:pPr>
            <w:r>
              <w:rPr>
                <w:rFonts w:ascii="Calibri" w:hAnsi="Calibri"/>
                <w:color w:val="0B2545"/>
                <w:sz w:val="19"/>
              </w:rPr>
              <w:t>Carries Pybricks command input and stdout notifications.</w:t>
            </w:r>
          </w:p>
        </w:tc>
        <w:tc>
          <w:tcPr>
            <w:tcW w:type="dxa" w:w="4360"/>
          </w:tcPr>
          <w:p>
            <w:pPr>
              <w:spacing w:after="0"/>
            </w:pPr>
            <w:r>
              <w:rPr>
                <w:rFonts w:ascii="Calibri" w:hAnsi="Calibri"/>
                <w:color w:val="0B2545"/>
                <w:sz w:val="19"/>
              </w:rPr>
              <w:t>One active host connection to the hub at a time.</w:t>
            </w:r>
          </w:p>
        </w:tc>
      </w:tr>
      <w:tr>
        <w:tc>
          <w:tcPr>
            <w:tcW w:type="dxa" w:w="1600"/>
          </w:tcPr>
          <w:p>
            <w:pPr>
              <w:spacing w:after="0"/>
            </w:pPr>
            <w:r>
              <w:rPr>
                <w:rFonts w:ascii="Calibri" w:hAnsi="Calibri"/>
                <w:color w:val="0B2545"/>
                <w:sz w:val="19"/>
              </w:rPr>
              <w:t>Hub program</w:t>
            </w:r>
          </w:p>
        </w:tc>
        <w:tc>
          <w:tcPr>
            <w:tcW w:type="dxa" w:w="3400"/>
          </w:tcPr>
          <w:p>
            <w:pPr>
              <w:spacing w:after="0"/>
            </w:pPr>
            <w:r>
              <w:rPr>
                <w:rFonts w:ascii="Calibri" w:hAnsi="Calibri"/>
                <w:color w:val="0B2545"/>
                <w:sz w:val="19"/>
              </w:rPr>
              <w:t>Parses complete lines, drives motors, owns safety stops, emits telemetry.</w:t>
            </w:r>
          </w:p>
        </w:tc>
        <w:tc>
          <w:tcPr>
            <w:tcW w:type="dxa" w:w="4360"/>
          </w:tcPr>
          <w:p>
            <w:pPr>
              <w:spacing w:after="0"/>
            </w:pPr>
            <w:r>
              <w:rPr>
                <w:rFonts w:ascii="Calibri" w:hAnsi="Calibri"/>
                <w:color w:val="0B2545"/>
                <w:sz w:val="19"/>
              </w:rPr>
              <w:t>It is the authority for obstacle, touch, timeout, and speed limits.</w:t>
            </w:r>
          </w:p>
        </w:tc>
      </w:tr>
      <w:tr>
        <w:tc>
          <w:tcPr>
            <w:tcW w:type="dxa" w:w="1600"/>
          </w:tcPr>
          <w:p>
            <w:pPr>
              <w:spacing w:after="0"/>
            </w:pPr>
            <w:r>
              <w:rPr>
                <w:rFonts w:ascii="Calibri" w:hAnsi="Calibri"/>
                <w:color w:val="0B2545"/>
                <w:sz w:val="19"/>
              </w:rPr>
              <w:t>Optional web API</w:t>
            </w:r>
          </w:p>
        </w:tc>
        <w:tc>
          <w:tcPr>
            <w:tcW w:type="dxa" w:w="3400"/>
          </w:tcPr>
          <w:p>
            <w:pPr>
              <w:spacing w:after="0"/>
            </w:pPr>
            <w:r>
              <w:rPr>
                <w:rFonts w:ascii="Calibri" w:hAnsi="Calibri"/>
                <w:color w:val="0B2545"/>
                <w:sz w:val="19"/>
              </w:rPr>
              <w:t>Exposes a deliberately limited UI-facing control surface.</w:t>
            </w:r>
          </w:p>
        </w:tc>
        <w:tc>
          <w:tcPr>
            <w:tcW w:type="dxa" w:w="4360"/>
          </w:tcPr>
          <w:p>
            <w:pPr>
              <w:spacing w:after="0"/>
            </w:pPr>
            <w:r>
              <w:rPr>
                <w:rFonts w:ascii="Calibri" w:hAnsi="Calibri"/>
                <w:color w:val="0B2545"/>
                <w:sz w:val="19"/>
              </w:rPr>
              <w:t>Map app actions to allow-listed hub commands; do not expose arbitrary command input.</w:t>
            </w:r>
          </w:p>
        </w:tc>
      </w:tr>
    </w:tbl>
    <w:p>
      <w:pPr>
        <w:spacing w:after="0"/>
      </w:pPr>
    </w:p>
    <w:p>
      <w:pPr>
        <w:pStyle w:val="Heading1"/>
        <w:keepNext/>
      </w:pPr>
      <w:r>
        <w:rPr>
          <w:rFonts w:ascii="Calibri" w:hAnsi="Calibri"/>
          <w:b/>
          <w:color w:val="2E74B5"/>
          <w:sz w:val="32"/>
        </w:rPr>
        <w:t>3. BLE transport contract</w:t>
      </w:r>
    </w:p>
    <w:tbl>
      <w:tblPr>
        <w:tblStyle w:val="TableGrid"/>
        <w:tblW w:type="dxa" w:w="9360"/>
        <w:tblLook w:firstColumn="1" w:firstRow="1" w:lastColumn="0" w:lastRow="0" w:noHBand="0" w:noVBand="1" w:val="04A0"/>
        <w:tblLayout w:type="fixed"/>
      </w:tblPr>
      <w:tblGrid>
        <w:gridCol w:w="2700"/>
        <w:gridCol w:w="6660"/>
      </w:tblGrid>
      <w:tr>
        <w:tc>
          <w:tcPr>
            <w:tcW w:type="dxa" w:w="2700"/>
            <w:tcMar>
              <w:top w:w="80" w:type="dxa"/>
              <w:start w:w="120" w:type="dxa"/>
              <w:bottom w:w="80" w:type="dxa"/>
              <w:end w:w="120" w:type="dxa"/>
            </w:tcMar>
            <w:vAlign w:val="center"/>
            <w:shd w:fill="F2F4F7"/>
          </w:tcPr>
          <w:p>
            <w:pPr>
              <w:spacing w:after="0"/>
            </w:pPr>
            <w:r>
              <w:rPr>
                <w:rFonts w:ascii="Calibri" w:hAnsi="Calibri"/>
                <w:b/>
                <w:color w:val="1F4D78"/>
                <w:sz w:val="19"/>
              </w:rPr>
              <w:t>Item</w:t>
            </w:r>
          </w:p>
        </w:tc>
        <w:tc>
          <w:tcPr>
            <w:tcW w:type="dxa" w:w="6660"/>
            <w:tcMar>
              <w:top w:w="80" w:type="dxa"/>
              <w:start w:w="120" w:type="dxa"/>
              <w:bottom w:w="80" w:type="dxa"/>
              <w:end w:w="120" w:type="dxa"/>
            </w:tcMar>
            <w:vAlign w:val="center"/>
            <w:shd w:fill="F2F4F7"/>
          </w:tcPr>
          <w:p>
            <w:pPr>
              <w:spacing w:after="0"/>
            </w:pPr>
            <w:r>
              <w:rPr>
                <w:rFonts w:ascii="Calibri" w:hAnsi="Calibri"/>
                <w:b/>
                <w:color w:val="1F4D78"/>
                <w:sz w:val="19"/>
              </w:rPr>
              <w:t>Value / behavior</w:t>
            </w:r>
          </w:p>
        </w:tc>
      </w:tr>
      <w:tr>
        <w:tc>
          <w:tcPr>
            <w:tcW w:type="dxa" w:w="2700"/>
          </w:tcPr>
          <w:p>
            <w:pPr>
              <w:spacing w:after="0"/>
            </w:pPr>
            <w:r>
              <w:rPr>
                <w:rFonts w:ascii="Calibri" w:hAnsi="Calibri"/>
                <w:color w:val="0B2545"/>
                <w:sz w:val="19"/>
              </w:rPr>
              <w:t>Advertising filter</w:t>
            </w:r>
          </w:p>
        </w:tc>
        <w:tc>
          <w:tcPr>
            <w:tcW w:type="dxa" w:w="6660"/>
          </w:tcPr>
          <w:p>
            <w:pPr>
              <w:spacing w:after="0"/>
            </w:pPr>
            <w:r>
              <w:rPr>
                <w:rFonts w:ascii="Calibri" w:hAnsi="Calibri"/>
                <w:color w:val="0B2545"/>
                <w:sz w:val="19"/>
              </w:rPr>
              <w:t>Pybricks service UUID: c5f50001-8280-46da-89f4-6d8051e4aeef</w:t>
            </w:r>
          </w:p>
        </w:tc>
      </w:tr>
      <w:tr>
        <w:tc>
          <w:tcPr>
            <w:tcW w:type="dxa" w:w="2700"/>
          </w:tcPr>
          <w:p>
            <w:pPr>
              <w:spacing w:after="0"/>
            </w:pPr>
            <w:r>
              <w:rPr>
                <w:rFonts w:ascii="Calibri" w:hAnsi="Calibri"/>
                <w:color w:val="0B2545"/>
                <w:sz w:val="19"/>
              </w:rPr>
              <w:t>Command/event characteristic</w:t>
            </w:r>
          </w:p>
        </w:tc>
        <w:tc>
          <w:tcPr>
            <w:tcW w:type="dxa" w:w="6660"/>
          </w:tcPr>
          <w:p>
            <w:pPr>
              <w:spacing w:after="0"/>
            </w:pPr>
            <w:r>
              <w:rPr>
                <w:rFonts w:ascii="Calibri" w:hAnsi="Calibri"/>
                <w:color w:val="0B2545"/>
                <w:sz w:val="19"/>
              </w:rPr>
              <w:t>c5f50002-8280-46da-89f4-6d8051e4aeef</w:t>
            </w:r>
          </w:p>
        </w:tc>
      </w:tr>
      <w:tr>
        <w:tc>
          <w:tcPr>
            <w:tcW w:type="dxa" w:w="2700"/>
          </w:tcPr>
          <w:p>
            <w:pPr>
              <w:spacing w:after="0"/>
            </w:pPr>
            <w:r>
              <w:rPr>
                <w:rFonts w:ascii="Calibri" w:hAnsi="Calibri"/>
                <w:color w:val="0B2545"/>
                <w:sz w:val="19"/>
              </w:rPr>
              <w:t>Client → hub packet</w:t>
            </w:r>
          </w:p>
        </w:tc>
        <w:tc>
          <w:tcPr>
            <w:tcW w:type="dxa" w:w="6660"/>
          </w:tcPr>
          <w:p>
            <w:pPr>
              <w:spacing w:after="0"/>
            </w:pPr>
            <w:r>
              <w:rPr>
                <w:rFonts w:ascii="Calibri" w:hAnsi="Calibri"/>
                <w:color w:val="0B2545"/>
                <w:sz w:val="19"/>
              </w:rPr>
              <w:t>Write with response. Byte 0 is 0x06 (Pybricks WRITE_STDIN); remaining bytes are UTF-8 command text terminated by LF (0x0A).</w:t>
            </w:r>
          </w:p>
        </w:tc>
      </w:tr>
      <w:tr>
        <w:tc>
          <w:tcPr>
            <w:tcW w:type="dxa" w:w="2700"/>
          </w:tcPr>
          <w:p>
            <w:pPr>
              <w:spacing w:after="0"/>
            </w:pPr>
            <w:r>
              <w:rPr>
                <w:rFonts w:ascii="Calibri" w:hAnsi="Calibri"/>
                <w:color w:val="0B2545"/>
                <w:sz w:val="19"/>
              </w:rPr>
              <w:t>Hub → client notification</w:t>
            </w:r>
          </w:p>
        </w:tc>
        <w:tc>
          <w:tcPr>
            <w:tcW w:type="dxa" w:w="6660"/>
          </w:tcPr>
          <w:p>
            <w:pPr>
              <w:spacing w:after="0"/>
            </w:pPr>
            <w:r>
              <w:rPr>
                <w:rFonts w:ascii="Calibri" w:hAnsi="Calibri"/>
                <w:color w:val="0B2545"/>
                <w:sz w:val="19"/>
              </w:rPr>
              <w:t>First byte 0x01 means Pybricks WRITE_STDOUT. Treat the remaining bytes as a continuous UTF-8 byte stream.</w:t>
            </w:r>
          </w:p>
        </w:tc>
      </w:tr>
      <w:tr>
        <w:tc>
          <w:tcPr>
            <w:tcW w:type="dxa" w:w="2700"/>
          </w:tcPr>
          <w:p>
            <w:pPr>
              <w:spacing w:after="0"/>
            </w:pPr>
            <w:r>
              <w:rPr>
                <w:rFonts w:ascii="Calibri" w:hAnsi="Calibri"/>
                <w:color w:val="0B2545"/>
                <w:sz w:val="19"/>
              </w:rPr>
              <w:t>Framing</w:t>
            </w:r>
          </w:p>
        </w:tc>
        <w:tc>
          <w:tcPr>
            <w:tcW w:type="dxa" w:w="6660"/>
          </w:tcPr>
          <w:p>
            <w:pPr>
              <w:spacing w:after="0"/>
            </w:pPr>
            <w:r>
              <w:rPr>
                <w:rFonts w:ascii="Calibri" w:hAnsi="Calibri"/>
                <w:color w:val="0B2545"/>
                <w:sz w:val="19"/>
              </w:rPr>
              <w:t>Buffer stdout bytes until LF. A notification can contain part of a line, one line, or multiple lines. Do not assume notification boundaries are message boundaries.</w:t>
            </w:r>
          </w:p>
        </w:tc>
      </w:tr>
      <w:tr>
        <w:tc>
          <w:tcPr>
            <w:tcW w:type="dxa" w:w="2700"/>
          </w:tcPr>
          <w:p>
            <w:pPr>
              <w:spacing w:after="0"/>
            </w:pPr>
            <w:r>
              <w:rPr>
                <w:rFonts w:ascii="Calibri" w:hAnsi="Calibri"/>
                <w:color w:val="0B2545"/>
                <w:sz w:val="19"/>
              </w:rPr>
              <w:t>Connection model</w:t>
            </w:r>
          </w:p>
        </w:tc>
        <w:tc>
          <w:tcPr>
            <w:tcW w:type="dxa" w:w="6660"/>
          </w:tcPr>
          <w:p>
            <w:pPr>
              <w:spacing w:after="0"/>
            </w:pPr>
            <w:r>
              <w:rPr>
                <w:rFonts w:ascii="Calibri" w:hAnsi="Calibri"/>
                <w:color w:val="0B2545"/>
                <w:sz w:val="19"/>
              </w:rPr>
              <w:t>BLE permits one active client host. A new client must disconnect the existing app first.</w:t>
            </w:r>
          </w:p>
        </w:tc>
      </w:tr>
    </w:tbl>
    <w:p>
      <w:pPr>
        <w:spacing w:after="0"/>
      </w:pPr>
    </w:p>
    <w:p>
      <w:pPr>
        <w:spacing w:before="40" w:after="160" w:line="240" w:lineRule="auto"/>
        <w:ind w:left="288"/>
        <w:shd w:fill="F5F7F9"/>
      </w:pPr>
      <w:r>
        <w:rPr>
          <w:rFonts w:ascii="Consolas" w:hAnsi="Consolas"/>
          <w:color w:val="203040"/>
          <w:sz w:val="18"/>
        </w:rPr>
        <w:t>Command packet:  06 44 52 56 20 2D 33 35 20 2D 33 35 0A</w:t>
        <w:br/>
        <w:t xml:space="preserve">                 |  D  R  V     -  3  5     -  3  5  LF</w:t>
        <w:br/>
        <w:t>Notification:    01 52 45 41 44 59 0A   → stdout line: READY</w:t>
      </w:r>
    </w:p>
    <w:p>
      <w:pPr>
        <w:pStyle w:val="Heading1"/>
        <w:keepNext/>
      </w:pPr>
      <w:r>
        <w:rPr>
          <w:rFonts w:ascii="Calibri" w:hAnsi="Calibri"/>
          <w:b/>
          <w:color w:val="2E74B5"/>
          <w:sz w:val="32"/>
        </w:rPr>
        <w:t>4. Session lifecycle</w:t>
      </w:r>
    </w:p>
    <w:p>
      <w:pPr>
        <w:pStyle w:val="ListNumber"/>
        <w:spacing w:after="80" w:line="264" w:lineRule="auto"/>
      </w:pPr>
      <w:r>
        <w:rPr>
          <w:rFonts w:ascii="Calibri" w:hAnsi="Calibri"/>
          <w:color w:val="0B2545"/>
          <w:sz w:val="22"/>
        </w:rPr>
        <w:t>Scan only for the Pybricks service UUID and show a user-selected hub name/address.</w:t>
      </w:r>
    </w:p>
    <w:p>
      <w:pPr>
        <w:pStyle w:val="ListNumber"/>
        <w:spacing w:after="80" w:line="264" w:lineRule="auto"/>
      </w:pPr>
      <w:r>
        <w:rPr>
          <w:rFonts w:ascii="Calibri" w:hAnsi="Calibri"/>
          <w:color w:val="0B2545"/>
          <w:sz w:val="22"/>
        </w:rPr>
        <w:t>Connect, discover the command/event characteristic, and enable notifications.</w:t>
      </w:r>
    </w:p>
    <w:p>
      <w:pPr>
        <w:pStyle w:val="ListNumber"/>
        <w:spacing w:after="80" w:line="264" w:lineRule="auto"/>
      </w:pPr>
      <w:r>
        <w:rPr>
          <w:rFonts w:ascii="Calibri" w:hAnsi="Calibri"/>
          <w:color w:val="0B2545"/>
          <w:sz w:val="22"/>
        </w:rPr>
        <w:t>Set UI state to Connected — start the Pybricks program. Do not enable motion controls yet.</w:t>
      </w:r>
    </w:p>
    <w:p>
      <w:pPr>
        <w:pStyle w:val="ListNumber"/>
        <w:spacing w:after="80" w:line="264" w:lineRule="auto"/>
      </w:pPr>
      <w:r>
        <w:rPr>
          <w:rFonts w:ascii="Calibri" w:hAnsi="Calibri"/>
          <w:color w:val="0B2545"/>
          <w:sz w:val="22"/>
        </w:rPr>
        <w:t>When the `READY` line arrives, set ready=true and enable approved controls. `STOP` may remain available once connected.</w:t>
      </w:r>
    </w:p>
    <w:p>
      <w:pPr>
        <w:pStyle w:val="ListNumber"/>
        <w:spacing w:after="80" w:line="264" w:lineRule="auto"/>
      </w:pPr>
      <w:r>
        <w:rPr>
          <w:rFonts w:ascii="Calibri" w:hAnsi="Calibri"/>
          <w:color w:val="0B2545"/>
          <w:sz w:val="22"/>
        </w:rPr>
        <w:t>Send one complete LF-terminated command per user action. Await ACK, ERR, SAFE, or timeout before presenting completion.</w:t>
      </w:r>
    </w:p>
    <w:p>
      <w:pPr>
        <w:pStyle w:val="ListNumber"/>
        <w:spacing w:after="80" w:line="264" w:lineRule="auto"/>
      </w:pPr>
      <w:r>
        <w:rPr>
          <w:rFonts w:ascii="Calibri" w:hAnsi="Calibri"/>
          <w:color w:val="0B2545"/>
          <w:sz w:val="22"/>
        </w:rPr>
        <w:t>On disconnection, clear ready state, buffered stdout, pending command state, and motion UI state. Reconnect only after a fresh scan/selection or explicit reconnect policy.</w:t>
      </w:r>
    </w:p>
    <w:p>
      <w:pPr>
        <w:pStyle w:val="Heading1"/>
        <w:keepNext/>
      </w:pPr>
      <w:r>
        <w:rPr>
          <w:rFonts w:ascii="Calibri" w:hAnsi="Calibri"/>
          <w:b/>
          <w:color w:val="2E74B5"/>
          <w:sz w:val="32"/>
        </w:rPr>
        <w:t>5. Command set (client → hub)</w:t>
      </w:r>
    </w:p>
    <w:p>
      <w:pPr>
        <w:keepNext w:val="0"/>
        <w:spacing w:before="0" w:after="120" w:line="264" w:lineRule="auto"/>
      </w:pPr>
      <w:r>
        <w:rPr>
          <w:rFonts w:ascii="Calibri" w:hAnsi="Calibri"/>
          <w:color w:val="0B2545"/>
          <w:sz w:val="22"/>
        </w:rPr>
        <w:t>Commands are uppercase ASCII tokens separated by one space and terminated by LF. New apps must only send the commands in this table. Percent values are signed integers; the hub clamps drive values to its configured maximum and head targets to its configured limit.</w:t>
      </w:r>
    </w:p>
    <w:tbl>
      <w:tblPr>
        <w:tblStyle w:val="TableGrid"/>
        <w:tblW w:type="dxa" w:w="9360"/>
        <w:tblLook w:firstColumn="1" w:firstRow="1" w:lastColumn="0" w:lastRow="0" w:noHBand="0" w:noVBand="1" w:val="04A0"/>
        <w:tblLayout w:type="fixed"/>
      </w:tblPr>
      <w:tblGrid>
        <w:gridCol w:w="2000"/>
        <w:gridCol w:w="1700"/>
        <w:gridCol w:w="3400"/>
        <w:gridCol w:w="2260"/>
      </w:tblGrid>
      <w:tr>
        <w:tc>
          <w:tcPr>
            <w:tcW w:type="dxa" w:w="2000"/>
            <w:tcMar>
              <w:top w:w="80" w:type="dxa"/>
              <w:start w:w="120" w:type="dxa"/>
              <w:bottom w:w="80" w:type="dxa"/>
              <w:end w:w="120" w:type="dxa"/>
            </w:tcMar>
            <w:vAlign w:val="center"/>
            <w:shd w:fill="F2F4F7"/>
          </w:tcPr>
          <w:p>
            <w:pPr>
              <w:spacing w:after="0"/>
            </w:pPr>
            <w:r>
              <w:rPr>
                <w:rFonts w:ascii="Calibri" w:hAnsi="Calibri"/>
                <w:b/>
                <w:color w:val="1F4D78"/>
                <w:sz w:val="19"/>
              </w:rPr>
              <w:t>Command</w:t>
            </w:r>
          </w:p>
        </w:tc>
        <w:tc>
          <w:tcPr>
            <w:tcW w:type="dxa" w:w="1700"/>
            <w:tcMar>
              <w:top w:w="80" w:type="dxa"/>
              <w:start w:w="120" w:type="dxa"/>
              <w:bottom w:w="80" w:type="dxa"/>
              <w:end w:w="120" w:type="dxa"/>
            </w:tcMar>
            <w:vAlign w:val="center"/>
            <w:shd w:fill="F2F4F7"/>
          </w:tcPr>
          <w:p>
            <w:pPr>
              <w:spacing w:after="0"/>
            </w:pPr>
            <w:r>
              <w:rPr>
                <w:rFonts w:ascii="Calibri" w:hAnsi="Calibri"/>
                <w:b/>
                <w:color w:val="1F4D78"/>
                <w:sz w:val="19"/>
              </w:rPr>
              <w:t>Arguments</w:t>
            </w:r>
          </w:p>
        </w:tc>
        <w:tc>
          <w:tcPr>
            <w:tcW w:type="dxa" w:w="3400"/>
            <w:tcMar>
              <w:top w:w="80" w:type="dxa"/>
              <w:start w:w="120" w:type="dxa"/>
              <w:bottom w:w="80" w:type="dxa"/>
              <w:end w:w="120" w:type="dxa"/>
            </w:tcMar>
            <w:vAlign w:val="center"/>
            <w:shd w:fill="F2F4F7"/>
          </w:tcPr>
          <w:p>
            <w:pPr>
              <w:spacing w:after="0"/>
            </w:pPr>
            <w:r>
              <w:rPr>
                <w:rFonts w:ascii="Calibri" w:hAnsi="Calibri"/>
                <w:b/>
                <w:color w:val="1F4D78"/>
                <w:sz w:val="19"/>
              </w:rPr>
              <w:t>Meaning</w:t>
            </w:r>
          </w:p>
        </w:tc>
        <w:tc>
          <w:tcPr>
            <w:tcW w:type="dxa" w:w="2260"/>
            <w:tcMar>
              <w:top w:w="80" w:type="dxa"/>
              <w:start w:w="120" w:type="dxa"/>
              <w:bottom w:w="80" w:type="dxa"/>
              <w:end w:w="120" w:type="dxa"/>
            </w:tcMar>
            <w:vAlign w:val="center"/>
            <w:shd w:fill="F2F4F7"/>
          </w:tcPr>
          <w:p>
            <w:pPr>
              <w:spacing w:after="0"/>
            </w:pPr>
            <w:r>
              <w:rPr>
                <w:rFonts w:ascii="Calibri" w:hAnsi="Calibri"/>
                <w:b/>
                <w:color w:val="1F4D78"/>
                <w:sz w:val="19"/>
              </w:rPr>
              <w:t>Expected hub response</w:t>
            </w:r>
          </w:p>
        </w:tc>
      </w:tr>
      <w:tr>
        <w:tc>
          <w:tcPr>
            <w:tcW w:type="dxa" w:w="2000"/>
          </w:tcPr>
          <w:p>
            <w:pPr>
              <w:spacing w:after="0"/>
            </w:pPr>
            <w:r>
              <w:rPr>
                <w:rFonts w:ascii="Calibri" w:hAnsi="Calibri"/>
                <w:color w:val="0B2545"/>
                <w:sz w:val="19"/>
              </w:rPr>
              <w:t>STOP</w:t>
            </w:r>
          </w:p>
        </w:tc>
        <w:tc>
          <w:tcPr>
            <w:tcW w:type="dxa" w:w="1700"/>
          </w:tcPr>
          <w:p>
            <w:pPr>
              <w:spacing w:after="0"/>
            </w:pPr>
            <w:r>
              <w:rPr>
                <w:rFonts w:ascii="Calibri" w:hAnsi="Calibri"/>
                <w:color w:val="0B2545"/>
                <w:sz w:val="19"/>
              </w:rPr>
              <w:t>none</w:t>
            </w:r>
          </w:p>
        </w:tc>
        <w:tc>
          <w:tcPr>
            <w:tcW w:type="dxa" w:w="3400"/>
          </w:tcPr>
          <w:p>
            <w:pPr>
              <w:spacing w:after="0"/>
            </w:pPr>
            <w:r>
              <w:rPr>
                <w:rFonts w:ascii="Calibri" w:hAnsi="Calibri"/>
                <w:color w:val="0B2545"/>
                <w:sz w:val="19"/>
              </w:rPr>
              <w:t>Immediately stop both drive motors.</w:t>
            </w:r>
          </w:p>
        </w:tc>
        <w:tc>
          <w:tcPr>
            <w:tcW w:type="dxa" w:w="2260"/>
          </w:tcPr>
          <w:p>
            <w:pPr>
              <w:spacing w:after="0"/>
            </w:pPr>
            <w:r>
              <w:rPr>
                <w:rFonts w:ascii="Calibri" w:hAnsi="Calibri"/>
                <w:color w:val="0B2545"/>
                <w:sz w:val="19"/>
              </w:rPr>
              <w:t>ACK STOP</w:t>
            </w:r>
          </w:p>
        </w:tc>
      </w:tr>
      <w:tr>
        <w:tc>
          <w:tcPr>
            <w:tcW w:type="dxa" w:w="2000"/>
          </w:tcPr>
          <w:p>
            <w:pPr>
              <w:spacing w:after="0"/>
            </w:pPr>
            <w:r>
              <w:rPr>
                <w:rFonts w:ascii="Calibri" w:hAnsi="Calibri"/>
                <w:color w:val="0B2545"/>
                <w:sz w:val="19"/>
              </w:rPr>
              <w:t>PING</w:t>
            </w:r>
          </w:p>
        </w:tc>
        <w:tc>
          <w:tcPr>
            <w:tcW w:type="dxa" w:w="1700"/>
          </w:tcPr>
          <w:p>
            <w:pPr>
              <w:spacing w:after="0"/>
            </w:pPr>
            <w:r>
              <w:rPr>
                <w:rFonts w:ascii="Calibri" w:hAnsi="Calibri"/>
                <w:color w:val="0B2545"/>
                <w:sz w:val="19"/>
              </w:rPr>
              <w:t>none</w:t>
            </w:r>
          </w:p>
        </w:tc>
        <w:tc>
          <w:tcPr>
            <w:tcW w:type="dxa" w:w="3400"/>
          </w:tcPr>
          <w:p>
            <w:pPr>
              <w:spacing w:after="0"/>
            </w:pPr>
            <w:r>
              <w:rPr>
                <w:rFonts w:ascii="Calibri" w:hAnsi="Calibri"/>
                <w:color w:val="0B2545"/>
                <w:sz w:val="19"/>
              </w:rPr>
              <w:t>Liveness check; no movement.</w:t>
            </w:r>
          </w:p>
        </w:tc>
        <w:tc>
          <w:tcPr>
            <w:tcW w:type="dxa" w:w="2260"/>
          </w:tcPr>
          <w:p>
            <w:pPr>
              <w:spacing w:after="0"/>
            </w:pPr>
            <w:r>
              <w:rPr>
                <w:rFonts w:ascii="Calibri" w:hAnsi="Calibri"/>
                <w:color w:val="0B2545"/>
                <w:sz w:val="19"/>
              </w:rPr>
              <w:t>ACK PING</w:t>
            </w:r>
          </w:p>
        </w:tc>
      </w:tr>
      <w:tr>
        <w:tc>
          <w:tcPr>
            <w:tcW w:type="dxa" w:w="2000"/>
          </w:tcPr>
          <w:p>
            <w:pPr>
              <w:spacing w:after="0"/>
            </w:pPr>
            <w:r>
              <w:rPr>
                <w:rFonts w:ascii="Calibri" w:hAnsi="Calibri"/>
                <w:color w:val="0B2545"/>
                <w:sz w:val="19"/>
              </w:rPr>
              <w:t>DRV &lt;left&gt; &lt;right&gt;</w:t>
            </w:r>
          </w:p>
        </w:tc>
        <w:tc>
          <w:tcPr>
            <w:tcW w:type="dxa" w:w="1700"/>
          </w:tcPr>
          <w:p>
            <w:pPr>
              <w:spacing w:after="0"/>
            </w:pPr>
            <w:r>
              <w:rPr>
                <w:rFonts w:ascii="Calibri" w:hAnsi="Calibri"/>
                <w:color w:val="0B2545"/>
                <w:sz w:val="19"/>
              </w:rPr>
              <w:t>integers, nominally −55…55</w:t>
            </w:r>
          </w:p>
        </w:tc>
        <w:tc>
          <w:tcPr>
            <w:tcW w:type="dxa" w:w="3400"/>
          </w:tcPr>
          <w:p>
            <w:pPr>
              <w:spacing w:after="0"/>
            </w:pPr>
            <w:r>
              <w:rPr>
                <w:rFonts w:ascii="Calibri" w:hAnsi="Calibri"/>
                <w:color w:val="0B2545"/>
                <w:sz w:val="19"/>
              </w:rPr>
              <w:t>Set left/right wheel power. Positive logical drive direction is defined by the hub’s motor-sign configuration.</w:t>
            </w:r>
          </w:p>
        </w:tc>
        <w:tc>
          <w:tcPr>
            <w:tcW w:type="dxa" w:w="2260"/>
          </w:tcPr>
          <w:p>
            <w:pPr>
              <w:spacing w:after="0"/>
            </w:pPr>
            <w:r>
              <w:rPr>
                <w:rFonts w:ascii="Calibri" w:hAnsi="Calibri"/>
                <w:color w:val="0B2545"/>
                <w:sz w:val="19"/>
              </w:rPr>
              <w:t>ACK DRV &lt;left&gt; &lt;right&gt;; an obstacle stop emits SAFE obstacle before the ACK</w:t>
            </w:r>
          </w:p>
        </w:tc>
      </w:tr>
      <w:tr>
        <w:tc>
          <w:tcPr>
            <w:tcW w:type="dxa" w:w="2000"/>
          </w:tcPr>
          <w:p>
            <w:pPr>
              <w:spacing w:after="0"/>
            </w:pPr>
            <w:r>
              <w:rPr>
                <w:rFonts w:ascii="Calibri" w:hAnsi="Calibri"/>
                <w:color w:val="0B2545"/>
                <w:sz w:val="19"/>
              </w:rPr>
              <w:t>HEAD &lt;degrees&gt;</w:t>
            </w:r>
          </w:p>
        </w:tc>
        <w:tc>
          <w:tcPr>
            <w:tcW w:type="dxa" w:w="1700"/>
          </w:tcPr>
          <w:p>
            <w:pPr>
              <w:spacing w:after="0"/>
            </w:pPr>
            <w:r>
              <w:rPr>
                <w:rFonts w:ascii="Calibri" w:hAnsi="Calibri"/>
                <w:color w:val="0B2545"/>
                <w:sz w:val="19"/>
              </w:rPr>
              <w:t>integer, nominally −60…60</w:t>
            </w:r>
          </w:p>
        </w:tc>
        <w:tc>
          <w:tcPr>
            <w:tcW w:type="dxa" w:w="3400"/>
          </w:tcPr>
          <w:p>
            <w:pPr>
              <w:spacing w:after="0"/>
            </w:pPr>
            <w:r>
              <w:rPr>
                <w:rFonts w:ascii="Calibri" w:hAnsi="Calibri"/>
                <w:color w:val="0B2545"/>
                <w:sz w:val="19"/>
              </w:rPr>
              <w:t>Track the head to target angle. Hub clamps out-of-range targets.</w:t>
            </w:r>
          </w:p>
        </w:tc>
        <w:tc>
          <w:tcPr>
            <w:tcW w:type="dxa" w:w="2260"/>
          </w:tcPr>
          <w:p>
            <w:pPr>
              <w:spacing w:after="0"/>
            </w:pPr>
            <w:r>
              <w:rPr>
                <w:rFonts w:ascii="Calibri" w:hAnsi="Calibri"/>
                <w:color w:val="0B2545"/>
                <w:sz w:val="19"/>
              </w:rPr>
              <w:t>ACK HEAD &lt;clamped degrees&gt;</w:t>
            </w:r>
          </w:p>
        </w:tc>
      </w:tr>
    </w:tbl>
    <w:p>
      <w:pPr>
        <w:spacing w:after="0"/>
      </w:pPr>
    </w:p>
    <w:p>
      <w:pPr>
        <w:keepNext w:val="0"/>
        <w:spacing w:before="40" w:after="160" w:line="264" w:lineRule="auto"/>
      </w:pPr>
      <w:r>
        <w:rPr>
          <w:rFonts w:ascii="Calibri" w:hAnsi="Calibri"/>
          <w:color w:val="0B2545"/>
          <w:sz w:val="22"/>
        </w:rPr>
        <w:t>Recommended control mapping: forward = `DRV -35 -35`; reverse = `DRV 35 35`; left = `DRV 35 -35`; right = `DRV -35 35`; head left = `HEAD -45`; head right = `HEAD 45`; stop = `STOP`.</w:t>
      </w:r>
    </w:p>
    <w:p>
      <w:pPr>
        <w:pStyle w:val="Heading1"/>
        <w:keepNext/>
      </w:pPr>
      <w:r>
        <w:rPr>
          <w:rFonts w:ascii="Calibri" w:hAnsi="Calibri"/>
          <w:b/>
          <w:color w:val="2E74B5"/>
          <w:sz w:val="32"/>
        </w:rPr>
        <w:t>6. Event and response set (hub → client)</w:t>
      </w:r>
    </w:p>
    <w:tbl>
      <w:tblPr>
        <w:tblStyle w:val="TableGrid"/>
        <w:tblW w:type="dxa" w:w="9360"/>
        <w:tblLook w:firstColumn="1" w:firstRow="1" w:lastColumn="0" w:lastRow="0" w:noHBand="0" w:noVBand="1" w:val="04A0"/>
        <w:tblLayout w:type="fixed"/>
      </w:tblPr>
      <w:tblGrid>
        <w:gridCol w:w="2600"/>
        <w:gridCol w:w="3350"/>
        <w:gridCol w:w="3410"/>
      </w:tblGrid>
      <w:tr>
        <w:tc>
          <w:tcPr>
            <w:tcW w:type="dxa" w:w="2600"/>
            <w:tcMar>
              <w:top w:w="80" w:type="dxa"/>
              <w:start w:w="120" w:type="dxa"/>
              <w:bottom w:w="80" w:type="dxa"/>
              <w:end w:w="120" w:type="dxa"/>
            </w:tcMar>
            <w:vAlign w:val="center"/>
            <w:shd w:fill="F2F4F7"/>
          </w:tcPr>
          <w:p>
            <w:pPr>
              <w:spacing w:after="0"/>
            </w:pPr>
            <w:r>
              <w:rPr>
                <w:rFonts w:ascii="Calibri" w:hAnsi="Calibri"/>
                <w:b/>
                <w:color w:val="1F4D78"/>
                <w:sz w:val="19"/>
              </w:rPr>
              <w:t>Line</w:t>
            </w:r>
          </w:p>
        </w:tc>
        <w:tc>
          <w:tcPr>
            <w:tcW w:type="dxa" w:w="3350"/>
            <w:tcMar>
              <w:top w:w="80" w:type="dxa"/>
              <w:start w:w="120" w:type="dxa"/>
              <w:bottom w:w="80" w:type="dxa"/>
              <w:end w:w="120" w:type="dxa"/>
            </w:tcMar>
            <w:vAlign w:val="center"/>
            <w:shd w:fill="F2F4F7"/>
          </w:tcPr>
          <w:p>
            <w:pPr>
              <w:spacing w:after="0"/>
            </w:pPr>
            <w:r>
              <w:rPr>
                <w:rFonts w:ascii="Calibri" w:hAnsi="Calibri"/>
                <w:b/>
                <w:color w:val="1F4D78"/>
                <w:sz w:val="19"/>
              </w:rPr>
              <w:t>Meaning</w:t>
            </w:r>
          </w:p>
        </w:tc>
        <w:tc>
          <w:tcPr>
            <w:tcW w:type="dxa" w:w="3410"/>
            <w:tcMar>
              <w:top w:w="80" w:type="dxa"/>
              <w:start w:w="120" w:type="dxa"/>
              <w:bottom w:w="80" w:type="dxa"/>
              <w:end w:w="120" w:type="dxa"/>
            </w:tcMar>
            <w:vAlign w:val="center"/>
            <w:shd w:fill="F2F4F7"/>
          </w:tcPr>
          <w:p>
            <w:pPr>
              <w:spacing w:after="0"/>
            </w:pPr>
            <w:r>
              <w:rPr>
                <w:rFonts w:ascii="Calibri" w:hAnsi="Calibri"/>
                <w:b/>
                <w:color w:val="1F4D78"/>
                <w:sz w:val="19"/>
              </w:rPr>
              <w:t>Client action</w:t>
            </w:r>
          </w:p>
        </w:tc>
      </w:tr>
      <w:tr>
        <w:tc>
          <w:tcPr>
            <w:tcW w:type="dxa" w:w="2600"/>
          </w:tcPr>
          <w:p>
            <w:pPr>
              <w:spacing w:after="0"/>
            </w:pPr>
            <w:r>
              <w:rPr>
                <w:rFonts w:ascii="Calibri" w:hAnsi="Calibri"/>
                <w:color w:val="0B2545"/>
                <w:sz w:val="19"/>
              </w:rPr>
              <w:t>READY</w:t>
            </w:r>
          </w:p>
        </w:tc>
        <w:tc>
          <w:tcPr>
            <w:tcW w:type="dxa" w:w="3350"/>
          </w:tcPr>
          <w:p>
            <w:pPr>
              <w:spacing w:after="0"/>
            </w:pPr>
            <w:r>
              <w:rPr>
                <w:rFonts w:ascii="Calibri" w:hAnsi="Calibri"/>
                <w:color w:val="0B2545"/>
                <w:sz w:val="19"/>
              </w:rPr>
              <w:t>Hub program has started and accepts commands.</w:t>
            </w:r>
          </w:p>
        </w:tc>
        <w:tc>
          <w:tcPr>
            <w:tcW w:type="dxa" w:w="3410"/>
          </w:tcPr>
          <w:p>
            <w:pPr>
              <w:spacing w:after="0"/>
            </w:pPr>
            <w:r>
              <w:rPr>
                <w:rFonts w:ascii="Calibri" w:hAnsi="Calibri"/>
                <w:color w:val="0B2545"/>
                <w:sz w:val="19"/>
              </w:rPr>
              <w:t>Set ready=true; enable normal controls.</w:t>
            </w:r>
          </w:p>
        </w:tc>
      </w:tr>
      <w:tr>
        <w:tc>
          <w:tcPr>
            <w:tcW w:type="dxa" w:w="2600"/>
          </w:tcPr>
          <w:p>
            <w:pPr>
              <w:spacing w:after="0"/>
            </w:pPr>
            <w:r>
              <w:rPr>
                <w:rFonts w:ascii="Calibri" w:hAnsi="Calibri"/>
                <w:color w:val="0B2545"/>
                <w:sz w:val="19"/>
              </w:rPr>
              <w:t>ACK &lt;command&gt;</w:t>
            </w:r>
          </w:p>
        </w:tc>
        <w:tc>
          <w:tcPr>
            <w:tcW w:type="dxa" w:w="3350"/>
          </w:tcPr>
          <w:p>
            <w:pPr>
              <w:spacing w:after="0"/>
            </w:pPr>
            <w:r>
              <w:rPr>
                <w:rFonts w:ascii="Calibri" w:hAnsi="Calibri"/>
                <w:color w:val="0B2545"/>
                <w:sz w:val="19"/>
              </w:rPr>
              <w:t>A command was accepted and executed or scheduled.</w:t>
            </w:r>
          </w:p>
        </w:tc>
        <w:tc>
          <w:tcPr>
            <w:tcW w:type="dxa" w:w="3410"/>
          </w:tcPr>
          <w:p>
            <w:pPr>
              <w:spacing w:after="0"/>
            </w:pPr>
            <w:r>
              <w:rPr>
                <w:rFonts w:ascii="Calibri" w:hAnsi="Calibri"/>
                <w:color w:val="0B2545"/>
                <w:sz w:val="19"/>
              </w:rPr>
              <w:t>Resolve the matching pending command and update the UI.</w:t>
            </w:r>
          </w:p>
        </w:tc>
      </w:tr>
      <w:tr>
        <w:tc>
          <w:tcPr>
            <w:tcW w:type="dxa" w:w="2600"/>
          </w:tcPr>
          <w:p>
            <w:pPr>
              <w:spacing w:after="0"/>
            </w:pPr>
            <w:r>
              <w:rPr>
                <w:rFonts w:ascii="Calibri" w:hAnsi="Calibri"/>
                <w:color w:val="0B2545"/>
                <w:sz w:val="19"/>
              </w:rPr>
              <w:t>ERR invalid-drive / invalid-head</w:t>
            </w:r>
          </w:p>
        </w:tc>
        <w:tc>
          <w:tcPr>
            <w:tcW w:type="dxa" w:w="3350"/>
          </w:tcPr>
          <w:p>
            <w:pPr>
              <w:spacing w:after="0"/>
            </w:pPr>
            <w:r>
              <w:rPr>
                <w:rFonts w:ascii="Calibri" w:hAnsi="Calibri"/>
                <w:color w:val="0B2545"/>
                <w:sz w:val="19"/>
              </w:rPr>
              <w:t>Argument could not be parsed.</w:t>
            </w:r>
          </w:p>
        </w:tc>
        <w:tc>
          <w:tcPr>
            <w:tcW w:type="dxa" w:w="3410"/>
          </w:tcPr>
          <w:p>
            <w:pPr>
              <w:spacing w:after="0"/>
            </w:pPr>
            <w:r>
              <w:rPr>
                <w:rFonts w:ascii="Calibri" w:hAnsi="Calibri"/>
                <w:color w:val="0B2545"/>
                <w:sz w:val="19"/>
              </w:rPr>
              <w:t>Show a non-motion error; keep the connection alive.</w:t>
            </w:r>
          </w:p>
        </w:tc>
      </w:tr>
      <w:tr>
        <w:tc>
          <w:tcPr>
            <w:tcW w:type="dxa" w:w="2600"/>
          </w:tcPr>
          <w:p>
            <w:pPr>
              <w:spacing w:after="0"/>
            </w:pPr>
            <w:r>
              <w:rPr>
                <w:rFonts w:ascii="Calibri" w:hAnsi="Calibri"/>
                <w:color w:val="0B2545"/>
                <w:sz w:val="19"/>
              </w:rPr>
              <w:t>ERR line-too-long</w:t>
            </w:r>
          </w:p>
        </w:tc>
        <w:tc>
          <w:tcPr>
            <w:tcW w:type="dxa" w:w="3350"/>
          </w:tcPr>
          <w:p>
            <w:pPr>
              <w:spacing w:after="0"/>
            </w:pPr>
            <w:r>
              <w:rPr>
                <w:rFonts w:ascii="Calibri" w:hAnsi="Calibri"/>
                <w:color w:val="0B2545"/>
                <w:sz w:val="19"/>
              </w:rPr>
              <w:t>Input exceeded the hub’s line buffer.</w:t>
            </w:r>
          </w:p>
        </w:tc>
        <w:tc>
          <w:tcPr>
            <w:tcW w:type="dxa" w:w="3410"/>
          </w:tcPr>
          <w:p>
            <w:pPr>
              <w:spacing w:after="0"/>
            </w:pPr>
            <w:r>
              <w:rPr>
                <w:rFonts w:ascii="Calibri" w:hAnsi="Calibri"/>
                <w:color w:val="0B2545"/>
                <w:sz w:val="19"/>
              </w:rPr>
              <w:t>Treat as a client bug; stop sending and log diagnostic context.</w:t>
            </w:r>
          </w:p>
        </w:tc>
      </w:tr>
      <w:tr>
        <w:tc>
          <w:tcPr>
            <w:tcW w:type="dxa" w:w="2600"/>
          </w:tcPr>
          <w:p>
            <w:pPr>
              <w:spacing w:after="0"/>
            </w:pPr>
            <w:r>
              <w:rPr>
                <w:rFonts w:ascii="Calibri" w:hAnsi="Calibri"/>
                <w:color w:val="0B2545"/>
                <w:sz w:val="19"/>
              </w:rPr>
              <w:t>ERR &lt;command&gt;</w:t>
            </w:r>
          </w:p>
        </w:tc>
        <w:tc>
          <w:tcPr>
            <w:tcW w:type="dxa" w:w="3350"/>
          </w:tcPr>
          <w:p>
            <w:pPr>
              <w:spacing w:after="0"/>
            </w:pPr>
            <w:r>
              <w:rPr>
                <w:rFonts w:ascii="Calibri" w:hAnsi="Calibri"/>
                <w:color w:val="0B2545"/>
                <w:sz w:val="19"/>
              </w:rPr>
              <w:t>Unsupported command.</w:t>
            </w:r>
          </w:p>
        </w:tc>
        <w:tc>
          <w:tcPr>
            <w:tcW w:type="dxa" w:w="3410"/>
          </w:tcPr>
          <w:p>
            <w:pPr>
              <w:spacing w:after="0"/>
            </w:pPr>
            <w:r>
              <w:rPr>
                <w:rFonts w:ascii="Calibri" w:hAnsi="Calibri"/>
                <w:color w:val="0B2545"/>
                <w:sz w:val="19"/>
              </w:rPr>
              <w:t>Treat as an integration error; do not retry blindly.</w:t>
            </w:r>
          </w:p>
        </w:tc>
      </w:tr>
      <w:tr>
        <w:tc>
          <w:tcPr>
            <w:tcW w:type="dxa" w:w="2600"/>
          </w:tcPr>
          <w:p>
            <w:pPr>
              <w:spacing w:after="0"/>
            </w:pPr>
            <w:r>
              <w:rPr>
                <w:rFonts w:ascii="Calibri" w:hAnsi="Calibri"/>
                <w:color w:val="0B2545"/>
                <w:sz w:val="19"/>
              </w:rPr>
              <w:t>SAFE obstacle / shoulder</w:t>
            </w:r>
          </w:p>
        </w:tc>
        <w:tc>
          <w:tcPr>
            <w:tcW w:type="dxa" w:w="3350"/>
          </w:tcPr>
          <w:p>
            <w:pPr>
              <w:spacing w:after="0"/>
            </w:pPr>
            <w:r>
              <w:rPr>
                <w:rFonts w:ascii="Calibri" w:hAnsi="Calibri"/>
                <w:color w:val="0B2545"/>
                <w:sz w:val="19"/>
              </w:rPr>
              <w:t>Hub stopped the drive due to detected obstacle or touch switch.</w:t>
            </w:r>
          </w:p>
        </w:tc>
        <w:tc>
          <w:tcPr>
            <w:tcW w:type="dxa" w:w="3410"/>
          </w:tcPr>
          <w:p>
            <w:pPr>
              <w:spacing w:after="0"/>
            </w:pPr>
            <w:r>
              <w:rPr>
                <w:rFonts w:ascii="Calibri" w:hAnsi="Calibri"/>
                <w:color w:val="0B2545"/>
                <w:sz w:val="19"/>
              </w:rPr>
              <w:t>Immediately show safety state; do not auto-resume movement.</w:t>
            </w:r>
          </w:p>
        </w:tc>
      </w:tr>
      <w:tr>
        <w:tc>
          <w:tcPr>
            <w:tcW w:type="dxa" w:w="2600"/>
          </w:tcPr>
          <w:p>
            <w:pPr>
              <w:spacing w:after="0"/>
            </w:pPr>
            <w:r>
              <w:rPr>
                <w:rFonts w:ascii="Calibri" w:hAnsi="Calibri"/>
                <w:color w:val="0B2545"/>
                <w:sz w:val="19"/>
              </w:rPr>
              <w:t>TEL d=&lt;mm&gt; r=&lt;0–100&gt; touch=&lt;0|1&gt; h=&lt;degrees&gt;</w:t>
            </w:r>
          </w:p>
        </w:tc>
        <w:tc>
          <w:tcPr>
            <w:tcW w:type="dxa" w:w="3350"/>
          </w:tcPr>
          <w:p>
            <w:pPr>
              <w:spacing w:after="0"/>
            </w:pPr>
            <w:r>
              <w:rPr>
                <w:rFonts w:ascii="Calibri" w:hAnsi="Calibri"/>
                <w:color w:val="0B2545"/>
                <w:sz w:val="19"/>
              </w:rPr>
              <w:t>Periodic sensor/motion telemetry (currently every 500 ms).</w:t>
            </w:r>
          </w:p>
        </w:tc>
        <w:tc>
          <w:tcPr>
            <w:tcW w:type="dxa" w:w="3410"/>
          </w:tcPr>
          <w:p>
            <w:pPr>
              <w:spacing w:after="0"/>
            </w:pPr>
            <w:r>
              <w:rPr>
                <w:rFonts w:ascii="Calibri" w:hAnsi="Calibri"/>
                <w:color w:val="0B2545"/>
                <w:sz w:val="19"/>
              </w:rPr>
              <w:t>Parse known key/value fields; ignore unknown future fields for forward compatibility.</w:t>
            </w:r>
          </w:p>
        </w:tc>
      </w:tr>
    </w:tbl>
    <w:p>
      <w:pPr>
        <w:spacing w:after="0"/>
      </w:pPr>
    </w:p>
    <w:p>
      <w:pPr>
        <w:pStyle w:val="Heading1"/>
        <w:keepNext/>
      </w:pPr>
      <w:r>
        <w:rPr>
          <w:rFonts w:ascii="Calibri" w:hAnsi="Calibri"/>
          <w:b/>
          <w:color w:val="2E74B5"/>
          <w:sz w:val="32"/>
        </w:rPr>
        <w:t>7. Safety and reliability requirements</w:t>
      </w:r>
    </w:p>
    <w:p>
      <w:pPr>
        <w:pStyle w:val="ListBullet"/>
        <w:spacing w:after="80" w:line="264" w:lineRule="auto"/>
      </w:pPr>
      <w:r>
        <w:rPr>
          <w:rFonts w:ascii="Calibri" w:hAnsi="Calibri"/>
          <w:color w:val="0B2545"/>
          <w:sz w:val="22"/>
        </w:rPr>
        <w:t>The hub’s two-second command timeout is mandatory. Apps that need sustained movement must refresh `DRV` commands at a safe cadence (for example, every 250–500 ms) while the control is held; send `STOP` on release.</w:t>
      </w:r>
    </w:p>
    <w:p>
      <w:pPr>
        <w:pStyle w:val="ListBullet"/>
        <w:spacing w:after="80" w:line="264" w:lineRule="auto"/>
      </w:pPr>
      <w:r>
        <w:rPr>
          <w:rFonts w:ascii="Calibri" w:hAnsi="Calibri"/>
          <w:color w:val="0B2545"/>
          <w:sz w:val="22"/>
        </w:rPr>
        <w:t>A `SAFE` event, disconnect, app backgrounding, BLE write failure, or control timeout must put the client UI into a stopped state. Never automatically replay the prior motion command after recovery.</w:t>
      </w:r>
    </w:p>
    <w:p>
      <w:pPr>
        <w:pStyle w:val="ListBullet"/>
        <w:spacing w:after="80" w:line="264" w:lineRule="auto"/>
      </w:pPr>
      <w:r>
        <w:rPr>
          <w:rFonts w:ascii="Calibri" w:hAnsi="Calibri"/>
          <w:color w:val="0B2545"/>
          <w:sz w:val="22"/>
        </w:rPr>
        <w:t>Treat `ACK` as application-level confirmation. A successful BLE write only confirms transport delivery, not motor execution.</w:t>
      </w:r>
    </w:p>
    <w:p>
      <w:pPr>
        <w:pStyle w:val="ListBullet"/>
        <w:spacing w:after="80" w:line="264" w:lineRule="auto"/>
      </w:pPr>
      <w:r>
        <w:rPr>
          <w:rFonts w:ascii="Calibri" w:hAnsi="Calibri"/>
          <w:color w:val="0B2545"/>
          <w:sz w:val="22"/>
        </w:rPr>
        <w:t>Use one in-flight motion command per client. Coalesce rapid joystick/button updates so a stale queued command cannot re-start motion after `STOP`.</w:t>
      </w:r>
    </w:p>
    <w:p>
      <w:pPr>
        <w:pStyle w:val="ListBullet"/>
        <w:spacing w:after="80" w:line="264" w:lineRule="auto"/>
      </w:pPr>
      <w:r>
        <w:rPr>
          <w:rFonts w:ascii="Calibri" w:hAnsi="Calibri"/>
          <w:color w:val="0B2545"/>
          <w:sz w:val="22"/>
        </w:rPr>
        <w:t>Clients must not depend on telemetry delivery for safety: stdout is non-blocking and telemetry or ACK lines can be dropped if the hub’s buffer is full.</w:t>
      </w:r>
    </w:p>
    <w:p>
      <w:pPr>
        <w:pStyle w:val="Heading1"/>
        <w:keepNext/>
      </w:pPr>
      <w:r>
        <w:rPr>
          <w:rFonts w:ascii="Calibri" w:hAnsi="Calibri"/>
          <w:b/>
          <w:color w:val="2E74B5"/>
          <w:sz w:val="32"/>
        </w:rPr>
        <w:t>8. Platform implementation notes</w:t>
      </w:r>
    </w:p>
    <w:tbl>
      <w:tblPr>
        <w:tblStyle w:val="TableGrid"/>
        <w:tblW w:type="dxa" w:w="9360"/>
        <w:tblLook w:firstColumn="1" w:firstRow="1" w:lastColumn="0" w:lastRow="0" w:noHBand="0" w:noVBand="1" w:val="04A0"/>
        <w:tblLayout w:type="fixed"/>
      </w:tblPr>
      <w:tblGrid>
        <w:gridCol w:w="2100"/>
        <w:gridCol w:w="7260"/>
      </w:tblGrid>
      <w:tr>
        <w:tc>
          <w:tcPr>
            <w:tcW w:type="dxa" w:w="2100"/>
            <w:tcMar>
              <w:top w:w="80" w:type="dxa"/>
              <w:start w:w="120" w:type="dxa"/>
              <w:bottom w:w="80" w:type="dxa"/>
              <w:end w:w="120" w:type="dxa"/>
            </w:tcMar>
            <w:vAlign w:val="center"/>
            <w:shd w:fill="F2F4F7"/>
          </w:tcPr>
          <w:p>
            <w:pPr>
              <w:spacing w:after="0"/>
            </w:pPr>
            <w:r>
              <w:rPr>
                <w:rFonts w:ascii="Calibri" w:hAnsi="Calibri"/>
                <w:b/>
                <w:color w:val="1F4D78"/>
                <w:sz w:val="19"/>
              </w:rPr>
              <w:t>Platform</w:t>
            </w:r>
          </w:p>
        </w:tc>
        <w:tc>
          <w:tcPr>
            <w:tcW w:type="dxa" w:w="7260"/>
            <w:tcMar>
              <w:top w:w="80" w:type="dxa"/>
              <w:start w:w="120" w:type="dxa"/>
              <w:bottom w:w="80" w:type="dxa"/>
              <w:end w:w="120" w:type="dxa"/>
            </w:tcMar>
            <w:vAlign w:val="center"/>
            <w:shd w:fill="F2F4F7"/>
          </w:tcPr>
          <w:p>
            <w:pPr>
              <w:spacing w:after="0"/>
            </w:pPr>
            <w:r>
              <w:rPr>
                <w:rFonts w:ascii="Calibri" w:hAnsi="Calibri"/>
                <w:b/>
                <w:color w:val="1F4D78"/>
                <w:sz w:val="19"/>
              </w:rPr>
              <w:t>Required approach</w:t>
            </w:r>
          </w:p>
        </w:tc>
      </w:tr>
      <w:tr>
        <w:tc>
          <w:tcPr>
            <w:tcW w:type="dxa" w:w="2100"/>
          </w:tcPr>
          <w:p>
            <w:pPr>
              <w:spacing w:after="0"/>
            </w:pPr>
            <w:r>
              <w:rPr>
                <w:rFonts w:ascii="Calibri" w:hAnsi="Calibri"/>
                <w:color w:val="0B2545"/>
                <w:sz w:val="19"/>
              </w:rPr>
              <w:t>iOS (CoreBluetooth)</w:t>
            </w:r>
          </w:p>
        </w:tc>
        <w:tc>
          <w:tcPr>
            <w:tcW w:type="dxa" w:w="7260"/>
          </w:tcPr>
          <w:p>
            <w:pPr>
              <w:spacing w:after="0"/>
            </w:pPr>
            <w:r>
              <w:rPr>
                <w:rFonts w:ascii="Calibri" w:hAnsi="Calibri"/>
                <w:color w:val="0B2545"/>
                <w:sz w:val="19"/>
              </w:rPr>
              <w:t>Use the Pybricks UUIDs, write `Data([0x06]) + utf8(command + "\n")` with response, subscribe to the same characteristic, and line-buffer stdout after stripping event byte 0x01. Replace the current fixed-three-byte demo controller for Wall‑E mode.</w:t>
            </w:r>
          </w:p>
        </w:tc>
      </w:tr>
      <w:tr>
        <w:tc>
          <w:tcPr>
            <w:tcW w:type="dxa" w:w="2100"/>
          </w:tcPr>
          <w:p>
            <w:pPr>
              <w:spacing w:after="0"/>
            </w:pPr>
            <w:r>
              <w:rPr>
                <w:rFonts w:ascii="Calibri" w:hAnsi="Calibri"/>
                <w:color w:val="0B2545"/>
                <w:sz w:val="19"/>
              </w:rPr>
              <w:t>Android (BluetoothGatt)</w:t>
            </w:r>
          </w:p>
        </w:tc>
        <w:tc>
          <w:tcPr>
            <w:tcW w:type="dxa" w:w="7260"/>
          </w:tcPr>
          <w:p>
            <w:pPr>
              <w:spacing w:after="0"/>
            </w:pPr>
            <w:r>
              <w:rPr>
                <w:rFonts w:ascii="Calibri" w:hAnsi="Calibri"/>
                <w:color w:val="0B2545"/>
                <w:sz w:val="19"/>
              </w:rPr>
              <w:t>Scan by service UUID, request/connect GATT, discover services, enable characteristic notifications/CCCD, write the 0x06-prefixed LF-terminated payload with response, and line-buffer notification payload after 0x01.</w:t>
            </w:r>
          </w:p>
        </w:tc>
      </w:tr>
      <w:tr>
        <w:tc>
          <w:tcPr>
            <w:tcW w:type="dxa" w:w="2100"/>
          </w:tcPr>
          <w:p>
            <w:pPr>
              <w:spacing w:after="0"/>
            </w:pPr>
            <w:r>
              <w:rPr>
                <w:rFonts w:ascii="Calibri" w:hAnsi="Calibri"/>
                <w:color w:val="0B2545"/>
                <w:sz w:val="19"/>
              </w:rPr>
              <w:t>Python web bridge (Bleak)</w:t>
            </w:r>
          </w:p>
        </w:tc>
        <w:tc>
          <w:tcPr>
            <w:tcW w:type="dxa" w:w="7260"/>
          </w:tcPr>
          <w:p>
            <w:pPr>
              <w:spacing w:after="0"/>
            </w:pPr>
            <w:r>
              <w:rPr>
                <w:rFonts w:ascii="Calibri" w:hAnsi="Calibri"/>
                <w:color w:val="0B2545"/>
                <w:sz w:val="19"/>
              </w:rPr>
              <w:t>Maintain one async BLE client for the Flask app. Restrict HTTP actions to an allow-list that maps to this command set; keep raw command text off public endpoints.</w:t>
            </w:r>
          </w:p>
        </w:tc>
      </w:tr>
      <w:tr>
        <w:tc>
          <w:tcPr>
            <w:tcW w:type="dxa" w:w="2100"/>
          </w:tcPr>
          <w:p>
            <w:pPr>
              <w:spacing w:after="0"/>
            </w:pPr>
            <w:r>
              <w:rPr>
                <w:rFonts w:ascii="Calibri" w:hAnsi="Calibri"/>
                <w:color w:val="0B2545"/>
                <w:sz w:val="19"/>
              </w:rPr>
              <w:t>Hub program (Pybricks)</w:t>
            </w:r>
          </w:p>
        </w:tc>
        <w:tc>
          <w:tcPr>
            <w:tcW w:type="dxa" w:w="7260"/>
          </w:tcPr>
          <w:p>
            <w:pPr>
              <w:spacing w:after="0"/>
            </w:pPr>
            <w:r>
              <w:rPr>
                <w:rFonts w:ascii="Calibri" w:hAnsi="Calibri"/>
                <w:color w:val="0B2545"/>
                <w:sz w:val="19"/>
              </w:rPr>
              <w:t>Poll stdin, build a bounded LF-delimited line, emit documented text lines with `print`, and retain ownership of safety conditions and output cadence.</w:t>
            </w:r>
          </w:p>
        </w:tc>
      </w:tr>
    </w:tbl>
    <w:p>
      <w:pPr>
        <w:spacing w:after="0"/>
      </w:pPr>
    </w:p>
    <w:p>
      <w:pPr>
        <w:pStyle w:val="Heading1"/>
        <w:keepNext/>
      </w:pPr>
      <w:r>
        <w:rPr>
          <w:rFonts w:ascii="Calibri" w:hAnsi="Calibri"/>
          <w:b/>
          <w:color w:val="2E74B5"/>
          <w:sz w:val="32"/>
        </w:rPr>
        <w:t>9. Android reference pseudocode</w:t>
      </w:r>
    </w:p>
    <w:p>
      <w:pPr>
        <w:spacing w:before="40" w:after="160" w:line="240" w:lineRule="auto"/>
        <w:ind w:left="288"/>
        <w:shd w:fill="F5F7F9"/>
      </w:pPr>
      <w:r>
        <w:rPr>
          <w:rFonts w:ascii="Consolas" w:hAnsi="Consolas"/>
          <w:color w:val="203040"/>
          <w:sz w:val="18"/>
        </w:rPr>
        <w:t>onNotification(bytes):</w:t>
        <w:br/>
        <w:t xml:space="preserve">  if bytes[0] != 0x01: return</w:t>
        <w:br/>
        <w:t xml:space="preserve">  stdoutBuffer.append(bytes.drop(1))</w:t>
        <w:br/>
        <w:t xml:space="preserve">  while stdoutBuffer contains LF:</w:t>
        <w:br/>
        <w:t xml:space="preserve">    line = decodeUtf8(popLine(stdoutBuffer)).trim()</w:t>
        <w:br/>
        <w:t xml:space="preserve">    handleHubLine(line)</w:t>
        <w:br/>
        <w:br/>
        <w:t>send(command):</w:t>
        <w:br/>
        <w:t xml:space="preserve">  require(connected &amp;&amp; (ready || command == "STOP"))</w:t>
        <w:br/>
        <w:t xml:space="preserve">  payload = [0x06] + utf8(command + "\n")</w:t>
        <w:br/>
        <w:t xml:space="preserve">  writeCharacteristic(commandEvent, payload, WRITE_TYPE_DEFAULT)</w:t>
      </w:r>
    </w:p>
    <w:p>
      <w:pPr>
        <w:pStyle w:val="Heading1"/>
        <w:keepNext/>
      </w:pPr>
      <w:r>
        <w:rPr>
          <w:rFonts w:ascii="Calibri" w:hAnsi="Calibri"/>
          <w:b/>
          <w:color w:val="2E74B5"/>
          <w:sz w:val="32"/>
        </w:rPr>
        <w:t>10. Compatibility and versioning</w:t>
      </w:r>
    </w:p>
    <w:p>
      <w:pPr>
        <w:keepNext w:val="0"/>
        <w:spacing w:before="0" w:after="120" w:line="264" w:lineRule="auto"/>
      </w:pPr>
      <w:r>
        <w:rPr>
          <w:rFonts w:ascii="Calibri" w:hAnsi="Calibri"/>
          <w:color w:val="0B2545"/>
          <w:sz w:val="22"/>
        </w:rPr>
        <w:t>The repository contains two different protocols. The `PybricksRemote` iOS demo uses an unframed, fixed three-byte exchange (`rdy`, `fwd`/`rev`/`stp`, `ack:`). The Wall‑E companion and Raspberry Pi web bridge use this document’s newline-delimited protocol. They are not interoperable without a translation layer.</w:t>
      </w:r>
    </w:p>
    <w:p>
      <w:pPr>
        <w:pStyle w:val="ListBullet"/>
        <w:spacing w:after="80" w:line="264" w:lineRule="auto"/>
      </w:pPr>
      <w:r>
        <w:rPr>
          <w:rFonts w:ascii="Calibri" w:hAnsi="Calibri"/>
          <w:color w:val="0B2545"/>
          <w:sz w:val="22"/>
        </w:rPr>
        <w:t>Version this document and the hub program together. Add future capabilities as new uppercase commands/events; clients must ignore unknown `TEL` keys and display unknown event lines only as diagnostics.</w:t>
      </w:r>
    </w:p>
    <w:p>
      <w:pPr>
        <w:pStyle w:val="ListBullet"/>
        <w:spacing w:after="80" w:line="264" w:lineRule="auto"/>
      </w:pPr>
      <w:r>
        <w:rPr>
          <w:rFonts w:ascii="Calibri" w:hAnsi="Calibri"/>
          <w:color w:val="0B2545"/>
          <w:sz w:val="22"/>
        </w:rPr>
        <w:t>If supporting the legacy demo is required, expose it as a separate explicit device/profile choice. Do not infer protocol mode from Bluetooth UUIDs because both variants use the same Pybricks transport service.</w:t>
      </w:r>
    </w:p>
    <w:p>
      <w:pPr>
        <w:pStyle w:val="Heading1"/>
        <w:keepNext/>
      </w:pPr>
      <w:r>
        <w:rPr>
          <w:rFonts w:ascii="Calibri" w:hAnsi="Calibri"/>
          <w:b/>
          <w:color w:val="2E74B5"/>
          <w:sz w:val="32"/>
        </w:rPr>
        <w:t>11. Acceptance checklist</w:t>
      </w:r>
    </w:p>
    <w:p>
      <w:pPr>
        <w:pStyle w:val="ListBullet"/>
        <w:spacing w:after="80" w:line="264" w:lineRule="auto"/>
      </w:pPr>
      <w:r>
        <w:rPr>
          <w:rFonts w:ascii="Calibri" w:hAnsi="Calibri"/>
          <w:color w:val="0B2545"/>
          <w:sz w:val="22"/>
        </w:rPr>
        <w:t>Client discovers only advertised Pybricks-service hubs and handles Bluetooth permission/state errors.</w:t>
      </w:r>
    </w:p>
    <w:p>
      <w:pPr>
        <w:pStyle w:val="ListBullet"/>
        <w:spacing w:after="80" w:line="264" w:lineRule="auto"/>
      </w:pPr>
      <w:r>
        <w:rPr>
          <w:rFonts w:ascii="Calibri" w:hAnsi="Calibri"/>
          <w:color w:val="0B2545"/>
          <w:sz w:val="22"/>
        </w:rPr>
        <w:t>Client correctly reconstructs `READY`, `ACK`, `SAFE`, `ERR`, and `TEL` lines across split or combined notifications.</w:t>
      </w:r>
    </w:p>
    <w:p>
      <w:pPr>
        <w:pStyle w:val="ListBullet"/>
        <w:spacing w:after="80" w:line="264" w:lineRule="auto"/>
      </w:pPr>
      <w:r>
        <w:rPr>
          <w:rFonts w:ascii="Calibri" w:hAnsi="Calibri"/>
          <w:color w:val="0B2545"/>
          <w:sz w:val="22"/>
        </w:rPr>
        <w:t>Client sends exactly `0x06 + UTF-8(command) + LF` for all commands and uses write-with-response.</w:t>
      </w:r>
    </w:p>
    <w:p>
      <w:pPr>
        <w:pStyle w:val="ListBullet"/>
        <w:spacing w:after="80" w:line="264" w:lineRule="auto"/>
      </w:pPr>
      <w:r>
        <w:rPr>
          <w:rFonts w:ascii="Calibri" w:hAnsi="Calibri"/>
          <w:color w:val="0B2545"/>
          <w:sz w:val="22"/>
        </w:rPr>
        <w:t>STOP, disconnect, backgrounding, write failure, and SAFE status leave the UI visibly stopped without auto-resume.</w:t>
      </w:r>
    </w:p>
    <w:p>
      <w:pPr>
        <w:pStyle w:val="ListBullet"/>
        <w:spacing w:after="80" w:line="264" w:lineRule="auto"/>
      </w:pPr>
      <w:r>
        <w:rPr>
          <w:rFonts w:ascii="Calibri" w:hAnsi="Calibri"/>
          <w:color w:val="0B2545"/>
          <w:sz w:val="22"/>
        </w:rPr>
        <w:t>Sustained drive refreshes occur before the hub’s 2 s timeout; release sends STOP.</w:t>
      </w:r>
    </w:p>
    <w:p>
      <w:pPr>
        <w:pStyle w:val="ListBullet"/>
        <w:spacing w:after="80" w:line="264" w:lineRule="auto"/>
      </w:pPr>
      <w:r>
        <w:rPr>
          <w:rFonts w:ascii="Calibri" w:hAnsi="Calibri"/>
          <w:color w:val="0B2545"/>
          <w:sz w:val="22"/>
        </w:rPr>
        <w:t>No API or UI permits arbitrary hub command injection; commands are allow-listed and logged safely.</w:t>
      </w:r>
    </w:p>
    <w:p>
      <w:pPr>
        <w:pStyle w:val="Heading1"/>
        <w:keepNext/>
      </w:pPr>
      <w:r>
        <w:rPr>
          <w:rFonts w:ascii="Calibri" w:hAnsi="Calibri"/>
          <w:b/>
          <w:color w:val="2E74B5"/>
          <w:sz w:val="32"/>
        </w:rPr>
        <w:t>Appendix A — Reference sources in this workspace</w:t>
      </w:r>
    </w:p>
    <w:p>
      <w:pPr>
        <w:keepNext w:val="0"/>
        <w:spacing w:before="0" w:after="0" w:line="264" w:lineRule="auto"/>
      </w:pPr>
      <w:r>
        <w:rPr>
          <w:rFonts w:ascii="Calibri" w:hAnsi="Calibri"/>
          <w:color w:val="0B2545"/>
          <w:sz w:val="22"/>
        </w:rPr>
        <w:t>Hub behavior: `walle_hub/walle_companion.py`. Web BLE bridge: `rpi_yolo_webapp/app.py`. Existing iOS fixed-length demo: `ios/PybricksRemote/PybricksRemote/PybricksHubController.swift`. This specification records the currently implemented Wall‑E protocol; it is not an official Pybricks protocol reference.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7"/>
      </w:rPr>
      <w:t>Internal integration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636E"/>
        <w:sz w:val="17"/>
      </w:rPr>
      <w:t>PYBRICKS HUB INTEGRATION PROTOCOL • DRAFT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