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Baseline VAP integration statement of work</w:t>
      </w:r>
    </w:p>
    <w:p>
      <w:r>
        <w:t>SYNTHETIC — DEMONSTRATION ONLY</w:t>
      </w:r>
    </w:p>
    <w:p>
      <w:r>
        <w:t>Version 1.0 | Fixture date 21 September 2026</w:t>
      </w:r>
    </w:p>
    <w:p>
      <w:pPr>
        <w:pStyle w:val="Heading1"/>
      </w:pPr>
      <w:r>
        <w:t>Purpose and scope</w:t>
      </w:r>
    </w:p>
    <w:p>
      <w:r>
        <w:t>Integrate existing video management with a new video analytics platform. Keep application responsibilities separate from deployment sizing. Existing C2 is outside the VAP system boundary and its internal zoning is unspecified.</w:t>
      </w:r>
    </w:p>
    <w:p>
      <w:pPr>
        <w:pStyle w:val="Heading1"/>
      </w:pPr>
      <w:r>
        <w:t>Systems and placement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vms-system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vms-system: name="VMS"; scope="internal"</w:t>
            </w:r>
          </w:p>
        </w:tc>
      </w:tr>
      <w:tr>
        <w:tc>
          <w:tcPr>
            <w:tcW w:type="dxa" w:w="1440"/>
          </w:tcPr>
          <w:p>
            <w:r>
              <w:t>client-system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client-system: name="Client"; scope="internal"</w:t>
            </w:r>
          </w:p>
        </w:tc>
      </w:tr>
      <w:tr>
        <w:tc>
          <w:tcPr>
            <w:tcW w:type="dxa" w:w="1440"/>
          </w:tcPr>
          <w:p>
            <w:r>
              <w:t>vap-system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vap-system: name="VAP"; scope="internal"</w:t>
            </w:r>
          </w:p>
        </w:tc>
      </w:tr>
      <w:tr>
        <w:tc>
          <w:tcPr>
            <w:tcW w:type="dxa" w:w="1440"/>
          </w:tcPr>
          <w:p>
            <w:r>
              <w:t>c2-system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System c2-system: name="C2"; scope="external"</w:t>
            </w:r>
          </w:p>
        </w:tc>
      </w:tr>
      <w:tr>
        <w:tc>
          <w:tcPr>
            <w:tcW w:type="dxa" w:w="1440"/>
          </w:tcPr>
          <w:p>
            <w:r>
              <w:t>infrastructure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infrastructure: name="Infrastructure"</w:t>
            </w:r>
          </w:p>
        </w:tc>
      </w:tr>
      <w:tr>
        <w:tc>
          <w:tcPr>
            <w:tcW w:type="dxa" w:w="1440"/>
          </w:tcPr>
          <w:p>
            <w:r>
              <w:t>client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client: name="Client"</w:t>
            </w:r>
          </w:p>
        </w:tc>
      </w:tr>
      <w:tr>
        <w:tc>
          <w:tcPr>
            <w:tcW w:type="dxa" w:w="1440"/>
          </w:tcPr>
          <w:p>
            <w:r>
              <w:t>z1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z1: name="Z1"</w:t>
            </w:r>
          </w:p>
        </w:tc>
      </w:tr>
      <w:tr>
        <w:tc>
          <w:tcPr>
            <w:tcW w:type="dxa" w:w="1440"/>
          </w:tcPr>
          <w:p>
            <w:r>
              <w:t>z2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Zone z2: name="Z2"</w:t>
            </w:r>
          </w:p>
        </w:tc>
      </w:tr>
      <w:tr>
        <w:tc>
          <w:tcPr>
            <w:tcW w:type="dxa" w:w="1440"/>
          </w:tcPr>
          <w:p>
            <w:r>
              <w:t>vms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vms: name="VMS"; role="video management"; system_id="vms-system"; zone_id="infrastructure"; status="existing"; asset_id="application"</w:t>
            </w:r>
          </w:p>
        </w:tc>
      </w:tr>
      <w:tr>
        <w:tc>
          <w:tcPr>
            <w:tcW w:type="dxa" w:w="1440"/>
          </w:tcPr>
          <w:p>
            <w:r>
              <w:t>operator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operator: name="Operator workstation"; role="operator";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configuration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configuration: name="Configuration workstation"; role="configuration"; system_id="client-system"; zone_id="client"; status="existing"; asset_id="workstation"; quantity=1</w:t>
            </w:r>
          </w:p>
        </w:tc>
      </w:tr>
      <w:tr>
        <w:tc>
          <w:tcPr>
            <w:tcW w:type="dxa" w:w="1440"/>
          </w:tcPr>
          <w:p>
            <w:r>
              <w:t>management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management: name="VAP management"; role="management integration"; system_id="vap-system"; zone_id="z1"; status="new"; asset_id="api-service"; audit_destination="audit"</w:t>
            </w:r>
          </w:p>
        </w:tc>
      </w:tr>
      <w:tr>
        <w:tc>
          <w:tcPr>
            <w:tcW w:type="dxa" w:w="1440"/>
          </w:tcPr>
          <w:p>
            <w:r>
              <w:t>analytics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analytics: name="VAP analytics"; role="analytics"; system_id="vap-system"; zone_id="z2"; status="new"; asset_id="analytics-engine"</w:t>
            </w:r>
          </w:p>
        </w:tc>
      </w:tr>
      <w:tr>
        <w:tc>
          <w:tcPr>
            <w:tcW w:type="dxa" w:w="1440"/>
          </w:tcPr>
          <w:p>
            <w:r>
              <w:t>c2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c2: name="C2"; role="external command system"; system_id="c2-system"; zone_id=null; status="existing"; asset_id="external-system"; scope="external"</w:t>
            </w:r>
          </w:p>
        </w:tc>
      </w:tr>
      <w:tr>
        <w:tc>
          <w:tcPr>
            <w:tcW w:type="dxa" w:w="1440"/>
          </w:tcPr>
          <w:p>
            <w:r>
              <w:t>audit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audit: name="Audit destination"; role="audit"; system_id="vap-system"; zone_id="z1"; status="proposed"; asset_id="audit-service"</w:t>
            </w:r>
          </w:p>
        </w:tc>
      </w:tr>
      <w:tr>
        <w:tc>
          <w:tcPr>
            <w:tcW w:type="dxa" w:w="1440"/>
          </w:tcPr>
          <w:p>
            <w:r>
              <w:t>enforcement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Component enforcement: name="Management enforcement"; role="firewall"; system_id="vap-system"; zone_id="z1"; status="proposed"; asset_id="firewall"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p>
      <w:r>
        <w:br w:type="page"/>
      </w:r>
    </w:p>
    <w:p>
      <w:pPr>
        <w:pStyle w:val="Heading1"/>
      </w:pPr>
      <w:r>
        <w:t>Interfaces and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40"/>
        <w:gridCol w:w="8352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Source requirement</w:t>
            </w:r>
          </w:p>
        </w:tc>
      </w:tr>
      <w:tr>
        <w:tc>
          <w:tcPr>
            <w:tcW w:type="dxa" w:w="1440"/>
          </w:tcPr>
          <w:p>
            <w:r>
              <w:t>video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video: source="vms"; target="analytics"; purpose="video"; data_direction="source_to_target"; initiator="analytics"; protocol="RTSP"; port=null</w:t>
            </w:r>
          </w:p>
        </w:tc>
      </w:tr>
      <w:tr>
        <w:tc>
          <w:tcPr>
            <w:tcW w:type="dxa" w:w="1440"/>
          </w:tcPr>
          <w:p>
            <w:r>
              <w:t>events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events: source="management"; target="c2"; purpose="events"; data_direction="source_to_target"; initiator="management"; protocol="HTTPS"; delivery="push"</w:t>
            </w:r>
          </w:p>
        </w:tc>
      </w:tr>
      <w:tr>
        <w:tc>
          <w:tcPr>
            <w:tcW w:type="dxa" w:w="1440"/>
          </w:tcPr>
          <w:p>
            <w:r>
              <w:t>administration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administration: source="configuration"; target="management"; purpose="management"; data_direction="bidirectional"; initiator="configuration"; protocol="HTTPS"; enforcement=["enforcement"]</w:t>
            </w:r>
          </w:p>
        </w:tc>
      </w:tr>
      <w:tr>
        <w:tc>
          <w:tcPr>
            <w:tcW w:type="dxa" w:w="1440"/>
          </w:tcPr>
          <w:p>
            <w:r>
              <w:t>integration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Interface integration: source="management"; target="analytics"; purpose="integration"; data_direction="bidirectional"; initiator="management"; protocol="HTTPS"</w:t>
            </w:r>
          </w:p>
        </w:tc>
      </w:tr>
      <w:tr>
        <w:tc>
          <w:tcPr>
            <w:tcW w:type="dxa" w:w="1440"/>
          </w:tcPr>
          <w:p>
            <w:r>
              <w:t>capacity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capacity: key="capacity_streams"; value=100</w:t>
            </w:r>
          </w:p>
        </w:tc>
      </w:tr>
      <w:tr>
        <w:tc>
          <w:tcPr>
            <w:tcW w:type="dxa" w:w="1440"/>
          </w:tcPr>
          <w:p>
            <w:r>
              <w:t>sizing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sizing: key="equipment_sizing"; value="undecided"</w:t>
            </w:r>
          </w:p>
        </w:tc>
      </w:tr>
      <w:tr>
        <w:tc>
          <w:tcPr>
            <w:tcW w:type="dxa" w:w="1440"/>
          </w:tcPr>
          <w:p>
            <w:r>
              <w:t>offline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offline: key="no_internet"; value=true</w:t>
            </w:r>
          </w:p>
        </w:tc>
      </w:tr>
      <w:tr>
        <w:tc>
          <w:tcPr>
            <w:tcW w:type="dxa" w:w="1440"/>
          </w:tcPr>
          <w:p>
            <w:r>
              <w:t>resilience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resilience: key="resilience_required"; value=false</w:t>
            </w:r>
          </w:p>
        </w:tc>
      </w:tr>
      <w:tr>
        <w:tc>
          <w:tcPr>
            <w:tcW w:type="dxa" w:w="1440"/>
          </w:tcPr>
          <w:p>
            <w:r>
              <w:t>availability</w:t>
            </w:r>
          </w:p>
        </w:tc>
        <w:tc>
          <w:tcPr>
            <w:tcW w:type="dxa" w:w="8352"/>
          </w:tcPr>
          <w:p>
            <w:r>
              <w:rPr>
                <w:sz w:val="16"/>
              </w:rPr>
              <w:t>Constraint availability: key="availability_strategy"; value="single_instance"</w:t>
            </w:r>
          </w:p>
        </w:tc>
      </w:tr>
    </w:tbl>
    <w:p>
      <w:r>
        <w:t>Review guidance: null means not specified. Data direction is distinct from the session initiator. Icons do not prove enforcement or resilience. Equipment sizing needs a separate human decision.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Architecture Workbench synthetic generator</dc:creator>
  <cp:keywords/>
  <dc:description>generated by python-docx</dc:description>
  <cp:lastModifiedBy/>
  <cp:revision>1</cp:revision>
  <dcterms:created xsi:type="dcterms:W3CDTF">2026-09-21T00:00:00Z</dcterms:created>
  <dcterms:modified xsi:type="dcterms:W3CDTF">2026-09-21T00:00:00Z</dcterms:modified>
  <cp:category/>
</cp:coreProperties>
</file>