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Baseline VAP integration technical specification</w:t>
      </w:r>
    </w:p>
    <w:p>
      <w:r>
        <w:t>SYNTHETIC — DEMONSTRATION ONLY</w:t>
      </w:r>
    </w:p>
    <w:p>
      <w:r>
        <w:t>Version 1.0 | Fixture date 21 September 2026</w:t>
      </w:r>
    </w:p>
    <w:p>
      <w:pPr>
        <w:pStyle w:val="Heading1"/>
      </w:pPr>
      <w:r>
        <w:t>Purpose and scope</w:t>
      </w:r>
    </w:p>
    <w:p>
      <w:r>
        <w:t>Integrate existing video management with a new video analytics platform. Keep application responsibilities separate from deployment sizing. Existing C2 is outside the VAP system boundary and its internal zoning is unspecified.</w:t>
      </w:r>
    </w:p>
    <w:p>
      <w:pPr>
        <w:pStyle w:val="Heading1"/>
      </w:pPr>
      <w:r>
        <w:t>Systems and placement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8352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Source requirement</w:t>
            </w:r>
          </w:p>
        </w:tc>
      </w:tr>
      <w:tr>
        <w:tc>
          <w:tcPr>
            <w:tcW w:type="dxa" w:w="1440"/>
          </w:tcPr>
          <w:p>
            <w:r>
              <w:t>vms-system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vms-system: name="VMS"; scope="internal"</w:t>
            </w:r>
          </w:p>
        </w:tc>
      </w:tr>
      <w:tr>
        <w:tc>
          <w:tcPr>
            <w:tcW w:type="dxa" w:w="1440"/>
          </w:tcPr>
          <w:p>
            <w:r>
              <w:t>client-system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client-system: name="Client"; scope="internal"</w:t>
            </w:r>
          </w:p>
        </w:tc>
      </w:tr>
      <w:tr>
        <w:tc>
          <w:tcPr>
            <w:tcW w:type="dxa" w:w="1440"/>
          </w:tcPr>
          <w:p>
            <w:r>
              <w:t>vap-system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vap-system: name="VAP"; scope="internal"</w:t>
            </w:r>
          </w:p>
        </w:tc>
      </w:tr>
      <w:tr>
        <w:tc>
          <w:tcPr>
            <w:tcW w:type="dxa" w:w="1440"/>
          </w:tcPr>
          <w:p>
            <w:r>
              <w:t>c2-system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c2-system: name="C2"; scope="external"</w:t>
            </w:r>
          </w:p>
        </w:tc>
      </w:tr>
      <w:tr>
        <w:tc>
          <w:tcPr>
            <w:tcW w:type="dxa" w:w="1440"/>
          </w:tcPr>
          <w:p>
            <w:r>
              <w:t>infrastructure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infrastructure: name="Infrastructure"</w:t>
            </w:r>
          </w:p>
        </w:tc>
      </w:tr>
      <w:tr>
        <w:tc>
          <w:tcPr>
            <w:tcW w:type="dxa" w:w="1440"/>
          </w:tcPr>
          <w:p>
            <w:r>
              <w:t>client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client: name="Client"</w:t>
            </w:r>
          </w:p>
        </w:tc>
      </w:tr>
      <w:tr>
        <w:tc>
          <w:tcPr>
            <w:tcW w:type="dxa" w:w="1440"/>
          </w:tcPr>
          <w:p>
            <w:r>
              <w:t>z1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z1: name="Z1"</w:t>
            </w:r>
          </w:p>
        </w:tc>
      </w:tr>
      <w:tr>
        <w:tc>
          <w:tcPr>
            <w:tcW w:type="dxa" w:w="1440"/>
          </w:tcPr>
          <w:p>
            <w:r>
              <w:t>z2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z2: name="Z2"</w:t>
            </w:r>
          </w:p>
        </w:tc>
      </w:tr>
      <w:tr>
        <w:tc>
          <w:tcPr>
            <w:tcW w:type="dxa" w:w="1440"/>
          </w:tcPr>
          <w:p>
            <w:r>
              <w:t>vms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vms: name="VMS"; role="video management"; system_id="vms-system"; zone_id="infrastructure"; status="existing"; asset_id="application"</w:t>
            </w:r>
          </w:p>
        </w:tc>
      </w:tr>
      <w:tr>
        <w:tc>
          <w:tcPr>
            <w:tcW w:type="dxa" w:w="1440"/>
          </w:tcPr>
          <w:p>
            <w:r>
              <w:t>operator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operator: name="Operator workstation"; role="operator"; system_id="client-system"; zone_id="client"; status="existing"; asset_id="workstation"; quantity=1</w:t>
            </w:r>
          </w:p>
        </w:tc>
      </w:tr>
      <w:tr>
        <w:tc>
          <w:tcPr>
            <w:tcW w:type="dxa" w:w="1440"/>
          </w:tcPr>
          <w:p>
            <w:r>
              <w:t>configuration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configuration: name="Configuration workstation"; role="configuration"; system_id="client-system"; zone_id="client"; status="existing"; asset_id="workstation"; quantity=1</w:t>
            </w:r>
          </w:p>
        </w:tc>
      </w:tr>
      <w:tr>
        <w:tc>
          <w:tcPr>
            <w:tcW w:type="dxa" w:w="1440"/>
          </w:tcPr>
          <w:p>
            <w:r>
              <w:t>management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management: name="VAP management"; role="management integration"; system_id="vap-system"; zone_id="z1"; status="new"; asset_id="api-service"; audit_destination="audit"</w:t>
            </w:r>
          </w:p>
        </w:tc>
      </w:tr>
      <w:tr>
        <w:tc>
          <w:tcPr>
            <w:tcW w:type="dxa" w:w="1440"/>
          </w:tcPr>
          <w:p>
            <w:r>
              <w:t>analytics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analytics: name="VAP analytics"; role="analytics"; system_id="vap-system"; zone_id="z2"; status="new"; asset_id="analytics-engine"</w:t>
            </w:r>
          </w:p>
        </w:tc>
      </w:tr>
      <w:tr>
        <w:tc>
          <w:tcPr>
            <w:tcW w:type="dxa" w:w="1440"/>
          </w:tcPr>
          <w:p>
            <w:r>
              <w:t>c2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c2: name="C2"; role="external command system"; system_id="c2-system"; zone_id=null; status="existing"; asset_id="external-system"; scope="external"</w:t>
            </w:r>
          </w:p>
        </w:tc>
      </w:tr>
      <w:tr>
        <w:tc>
          <w:tcPr>
            <w:tcW w:type="dxa" w:w="1440"/>
          </w:tcPr>
          <w:p>
            <w:r>
              <w:t>audit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audit: name="Audit destination"; role="audit"; system_id="vap-system"; zone_id="z1"; status="proposed"; asset_id="audit-service"</w:t>
            </w:r>
          </w:p>
        </w:tc>
      </w:tr>
      <w:tr>
        <w:tc>
          <w:tcPr>
            <w:tcW w:type="dxa" w:w="1440"/>
          </w:tcPr>
          <w:p>
            <w:r>
              <w:t>enforcement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enforcement: name="Management enforcement"; role="firewall"; system_id="vap-system"; zone_id="z1"; status="proposed"; asset_id="firewall"</w:t>
            </w:r>
          </w:p>
        </w:tc>
      </w:tr>
    </w:tbl>
    <w:p>
      <w:r>
        <w:t>Review guidance: null means not specified. Data direction is distinct from the session initiator. Icons do not prove enforcement or resilience. Equipment sizing needs a separate human decision.</w:t>
      </w:r>
    </w:p>
    <w:p>
      <w:r>
        <w:br w:type="page"/>
      </w:r>
    </w:p>
    <w:p>
      <w:pPr>
        <w:pStyle w:val="Heading1"/>
      </w:pPr>
      <w:r>
        <w:t>Interfaces and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8352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Source requirement</w:t>
            </w:r>
          </w:p>
        </w:tc>
      </w:tr>
      <w:tr>
        <w:tc>
          <w:tcPr>
            <w:tcW w:type="dxa" w:w="1440"/>
          </w:tcPr>
          <w:p>
            <w:r>
              <w:t>video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video: source="vms"; target="analytics"; purpose="video"; data_direction="source_to_target"; initiator="analytics"; protocol="RTSP"; port=null</w:t>
            </w:r>
          </w:p>
        </w:tc>
      </w:tr>
      <w:tr>
        <w:tc>
          <w:tcPr>
            <w:tcW w:type="dxa" w:w="1440"/>
          </w:tcPr>
          <w:p>
            <w:r>
              <w:t>events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events: source="management"; target="c2"; purpose="events"; data_direction="source_to_target"; initiator="management"; protocol="HTTPS"; delivery="push"</w:t>
            </w:r>
          </w:p>
        </w:tc>
      </w:tr>
      <w:tr>
        <w:tc>
          <w:tcPr>
            <w:tcW w:type="dxa" w:w="1440"/>
          </w:tcPr>
          <w:p>
            <w:r>
              <w:t>administration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administration: source="configuration"; target="management"; purpose="management"; data_direction="bidirectional"; initiator="configuration"; protocol="HTTPS"; enforcement=["enforcement"]</w:t>
            </w:r>
          </w:p>
        </w:tc>
      </w:tr>
      <w:tr>
        <w:tc>
          <w:tcPr>
            <w:tcW w:type="dxa" w:w="1440"/>
          </w:tcPr>
          <w:p>
            <w:r>
              <w:t>integration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integration: source="management"; target="analytics"; purpose="integration"; data_direction="bidirectional"; initiator="management"; protocol="HTTPS"</w:t>
            </w:r>
          </w:p>
        </w:tc>
      </w:tr>
      <w:tr>
        <w:tc>
          <w:tcPr>
            <w:tcW w:type="dxa" w:w="1440"/>
          </w:tcPr>
          <w:p>
            <w:r>
              <w:t>capacity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capacity: key="capacity_streams"; value=100</w:t>
            </w:r>
          </w:p>
        </w:tc>
      </w:tr>
      <w:tr>
        <w:tc>
          <w:tcPr>
            <w:tcW w:type="dxa" w:w="1440"/>
          </w:tcPr>
          <w:p>
            <w:r>
              <w:t>sizing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sizing: key="equipment_sizing"; value="undecided"</w:t>
            </w:r>
          </w:p>
        </w:tc>
      </w:tr>
      <w:tr>
        <w:tc>
          <w:tcPr>
            <w:tcW w:type="dxa" w:w="1440"/>
          </w:tcPr>
          <w:p>
            <w:r>
              <w:t>offline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offline: key="no_internet"; value=true</w:t>
            </w:r>
          </w:p>
        </w:tc>
      </w:tr>
      <w:tr>
        <w:tc>
          <w:tcPr>
            <w:tcW w:type="dxa" w:w="1440"/>
          </w:tcPr>
          <w:p>
            <w:r>
              <w:t>resilience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resilience: key="resilience_required"; value=false</w:t>
            </w:r>
          </w:p>
        </w:tc>
      </w:tr>
      <w:tr>
        <w:tc>
          <w:tcPr>
            <w:tcW w:type="dxa" w:w="1440"/>
          </w:tcPr>
          <w:p>
            <w:r>
              <w:t>availability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availability: key="availability_strategy"; value="single_instance"</w:t>
            </w:r>
          </w:p>
        </w:tc>
      </w:tr>
    </w:tbl>
    <w:p>
      <w:r>
        <w:t>Review guidance: null means not specified. Data direction is distinct from the session initiator. Icons do not prove enforcement or resilience. Equipment sizing needs a separate human decision.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Architecture Workbench synthetic generator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