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9632" w:type="dxa"/>
        <w:jc w:val="center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  <w:tblLook w:noHBand="0" w:noVBand="0" w:firstColumn="0" w:lastRow="0" w:lastColumn="0" w:firstRow="0" w:val="0000"/>
      </w:tblPr>
      <w:tblGrid>
        <w:gridCol w:w="4957"/>
        <w:gridCol w:w="8"/>
        <w:gridCol w:w="4667"/>
      </w:tblGrid>
      <w:tr>
        <w:trPr>
          <w:trHeight w:val="842" w:hRule="atLeast"/>
        </w:trPr>
        <w:tc>
          <w:tcPr>
            <w:tcW w:w="9632" w:type="dxa"/>
            <w:gridSpan w:val="3"/>
            <w:tcBorders/>
            <w:vAlign w:val="center"/>
          </w:tcPr>
          <w:p>
            <w:pPr>
              <w:pStyle w:val="Normal"/>
              <w:ind w:end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Министерство науки и высшего образования РФ</w:t>
            </w:r>
            <w:bookmarkStart w:id="0" w:name="_GoBack"/>
            <w:bookmarkEnd w:id="0"/>
          </w:p>
          <w:p>
            <w:pPr>
              <w:pStyle w:val="Normal"/>
              <w:ind w:end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ind w:end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высшего образования</w:t>
            </w:r>
          </w:p>
          <w:p>
            <w:pPr>
              <w:pStyle w:val="Normal"/>
              <w:ind w:end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«Пермский государственный национальный исследовательский университет»</w:t>
            </w:r>
          </w:p>
          <w:p>
            <w:pPr>
              <w:pStyle w:val="Normal"/>
              <w:ind w:end="28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before="0" w:after="160"/>
              <w:ind w:end="28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компьютерных наук и технологий</w:t>
            </w:r>
          </w:p>
        </w:tc>
      </w:tr>
      <w:tr>
        <w:trPr>
          <w:trHeight w:val="1462" w:hRule="atLeast"/>
        </w:trPr>
        <w:tc>
          <w:tcPr>
            <w:tcW w:w="9632" w:type="dxa"/>
            <w:gridSpan w:val="3"/>
            <w:tcBorders/>
            <w:vAlign w:val="center"/>
          </w:tcPr>
          <w:p>
            <w:pPr>
              <w:pStyle w:val="Normal"/>
              <w:spacing w:before="0" w:after="160"/>
              <w:ind w:end="2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632" w:type="dxa"/>
            <w:gridSpan w:val="3"/>
            <w:tcBorders/>
          </w:tcPr>
          <w:p>
            <w:pPr>
              <w:pStyle w:val="Normal"/>
              <w:spacing w:before="0" w:after="160"/>
              <w:ind w:end="2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УДК 02</w:t>
            </w:r>
          </w:p>
        </w:tc>
      </w:tr>
      <w:tr>
        <w:trPr>
          <w:trHeight w:val="2248" w:hRule="atLeast"/>
        </w:trPr>
        <w:tc>
          <w:tcPr>
            <w:tcW w:w="9632" w:type="dxa"/>
            <w:gridSpan w:val="3"/>
            <w:tcBorders/>
            <w:vAlign w:val="center"/>
          </w:tcPr>
          <w:p>
            <w:pPr>
              <w:pStyle w:val="Normal"/>
              <w:ind w:end="28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</w:r>
          </w:p>
          <w:p>
            <w:pPr>
              <w:pStyle w:val="Normal"/>
              <w:ind w:end="28"/>
              <w:jc w:val="center"/>
              <w:rPr>
                <w:color w:val="A6A6A6"/>
                <w:sz w:val="28"/>
                <w:szCs w:val="28"/>
              </w:rPr>
            </w:pPr>
            <w:r>
              <w:rPr/>
              <w:t>«Экспертная система выбора компьютерных комплектующих»</w:t>
            </w:r>
          </w:p>
          <w:p>
            <w:pPr>
              <w:pStyle w:val="Default"/>
              <w:jc w:val="center"/>
              <w:rPr/>
            </w:pPr>
            <w:r>
              <w:rPr/>
              <w:t>Отчётная работа по дисциплине «Интеллектуальные системы»</w:t>
            </w:r>
          </w:p>
          <w:p>
            <w:pPr>
              <w:pStyle w:val="Normal"/>
              <w:spacing w:before="0" w:after="160"/>
              <w:ind w:end="-124"/>
              <w:jc w:val="center"/>
              <w:rPr>
                <w:sz w:val="26"/>
                <w:szCs w:val="26"/>
              </w:rPr>
            </w:pPr>
            <w:r>
              <w:rPr/>
              <w:t>направление 09.03.01 – Фундаментальная информатика и информационные технологии</w:t>
            </w:r>
          </w:p>
        </w:tc>
      </w:tr>
      <w:tr>
        <w:trPr>
          <w:trHeight w:val="3286" w:hRule="atLeast"/>
        </w:trPr>
        <w:tc>
          <w:tcPr>
            <w:tcW w:w="4957" w:type="dxa"/>
            <w:tcBorders/>
            <w:vAlign w:val="bottom"/>
          </w:tcPr>
          <w:p>
            <w:pPr>
              <w:pStyle w:val="Normal"/>
              <w:spacing w:before="0" w:after="160"/>
              <w:ind w:end="30"/>
              <w:rPr/>
            </w:pPr>
            <w:r>
              <w:rPr/>
            </w:r>
          </w:p>
        </w:tc>
        <w:tc>
          <w:tcPr>
            <w:tcW w:w="4675" w:type="dxa"/>
            <w:gridSpan w:val="2"/>
            <w:tcBorders/>
          </w:tcPr>
          <w:p>
            <w:pPr>
              <w:pStyle w:val="Normal"/>
              <w:ind w:firstLine="18" w:end="28"/>
              <w:rPr/>
            </w:pPr>
            <w:r>
              <w:rPr/>
            </w:r>
          </w:p>
          <w:p>
            <w:pPr>
              <w:pStyle w:val="Normal"/>
              <w:ind w:firstLine="18" w:end="28"/>
              <w:rPr/>
            </w:pPr>
            <w:r>
              <w:rPr/>
              <w:t>Выполнили студенты</w:t>
              <w:br/>
              <w:t>группы ИТ-15-16-2023</w:t>
            </w:r>
          </w:p>
          <w:p>
            <w:pPr>
              <w:pStyle w:val="Normal"/>
              <w:ind w:firstLine="18" w:end="28"/>
              <w:rPr/>
            </w:pPr>
            <w:r>
              <w:rPr/>
              <w:t>Торгашинов Андрей</w:t>
            </w:r>
          </w:p>
          <w:p>
            <w:pPr>
              <w:pStyle w:val="Normal"/>
              <w:ind w:firstLine="18" w:end="28"/>
              <w:rPr/>
            </w:pPr>
            <w:r>
              <w:rPr/>
              <w:t>Александров Павел</w:t>
            </w:r>
          </w:p>
          <w:p>
            <w:pPr>
              <w:pStyle w:val="Normal"/>
              <w:ind w:firstLine="18" w:end="28"/>
              <w:rPr/>
            </w:pPr>
            <w:r>
              <w:rPr/>
              <w:t>Научный руководитель:</w:t>
            </w:r>
          </w:p>
          <w:p>
            <w:pPr>
              <w:pStyle w:val="Normal"/>
              <w:spacing w:before="0" w:after="160"/>
              <w:ind w:firstLine="18" w:end="28"/>
              <w:rPr/>
            </w:pPr>
            <w:r>
              <w:rPr>
                <w:color w:val="000000"/>
              </w:rPr>
              <w:t>Колодкина Марья Владимировна</w:t>
            </w:r>
          </w:p>
        </w:tc>
      </w:tr>
      <w:tr>
        <w:trPr>
          <w:trHeight w:val="2087" w:hRule="atLeast"/>
          <w:cantSplit/>
        </w:trPr>
        <w:tc>
          <w:tcPr>
            <w:tcW w:w="4965" w:type="dxa"/>
            <w:gridSpan w:val="2"/>
            <w:tcBorders/>
            <w:vAlign w:val="bottom"/>
          </w:tcPr>
          <w:p>
            <w:pPr>
              <w:pStyle w:val="Normal"/>
              <w:spacing w:before="0" w:after="160"/>
              <w:ind w:end="30"/>
              <w:rPr/>
            </w:pPr>
            <w:r>
              <w:rPr/>
            </w:r>
          </w:p>
        </w:tc>
        <w:tc>
          <w:tcPr>
            <w:tcW w:w="4667" w:type="dxa"/>
            <w:tcBorders/>
            <w:vAlign w:val="bottom"/>
          </w:tcPr>
          <w:p>
            <w:pPr>
              <w:pStyle w:val="Normal"/>
              <w:rPr>
                <w:rStyle w:val="Style11"/>
              </w:rPr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635" w:hRule="atLeast"/>
          <w:cantSplit/>
        </w:trPr>
        <w:tc>
          <w:tcPr>
            <w:tcW w:w="9632" w:type="dxa"/>
            <w:gridSpan w:val="3"/>
            <w:tcBorders/>
            <w:vAlign w:val="bottom"/>
          </w:tcPr>
          <w:p>
            <w:pPr>
              <w:pStyle w:val="Normal"/>
              <w:spacing w:lineRule="auto" w:line="216" w:before="90" w:after="45"/>
              <w:ind w:end="30"/>
              <w:jc w:val="center"/>
              <w:rPr/>
            </w:pPr>
            <w:r>
              <w:rPr/>
              <w:t>Пермь 2026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r>
            <w:fldChar w:fldCharType="begin"/>
          </w:r>
          <w:r>
            <w:rPr>
              <w:rStyle w:val="IndexLink"/>
              <w:vanish w:val="false"/>
              <w:webHidden/>
            </w:rPr>
            <w:instrText xml:space="preserve"> TOC \z \o "1-3" \u \h</w:instrText>
          </w:r>
          <w:r>
            <w:rPr>
              <w:rStyle w:val="IndexLink"/>
              <w:vanish w:val="false"/>
              <w:webHidden/>
            </w:rPr>
            <w:fldChar w:fldCharType="separate"/>
          </w:r>
          <w:hyperlink w:anchor="_Toc224714659">
            <w:r>
              <w:rPr>
                <w:rStyle w:val="IndexLink"/>
                <w:vanish w:val="false"/>
                <w:webHidden/>
              </w:rPr>
              <w:t>Интеллектуальные системы. Практическое занятие № 4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0">
            <w:r>
              <w:rPr>
                <w:rStyle w:val="IndexLink"/>
                <w:rFonts w:cs="Calibri" w:cstheme="minorHAnsi"/>
                <w:vanish w:val="false"/>
                <w:webHidden/>
              </w:rPr>
              <w:t>Цели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1">
            <w:r>
              <w:rPr>
                <w:rStyle w:val="IndexLink"/>
                <w:rFonts w:cs="Calibri" w:cstheme="minorHAnsi"/>
                <w:vanish w:val="false"/>
                <w:webHidden/>
              </w:rPr>
              <w:t>Целевая Аудитория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2">
            <w:r>
              <w:rPr>
                <w:rStyle w:val="IndexLink"/>
                <w:rFonts w:cs="Calibri" w:cstheme="minorHAnsi"/>
                <w:vanish w:val="false"/>
                <w:webHidden/>
              </w:rPr>
              <w:t>Предметная область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3">
            <w:r>
              <w:rPr>
                <w:rStyle w:val="IndexLink"/>
                <w:rFonts w:cs="Calibri" w:cstheme="minorHAnsi"/>
                <w:vanish w:val="false"/>
                <w:webHidden/>
              </w:rPr>
              <w:t>Основные функции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4">
            <w:r>
              <w:rPr>
                <w:rStyle w:val="IndexLink"/>
                <w:rFonts w:cs="Calibri" w:cstheme="minorHAnsi"/>
                <w:vanish w:val="false"/>
                <w:webHidden/>
              </w:rPr>
              <w:t>Дерево решений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5">
            <w:r>
              <w:rPr>
                <w:rStyle w:val="IndexLink"/>
                <w:rFonts w:cs="Calibri" w:cstheme="minorHAnsi"/>
                <w:vanish w:val="false"/>
                <w:webHidden/>
              </w:rPr>
              <w:t>Ограничения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6">
            <w:r>
              <w:rPr>
                <w:rStyle w:val="IndexLink"/>
                <w:rFonts w:cs="Calibri" w:cstheme="minorHAnsi"/>
                <w:vanish w:val="false"/>
                <w:webHidden/>
              </w:rPr>
              <w:t>Критерии успеха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7">
            <w:r>
              <w:rPr>
                <w:rStyle w:val="IndexLink"/>
                <w:rFonts w:cs="Calibri" w:cstheme="minorHAnsi"/>
                <w:vanish w:val="false"/>
                <w:webHidden/>
              </w:rPr>
              <w:t>База знаний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8">
            <w:r>
              <w:rPr>
                <w:rStyle w:val="IndexLink"/>
                <w:rFonts w:cs="Calibri" w:cstheme="minorHAnsi"/>
                <w:vanish w:val="false"/>
                <w:webHidden/>
              </w:rPr>
              <w:t>Онтология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69">
            <w:r>
              <w:rPr>
                <w:rStyle w:val="IndexLink"/>
                <w:rFonts w:cs="Calibri" w:cstheme="minorHAnsi"/>
                <w:vanish w:val="false"/>
                <w:webHidden/>
              </w:rPr>
              <w:t>База правил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0">
            <w:r>
              <w:rPr>
                <w:rStyle w:val="IndexLink"/>
                <w:rFonts w:cs="Calibri" w:cstheme="minorHAnsi"/>
                <w:vanish w:val="false"/>
                <w:webHidden/>
              </w:rPr>
              <w:t>Архитектура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1">
            <w:r>
              <w:rPr>
                <w:rStyle w:val="IndexLink"/>
                <w:rFonts w:cs="Calibri" w:cstheme="minorHAnsi"/>
                <w:vanish w:val="false"/>
                <w:webHidden/>
              </w:rPr>
              <w:t>Диаграмма классов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2">
            <w:r>
              <w:rPr>
                <w:rStyle w:val="IndexLink"/>
                <w:rFonts w:cs="Calibri" w:cstheme="minorHAnsi"/>
                <w:vanish w:val="false"/>
                <w:webHidden/>
              </w:rPr>
              <w:t>Блок-схема взаимодействия компонентов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3">
            <w:r>
              <w:rPr>
                <w:rStyle w:val="IndexLink"/>
                <w:rFonts w:cs="Calibri" w:cstheme="minorHAnsi"/>
                <w:vanish w:val="false"/>
                <w:webHidden/>
              </w:rPr>
              <w:t>Описание компонентов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224714674">
            <w:r>
              <w:rPr>
                <w:rStyle w:val="IndexLink"/>
                <w:rFonts w:cs="Calibri" w:cstheme="minorHAnsi"/>
                <w:vanish w:val="false"/>
                <w:webHidden/>
              </w:rPr>
              <w:t>Скриншоты результатов работы прототипа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_Toc224714674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spacing w:before="0" w:after="4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40"/>
        <w:rPr>
          <w:b/>
          <w:bCs/>
        </w:rPr>
      </w:pPr>
      <w:r>
        <w:rPr>
          <w:b/>
          <w:bCs/>
        </w:rPr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1" w:name="_Toc224714660"/>
      <w:r>
        <w:rPr>
          <w:rFonts w:cs="Calibri" w:ascii="Calibri" w:hAnsi="Calibri" w:asciiTheme="minorHAnsi" w:cstheme="minorHAnsi" w:hAnsiTheme="minorHAnsi"/>
          <w:color w:val="auto"/>
        </w:rPr>
        <w:t>Цели системы</w:t>
      </w:r>
      <w:bookmarkEnd w:id="1"/>
    </w:p>
    <w:p>
      <w:pPr>
        <w:pStyle w:val="Normal"/>
        <w:rPr/>
      </w:pPr>
      <w:r>
        <w:rPr/>
        <w:t>Главная цель:</w:t>
      </w:r>
    </w:p>
    <w:p>
      <w:pPr>
        <w:pStyle w:val="Normal"/>
        <w:ind w:firstLine="708"/>
        <w:rPr/>
      </w:pPr>
      <w:r>
        <w:rPr/>
        <w:t>автоматизировать выбор совместимых комплектующих для настольного компьютера с учётом пользовательских параметров: бюджета, назначения сборки и индивидуальных предпочтений.</w:t>
      </w:r>
    </w:p>
    <w:p>
      <w:pPr>
        <w:pStyle w:val="Normal"/>
        <w:rPr/>
      </w:pPr>
      <w:r>
        <w:rPr/>
        <w:t>Дополнительные задачи:</w:t>
      </w:r>
    </w:p>
    <w:p>
      <w:pPr>
        <w:pStyle w:val="Normal"/>
        <w:ind w:firstLine="708"/>
        <w:rPr/>
      </w:pPr>
      <w:r>
        <w:rPr/>
        <w:t>реализовать логический контроль совместимости, включая соответствие сокета CPU и материнской платы, а также проверку мощности блока питания;</w:t>
      </w:r>
    </w:p>
    <w:p>
      <w:pPr>
        <w:pStyle w:val="Normal"/>
        <w:ind w:firstLine="708"/>
        <w:rPr/>
      </w:pPr>
      <w:r>
        <w:rPr/>
        <w:t>формировать рекомендации по подбору процессора и видеокарты для выбранного сценария использования, например для игр или офисной работы;</w:t>
      </w:r>
    </w:p>
    <w:p>
      <w:pPr>
        <w:pStyle w:val="Normal"/>
        <w:ind w:firstLine="708"/>
        <w:rPr/>
      </w:pPr>
      <w:r>
        <w:rPr/>
        <w:t>выдавать итоговое заключение о пригодности сборки и сопровождать его перечнем применённых правил для пояснения результата.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ind w:firstLine="708"/>
        <w:rPr/>
      </w:pPr>
      <w:r>
        <w:rPr/>
      </w:r>
    </w:p>
    <w:p>
      <w:pPr>
        <w:pStyle w:val="Normal"/>
        <w:rPr>
          <w:rFonts w:cs="Calibri" w:cstheme="minorHAnsi"/>
        </w:rPr>
      </w:pPr>
      <w:bookmarkStart w:id="2" w:name="_Toc224714661"/>
      <w:r>
        <w:rPr>
          <w:rStyle w:val="1"/>
          <w:rFonts w:cs="Calibri" w:cstheme="minorHAnsi"/>
          <w:color w:val="auto"/>
        </w:rPr>
        <w:t>Целевая Аудитория</w:t>
      </w:r>
      <w:bookmarkEnd w:id="2"/>
    </w:p>
    <w:p>
      <w:pPr>
        <w:pStyle w:val="Normal"/>
        <w:rPr/>
      </w:pPr>
      <w:r>
        <w:rPr/>
        <w:t>К основным пользователям относятся:</w:t>
      </w:r>
    </w:p>
    <w:p>
      <w:pPr>
        <w:pStyle w:val="Normal"/>
        <w:rPr/>
      </w:pPr>
      <w:r>
        <w:rPr/>
        <w:tab/>
        <w:t>пользователи с разным уровнем подготовки, которые планируют самостоятельно собрать ПК;</w:t>
      </w:r>
    </w:p>
    <w:p>
      <w:pPr>
        <w:pStyle w:val="Normal"/>
        <w:rPr/>
      </w:pPr>
      <w:r>
        <w:rPr/>
        <w:tab/>
        <w:t>школьники и студенты, осваивающие устройство компьютерного оборудования;</w:t>
      </w:r>
    </w:p>
    <w:p>
      <w:pPr>
        <w:pStyle w:val="Normal"/>
        <w:rPr/>
      </w:pPr>
      <w:r>
        <w:rPr/>
        <w:tab/>
        <w:t>специалисты-консультанты магазинов компьютерной техники.</w:t>
      </w:r>
    </w:p>
    <w:p>
      <w:pPr>
        <w:pStyle w:val="Normal"/>
        <w:rPr/>
      </w:pPr>
      <w:r>
        <w:rPr/>
        <w:t>Дополнительная аудитория:</w:t>
      </w:r>
    </w:p>
    <w:p>
      <w:pPr>
        <w:pStyle w:val="Normal"/>
        <w:rPr/>
      </w:pPr>
      <w:r>
        <w:rPr/>
        <w:tab/>
        <w:t>системные администраторы;</w:t>
      </w:r>
    </w:p>
    <w:p>
      <w:pPr>
        <w:pStyle w:val="Normal"/>
        <w:rPr/>
      </w:pPr>
      <w:r>
        <w:rPr/>
        <w:tab/>
        <w:t>преподаватели дисциплин, связанных с информатикой и аппаратным обеспечением.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3" w:name="_Toc224714662"/>
      <w:r>
        <w:rPr>
          <w:rFonts w:cs="Calibri" w:ascii="Calibri" w:hAnsi="Calibri" w:asciiTheme="minorHAnsi" w:cstheme="minorHAnsi" w:hAnsiTheme="minorHAnsi"/>
          <w:color w:val="auto"/>
        </w:rPr>
        <w:t>Предметная область</w:t>
      </w:r>
      <w:bookmarkEnd w:id="3"/>
    </w:p>
    <w:p>
      <w:pPr>
        <w:pStyle w:val="Normal"/>
        <w:rPr/>
      </w:pPr>
      <w:r>
        <w:rPr/>
        <w:t>Предметная область охватывает аппаратные компоненты компьютера (hardware), в частности:</w:t>
      </w:r>
    </w:p>
    <w:p>
      <w:pPr>
        <w:pStyle w:val="Normal"/>
        <w:ind w:start="708"/>
        <w:rPr/>
      </w:pPr>
      <w:r>
        <w:rPr/>
        <w:t>центральные процессоры (CPU),</w:t>
      </w:r>
    </w:p>
    <w:p>
      <w:pPr>
        <w:pStyle w:val="Normal"/>
        <w:ind w:start="708"/>
        <w:rPr/>
      </w:pPr>
      <w:r>
        <w:rPr/>
        <w:t>материнские платы (Motherboard),</w:t>
      </w:r>
    </w:p>
    <w:p>
      <w:pPr>
        <w:pStyle w:val="Normal"/>
        <w:ind w:start="708"/>
        <w:rPr/>
      </w:pPr>
      <w:r>
        <w:rPr/>
        <w:t>графические адаптеры (GPU),</w:t>
      </w:r>
    </w:p>
    <w:p>
      <w:pPr>
        <w:pStyle w:val="Normal"/>
        <w:ind w:start="708"/>
        <w:rPr/>
      </w:pPr>
      <w:r>
        <w:rPr/>
        <w:t>блоки питания (PSU),</w:t>
      </w:r>
    </w:p>
    <w:p>
      <w:pPr>
        <w:pStyle w:val="Normal"/>
        <w:ind w:start="708"/>
        <w:rPr/>
      </w:pPr>
      <w:r>
        <w:rPr/>
        <w:t>их основные параметры, включая сокет, TDP, стоимость, а также взаимные зависимости между компонентами.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4" w:name="_Toc224714663"/>
      <w:r>
        <w:rPr>
          <w:rFonts w:cs="Calibri" w:ascii="Calibri" w:hAnsi="Calibri" w:asciiTheme="minorHAnsi" w:cstheme="minorHAnsi" w:hAnsiTheme="minorHAnsi"/>
          <w:color w:val="auto"/>
        </w:rPr>
        <w:t>Основные функции</w:t>
      </w:r>
      <w:bookmarkEnd w:id="4"/>
    </w:p>
    <w:p>
      <w:pPr>
        <w:pStyle w:val="ListParagraph"/>
        <w:numPr>
          <w:ilvl w:val="0"/>
          <w:numId w:val="1"/>
        </w:numPr>
        <w:rPr/>
      </w:pPr>
      <w:r>
        <w:rPr/>
        <w:t>Получение исходных требований: назначение ПК (игры/офис), общий бюджет, бюджет видеокарты для игровой сборки, сокет материнской платы и мощность блока питания.</w:t>
      </w:r>
    </w:p>
    <w:p>
      <w:pPr>
        <w:pStyle w:val="ListParagraph"/>
        <w:numPr>
          <w:ilvl w:val="0"/>
          <w:numId w:val="1"/>
        </w:numPr>
        <w:rPr/>
      </w:pPr>
      <w:r>
        <w:rPr/>
        <w:t>Выбор процессора и видеокарты в соответствии с назначением компьютера и заданными бюджетными ограничениями (правила R1, R2, R5).</w:t>
      </w:r>
    </w:p>
    <w:p>
      <w:pPr>
        <w:pStyle w:val="ListParagraph"/>
        <w:numPr>
          <w:ilvl w:val="0"/>
          <w:numId w:val="1"/>
        </w:numPr>
        <w:rPr/>
      </w:pPr>
      <w:r>
        <w:rPr/>
        <w:t>Проверка соответствия сокетов процессора и материнской платы с помощью правил R3 и R4.</w:t>
      </w:r>
    </w:p>
    <w:p>
      <w:pPr>
        <w:pStyle w:val="ListParagraph"/>
        <w:numPr>
          <w:ilvl w:val="0"/>
          <w:numId w:val="1"/>
        </w:numPr>
        <w:rPr/>
      </w:pPr>
      <w:r>
        <w:rPr/>
        <w:t>Вычисление общего TDP компонентов и оценка достаточности блока питания по правилам R6 и R7.</w:t>
      </w:r>
    </w:p>
    <w:p>
      <w:pPr>
        <w:pStyle w:val="ListParagraph"/>
        <w:numPr>
          <w:ilvl w:val="0"/>
          <w:numId w:val="1"/>
        </w:numPr>
        <w:rPr/>
      </w:pPr>
      <w:r>
        <w:rPr/>
        <w:t>Подготовка финального вывода о корректности конфигурации на основе правила R_Final.</w:t>
      </w:r>
    </w:p>
    <w:p>
      <w:pPr>
        <w:pStyle w:val="ListParagraph"/>
        <w:numPr>
          <w:ilvl w:val="0"/>
          <w:numId w:val="1"/>
        </w:numPr>
        <w:rPr/>
      </w:pPr>
      <w:r>
        <w:rPr/>
        <w:t>Пояснение результата через вывод перечня правил, участвовавших в рассуждении.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5" w:name="_Toc224714664"/>
      <w:r>
        <w:rPr>
          <w:rFonts w:cs="Calibri" w:ascii="Calibri" w:hAnsi="Calibri" w:asciiTheme="minorHAnsi" w:cstheme="minorHAnsi" w:hAnsiTheme="minorHAnsi"/>
          <w:color w:val="auto"/>
        </w:rPr>
        <w:t>Дерево решений</w:t>
      </w:r>
      <w:bookmarkEnd w:id="5"/>
    </w:p>
    <w:p>
      <w:pPr>
        <w:pStyle w:val="Normal"/>
        <w:rPr/>
      </w:pPr>
      <w:r>
        <w:rPr/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6" w:name="_Toc224714665"/>
      <w:r>
        <w:rPr>
          <w:rFonts w:cs="Calibri" w:ascii="Calibri" w:hAnsi="Calibri" w:asciiTheme="minorHAnsi" w:cstheme="minorHAnsi" w:hAnsiTheme="minorHAnsi"/>
          <w:color w:val="auto"/>
        </w:rPr>
        <w:t>Ограничения системы</w:t>
      </w:r>
      <w:bookmarkEnd w:id="6"/>
    </w:p>
    <w:p>
      <w:pPr>
        <w:pStyle w:val="Normal"/>
        <w:rPr/>
      </w:pPr>
      <w:r>
        <w:rPr>
          <w:b/>
        </w:rPr>
        <w:t>Технические ограничения:</w:t>
      </w:r>
    </w:p>
    <w:p>
      <w:pPr>
        <w:pStyle w:val="ListParagraph"/>
        <w:numPr>
          <w:ilvl w:val="0"/>
          <w:numId w:val="2"/>
        </w:numPr>
        <w:rPr/>
      </w:pPr>
      <w:r>
        <w:rPr/>
        <w:t>демонстрационная база комплектующих включает ограниченный набор моделей;</w:t>
      </w:r>
    </w:p>
    <w:p>
      <w:pPr>
        <w:pStyle w:val="ListParagraph"/>
        <w:numPr>
          <w:ilvl w:val="0"/>
          <w:numId w:val="2"/>
        </w:numPr>
        <w:rPr/>
      </w:pPr>
      <w:r>
        <w:rPr/>
        <w:t>оперативная память, накопители, корпус и система охлаждения не включены в расчёты;</w:t>
      </w:r>
    </w:p>
    <w:p>
      <w:pPr>
        <w:pStyle w:val="ListParagraph"/>
        <w:numPr>
          <w:ilvl w:val="0"/>
          <w:numId w:val="2"/>
        </w:numPr>
        <w:rPr/>
      </w:pPr>
      <w:r>
        <w:rPr/>
        <w:t>совместимость проверяется только по сокету, без анализа чипсета и версии BIOS;</w:t>
      </w:r>
    </w:p>
    <w:p>
      <w:pPr>
        <w:pStyle w:val="ListParagraph"/>
        <w:numPr>
          <w:ilvl w:val="0"/>
          <w:numId w:val="2"/>
        </w:numPr>
        <w:rPr/>
      </w:pPr>
      <w:r>
        <w:rPr/>
        <w:t>перспективы дальнейшей модернизации системы не рассматриваются.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>
          <w:b/>
        </w:rPr>
        <w:t>Содержательные ограничения:</w:t>
      </w:r>
    </w:p>
    <w:p>
      <w:pPr>
        <w:pStyle w:val="ListParagraph"/>
        <w:numPr>
          <w:ilvl w:val="0"/>
          <w:numId w:val="3"/>
        </w:numPr>
        <w:rPr/>
      </w:pPr>
      <w:r>
        <w:rPr/>
        <w:t>рекомендации строятся на упрощённых бюджетных порогах;</w:t>
      </w:r>
    </w:p>
    <w:p>
      <w:pPr>
        <w:pStyle w:val="ListParagraph"/>
        <w:numPr>
          <w:ilvl w:val="0"/>
          <w:numId w:val="3"/>
        </w:numPr>
        <w:rPr/>
      </w:pPr>
      <w:r>
        <w:rPr/>
        <w:t>варианты альтернативных производителей рассматриваются не полностью;</w:t>
      </w:r>
    </w:p>
    <w:p>
      <w:pPr>
        <w:pStyle w:val="ListParagraph"/>
        <w:numPr>
          <w:ilvl w:val="0"/>
          <w:numId w:val="3"/>
        </w:numPr>
        <w:rPr/>
      </w:pPr>
      <w:r>
        <w:rPr/>
        <w:t>стоимость компонентов задана статически и не обновляется автоматически.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7" w:name="_Toc224714666"/>
      <w:r>
        <w:rPr>
          <w:rFonts w:cs="Calibri" w:ascii="Calibri" w:hAnsi="Calibri" w:asciiTheme="minorHAnsi" w:cstheme="minorHAnsi" w:hAnsiTheme="minorHAnsi"/>
          <w:color w:val="auto"/>
        </w:rPr>
        <w:t>Критерии успеха</w:t>
      </w:r>
      <w:bookmarkEnd w:id="7"/>
    </w:p>
    <w:p>
      <w:pPr>
        <w:pStyle w:val="ListParagraph"/>
        <w:numPr>
          <w:ilvl w:val="0"/>
          <w:numId w:val="4"/>
        </w:numPr>
        <w:rPr/>
      </w:pPr>
      <w:r>
        <w:rPr/>
        <w:t>Покрытие основных сценариев: система должна формировать понятный результат как для игровой, так и для офисной конфигурации.</w:t>
      </w:r>
    </w:p>
    <w:p>
      <w:pPr>
        <w:pStyle w:val="ListParagraph"/>
        <w:numPr>
          <w:ilvl w:val="0"/>
          <w:numId w:val="4"/>
        </w:numPr>
        <w:rPr/>
      </w:pPr>
      <w:r>
        <w:rPr/>
        <w:t>Логическая корректность: если компоненты совместимы и мощности БП хватает, выводится статус "Сборка корректна"; в остальных случаях предлагается замена.</w:t>
      </w:r>
    </w:p>
    <w:p>
      <w:pPr>
        <w:pStyle w:val="ListParagraph"/>
        <w:numPr>
          <w:ilvl w:val="0"/>
          <w:numId w:val="4"/>
        </w:numPr>
        <w:rPr/>
      </w:pPr>
      <w:r>
        <w:rPr/>
        <w:t>Прозрачность вывода: пользователь получает список правил, которые были применены системой.</w:t>
      </w:r>
    </w:p>
    <w:p>
      <w:pPr>
        <w:pStyle w:val="ListParagraph"/>
        <w:numPr>
          <w:ilvl w:val="0"/>
          <w:numId w:val="4"/>
        </w:numPr>
        <w:rPr/>
      </w:pPr>
      <w:r>
        <w:rPr/>
        <w:t>Оценка удобства: по итогам тестирования ожидается не менее 80% положительных пользовательских откликов.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8" w:name="_Toc224714667"/>
      <w:r>
        <w:rPr>
          <w:rFonts w:cs="Calibri" w:ascii="Calibri" w:hAnsi="Calibri" w:asciiTheme="minorHAnsi" w:cstheme="minorHAnsi" w:hAnsiTheme="minorHAnsi"/>
          <w:color w:val="auto"/>
        </w:rPr>
        <w:t>База знаний</w:t>
      </w:r>
      <w:bookmarkEnd w:id="8"/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9" w:name="_Toc224714668"/>
      <w:r>
        <w:rPr>
          <w:rFonts w:cs="Calibri" w:ascii="Calibri" w:hAnsi="Calibri" w:asciiTheme="minorHAnsi" w:cstheme="minorHAnsi" w:hAnsiTheme="minorHAnsi"/>
          <w:color w:val="auto"/>
        </w:rPr>
        <w:t>Онтология предметной области</w:t>
      </w:r>
      <w:bookmarkEnd w:id="9"/>
    </w:p>
    <w:p>
      <w:pPr>
        <w:pStyle w:val="Normal"/>
        <w:rPr/>
      </w:pPr>
      <w:r>
        <w:rPr/>
        <w:t>Ключевые классы и связи между ними отражены на диаграмме классов и включают:</w:t>
      </w:r>
    </w:p>
    <w:p>
      <w:pPr>
        <w:pStyle w:val="ListParagraph"/>
        <w:numPr>
          <w:ilvl w:val="0"/>
          <w:numId w:val="5"/>
        </w:numPr>
        <w:rPr/>
      </w:pPr>
      <w:r>
        <w:rPr/>
        <w:t>Комплектующие: CPU, GPU, Motherboard и PSU</w:t>
      </w:r>
    </w:p>
    <w:p>
      <w:pPr>
        <w:pStyle w:val="ListParagraph"/>
        <w:numPr>
          <w:ilvl w:val="0"/>
          <w:numId w:val="5"/>
        </w:numPr>
        <w:rPr/>
      </w:pPr>
      <w:r>
        <w:rPr/>
        <w:t>Конфигурация компьютера</w:t>
      </w:r>
    </w:p>
    <w:p>
      <w:pPr>
        <w:pStyle w:val="ListParagraph"/>
        <w:numPr>
          <w:ilvl w:val="0"/>
          <w:numId w:val="5"/>
        </w:numPr>
        <w:rPr/>
      </w:pPr>
      <w:r>
        <w:rPr/>
        <w:t>Пользовательские требования</w:t>
      </w:r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10" w:name="_Toc224714669"/>
      <w:r>
        <w:rPr>
          <w:rFonts w:cs="Calibri" w:ascii="Calibri" w:hAnsi="Calibri" w:asciiTheme="minorHAnsi" w:cstheme="minorHAnsi" w:hAnsiTheme="minorHAnsi"/>
          <w:color w:val="auto"/>
        </w:rPr>
        <w:t>База правил</w:t>
      </w:r>
      <w:bookmarkEnd w:id="10"/>
    </w:p>
    <w:p>
      <w:pPr>
        <w:pStyle w:val="Normal"/>
        <w:rPr/>
      </w:pPr>
      <w:r>
        <w:rPr/>
        <w:drawing>
          <wp:inline distT="0" distB="0" distL="0" distR="0">
            <wp:extent cx="6120130" cy="29381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11" w:name="_Toc224714670"/>
      <w:r>
        <w:rPr>
          <w:rFonts w:cs="Calibri" w:ascii="Calibri" w:hAnsi="Calibri" w:asciiTheme="minorHAnsi" w:cstheme="minorHAnsi" w:hAnsiTheme="minorHAnsi"/>
          <w:color w:val="auto"/>
        </w:rPr>
        <w:t>Архитектура системы</w:t>
      </w:r>
      <w:bookmarkEnd w:id="11"/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12" w:name="_Toc224714671"/>
      <w:r>
        <w:rPr>
          <w:rFonts w:cs="Calibri" w:ascii="Calibri" w:hAnsi="Calibri" w:asciiTheme="minorHAnsi" w:cstheme="minorHAnsi" w:hAnsiTheme="minorHAnsi"/>
          <w:color w:val="auto"/>
        </w:rPr>
        <w:t>Диаграмма классов</w:t>
      </w:r>
      <w:bookmarkEnd w:id="12"/>
    </w:p>
    <w:p>
      <w:pPr>
        <w:pStyle w:val="Normal"/>
        <w:rPr/>
      </w:pPr>
      <w:r>
        <w:rPr/>
        <w:drawing>
          <wp:inline distT="0" distB="0" distL="0" distR="0">
            <wp:extent cx="6120130" cy="3199765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13" w:name="_Toc224714672"/>
      <w:r>
        <w:rPr>
          <w:rFonts w:cs="Calibri" w:ascii="Calibri" w:hAnsi="Calibri" w:asciiTheme="minorHAnsi" w:cstheme="minorHAnsi" w:hAnsiTheme="minorHAnsi"/>
          <w:color w:val="auto"/>
        </w:rPr>
        <w:t>Блок-схема взаимодействия компонентов</w:t>
      </w:r>
      <w:bookmarkEnd w:id="13"/>
    </w:p>
    <w:p>
      <w:pPr>
        <w:pStyle w:val="Normal"/>
        <w:rPr/>
      </w:pPr>
      <w:r>
        <w:rPr/>
        <w:drawing>
          <wp:inline distT="0" distB="0" distL="0" distR="0">
            <wp:extent cx="3771900" cy="3531870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53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>
          <w:rFonts w:ascii="Calibri" w:hAnsi="Calibri" w:cs="Calibri" w:asciiTheme="minorHAnsi" w:cstheme="minorHAnsi" w:hAnsiTheme="minorHAnsi"/>
          <w:color w:val="auto"/>
        </w:rPr>
      </w:pPr>
      <w:bookmarkStart w:id="14" w:name="_Toc224714673"/>
      <w:r>
        <w:rPr>
          <w:rFonts w:cs="Calibri" w:ascii="Calibri" w:hAnsi="Calibri" w:asciiTheme="minorHAnsi" w:cstheme="minorHAnsi" w:hAnsiTheme="minorHAnsi"/>
          <w:color w:val="auto"/>
        </w:rPr>
        <w:t>Описание компонентов</w:t>
      </w:r>
      <w:bookmarkEnd w:id="14"/>
    </w:p>
    <w:p>
      <w:pPr>
        <w:pStyle w:val="ListParagraph"/>
        <w:numPr>
          <w:ilvl w:val="0"/>
          <w:numId w:val="6"/>
        </w:numPr>
        <w:rPr/>
      </w:pPr>
      <w:r>
        <w:rPr/>
        <w:t>Модуль ввода - консольный интерфейс, через который пользователь задаёт исходные требования.</w:t>
      </w:r>
    </w:p>
    <w:p>
      <w:pPr>
        <w:pStyle w:val="ListParagraph"/>
        <w:numPr>
          <w:ilvl w:val="0"/>
          <w:numId w:val="6"/>
        </w:numPr>
        <w:rPr/>
      </w:pPr>
      <w:r>
        <w:rPr/>
        <w:t>База фактов - рабочая область, предназначенная для хранения входных, промежуточных и итоговых фактов.</w:t>
      </w:r>
    </w:p>
    <w:p>
      <w:pPr>
        <w:pStyle w:val="ListParagraph"/>
        <w:numPr>
          <w:ilvl w:val="0"/>
          <w:numId w:val="6"/>
        </w:numPr>
        <w:rPr/>
      </w:pPr>
      <w:r>
        <w:rPr/>
        <w:t>База знаний - совокупность онтологических сущностей и правил, реализованных в коде с использованием декораторов Experta.</w:t>
      </w:r>
    </w:p>
    <w:p>
      <w:pPr>
        <w:pStyle w:val="ListParagraph"/>
        <w:numPr>
          <w:ilvl w:val="0"/>
          <w:numId w:val="6"/>
        </w:numPr>
        <w:rPr/>
      </w:pPr>
      <w:r>
        <w:rPr/>
        <w:t>Машина вывода - механизм прямого логического вывода, применяющий правила библиотеки Experta.</w:t>
      </w:r>
    </w:p>
    <w:p>
      <w:pPr>
        <w:pStyle w:val="ListParagraph"/>
        <w:numPr>
          <w:ilvl w:val="0"/>
          <w:numId w:val="6"/>
        </w:numPr>
        <w:rPr/>
      </w:pPr>
      <w:r>
        <w:rPr/>
        <w:t>Модуль объяснения - компонент, фиксирующий названия активированных правил и отображающий их пользователю.</w:t>
      </w:r>
    </w:p>
    <w:p>
      <w:pPr>
        <w:pStyle w:val="Heading1"/>
        <w:rPr>
          <w:rFonts w:ascii="Calibri" w:hAnsi="Calibri" w:cs="Calibri" w:asciiTheme="minorHAnsi" w:cstheme="minorHAnsi" w:hAnsiTheme="minorHAnsi"/>
          <w:color w:val="auto"/>
        </w:rPr>
      </w:pPr>
      <w:bookmarkStart w:id="15" w:name="_Toc224714674"/>
      <w:r>
        <w:rPr>
          <w:rFonts w:cs="Calibri" w:ascii="Calibri" w:hAnsi="Calibri" w:asciiTheme="minorHAnsi" w:cstheme="minorHAnsi" w:hAnsiTheme="minorHAnsi"/>
          <w:color w:val="auto"/>
        </w:rPr>
        <w:t>Скриншоты результатов работы прототипа</w:t>
      </w:r>
      <w:bookmarkEnd w:id="15"/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63aa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63aa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b63aa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63aab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b63aa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63aab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Style11" w:customStyle="1">
    <w:name w:val="Диплом Знак"/>
    <w:basedOn w:val="DefaultParagraphFont"/>
    <w:link w:val="Style12"/>
    <w:qFormat/>
    <w:rsid w:val="006e2179"/>
    <w:rPr>
      <w:rFonts w:ascii="Times New Roman" w:hAnsi="Times New Roman" w:cs="Times New Roman"/>
      <w:sz w:val="26"/>
      <w:szCs w:val="28"/>
    </w:rPr>
  </w:style>
  <w:style w:type="character" w:styleId="Hyperlink">
    <w:name w:val="Hyperlink"/>
    <w:basedOn w:val="DefaultParagraphFont"/>
    <w:uiPriority w:val="99"/>
    <w:unhideWhenUsed/>
    <w:rsid w:val="006e2179"/>
    <w:rPr>
      <w:color w:themeColor="hyperlink"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63aab"/>
    <w:pPr>
      <w:spacing w:before="0" w:after="160"/>
      <w:ind w:start="720"/>
      <w:contextualSpacing/>
    </w:pPr>
    <w:rPr/>
  </w:style>
  <w:style w:type="paragraph" w:styleId="Style12" w:customStyle="1">
    <w:name w:val="Диплом"/>
    <w:basedOn w:val="NoSpacing"/>
    <w:link w:val="Style11"/>
    <w:qFormat/>
    <w:rsid w:val="006e2179"/>
    <w:pPr>
      <w:spacing w:lineRule="auto" w:line="360"/>
      <w:ind w:firstLine="709"/>
      <w:jc w:val="both"/>
    </w:pPr>
    <w:rPr>
      <w:rFonts w:ascii="Times New Roman" w:hAnsi="Times New Roman" w:cs="Times New Roman"/>
      <w:sz w:val="26"/>
      <w:szCs w:val="28"/>
    </w:rPr>
  </w:style>
  <w:style w:type="paragraph" w:styleId="Default" w:customStyle="1">
    <w:name w:val="Default"/>
    <w:qFormat/>
    <w:rsid w:val="006e2179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NoSpacing">
    <w:name w:val="No Spacing"/>
    <w:uiPriority w:val="1"/>
    <w:qFormat/>
    <w:rsid w:val="006e2179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e2179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6e2179"/>
    <w:pPr>
      <w:spacing w:lineRule="auto" w:line="240" w:before="0" w:after="100"/>
      <w:ind w:firstLine="567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6e2179"/>
    <w:pPr>
      <w:spacing w:lineRule="auto" w:line="240" w:before="0" w:after="100"/>
      <w:ind w:firstLine="567" w:start="240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LibreOffice/26.2.3.2$Linux_X86_64 LibreOffice_project/ca14918b0fa569b9db704e10d20c5d2a5a16ac6d</Application>
  <AppVersion>15.0000</AppVersion>
  <Pages>8</Pages>
  <Words>597</Words>
  <Characters>4376</Characters>
  <CharactersWithSpaces>4860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2025-12-12T04:42:00Z</dcterms:created>
  <dc:creator>Urist</dc:creator>
  <dc:description/>
  <cp:keywords>экспертная система подбор комплектующих отчёт</cp:keywords>
  <dc:language>ru-RU</dc:language>
  <cp:lastModifiedBy/>
  <dcterms:modified xsi:type="dcterms:W3CDTF">2026-05-18T01:34:29Z</dcterms:modified>
  <cp:revision>10</cp:revision>
  <dc:subject>Интеллектуальные системы</dc:subject>
  <dc:title>Перефразированный отчёт по практическому занятию № 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