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W w:w="9632" w:type="dxa"/>
        <w:jc w:val="center"/>
        <w:tblInd w:w="0" w:type="dxa"/>
        <w:tblLayout w:type="fixed"/>
        <w:tblCellMar>
          <w:top w:w="0" w:type="dxa"/>
          <w:start w:w="120" w:type="dxa"/>
          <w:bottom w:w="0" w:type="dxa"/>
          <w:end w:w="120" w:type="dxa"/>
        </w:tblCellMar>
        <w:tblLook w:noHBand="0" w:noVBand="0" w:firstColumn="0" w:lastRow="0" w:lastColumn="0" w:firstRow="0" w:val="0000"/>
      </w:tblPr>
      <w:tblGrid>
        <w:gridCol w:w="4958"/>
        <w:gridCol w:w="7"/>
        <w:gridCol w:w="4667"/>
      </w:tblGrid>
      <w:tr>
        <w:trPr>
          <w:trHeight w:val="842" w:hRule="atLeast"/>
        </w:trPr>
        <w:tc>
          <w:tcPr>
            <w:tcW w:w="9632" w:type="dxa"/>
            <w:gridSpan w:val="3"/>
            <w:tcBorders/>
            <w:vAlign w:val="center"/>
          </w:tcPr>
          <w:p>
            <w:pPr>
              <w:pStyle w:val="Normal"/>
              <w:ind w:end="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Министерство науки и высшего образования РФ</w:t>
            </w:r>
            <w:bookmarkStart w:id="0" w:name="_GoBack"/>
            <w:bookmarkEnd w:id="0"/>
          </w:p>
          <w:p>
            <w:pPr>
              <w:pStyle w:val="Normal"/>
              <w:ind w:end="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Федеральное государственное автономное образовательное учреждение</w:t>
            </w:r>
          </w:p>
          <w:p>
            <w:pPr>
              <w:pStyle w:val="Normal"/>
              <w:ind w:end="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высшего образования</w:t>
            </w:r>
          </w:p>
          <w:p>
            <w:pPr>
              <w:pStyle w:val="Normal"/>
              <w:ind w:end="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«Пермский государственный национальный исследовательский университет»</w:t>
            </w:r>
          </w:p>
          <w:p>
            <w:pPr>
              <w:pStyle w:val="Normal"/>
              <w:ind w:end="28"/>
              <w:jc w:val="en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spacing w:before="0" w:after="160"/>
              <w:ind w:end="28"/>
              <w:jc w:val="en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 компьютерных наук и технологий</w:t>
            </w:r>
          </w:p>
        </w:tc>
      </w:tr>
      <w:tr>
        <w:trPr>
          <w:trHeight w:val="1462" w:hRule="atLeast"/>
        </w:trPr>
        <w:tc>
          <w:tcPr>
            <w:tcW w:w="9632" w:type="dxa"/>
            <w:gridSpan w:val="3"/>
            <w:tcBorders/>
            <w:vAlign w:val="center"/>
          </w:tcPr>
          <w:p>
            <w:pPr>
              <w:pStyle w:val="Normal"/>
              <w:spacing w:before="0" w:after="160"/>
              <w:ind w:end="2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9632" w:type="dxa"/>
            <w:gridSpan w:val="3"/>
            <w:tcBorders/>
          </w:tcPr>
          <w:p>
            <w:pPr>
              <w:pStyle w:val="Normal"/>
              <w:spacing w:before="0" w:after="160"/>
              <w:ind w:end="2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УДК 02</w:t>
            </w:r>
          </w:p>
        </w:tc>
      </w:tr>
      <w:tr>
        <w:trPr>
          <w:trHeight w:val="2248" w:hRule="atLeast"/>
        </w:trPr>
        <w:tc>
          <w:tcPr>
            <w:tcW w:w="9632" w:type="dxa"/>
            <w:gridSpan w:val="3"/>
            <w:tcBorders/>
            <w:vAlign w:val="center"/>
          </w:tcPr>
          <w:p>
            <w:pPr>
              <w:pStyle w:val="Normal"/>
              <w:ind w:end="28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</w:r>
          </w:p>
          <w:p>
            <w:pPr>
              <w:pStyle w:val="Normal"/>
              <w:ind w:end="28"/>
              <w:jc w:val="center"/>
              <w:rPr>
                <w:color w:val="A6A6A6"/>
                <w:sz w:val="28"/>
                <w:szCs w:val="28"/>
              </w:rPr>
            </w:pPr>
            <w:r>
              <w:rPr/>
              <w:t>«</w:t>
            </w:r>
            <w:r>
              <w:rPr>
                <w:color w:val="000000"/>
                <w:sz w:val="28"/>
                <w:szCs w:val="28"/>
              </w:rPr>
              <w:t>Система подбора компьютерных комплектующих</w:t>
            </w:r>
            <w:r>
              <w:rPr/>
              <w:t>»</w:t>
            </w:r>
          </w:p>
          <w:p>
            <w:pPr>
              <w:pStyle w:val="Default"/>
              <w:jc w:val="center"/>
              <w:rPr/>
            </w:pPr>
            <w:r>
              <w:rPr/>
              <w:t xml:space="preserve">Отчет по дисциплине «Интеллектуальные системы» </w:t>
            </w:r>
          </w:p>
          <w:p>
            <w:pPr>
              <w:pStyle w:val="Normal"/>
              <w:spacing w:before="0" w:after="160"/>
              <w:ind w:end="-124"/>
              <w:jc w:val="center"/>
              <w:rPr>
                <w:sz w:val="26"/>
                <w:szCs w:val="26"/>
              </w:rPr>
            </w:pPr>
            <w:r>
              <w:rPr/>
              <w:t>направление 09.03.01 – Фундаментальная информатика и информационные технологии</w:t>
            </w:r>
          </w:p>
        </w:tc>
      </w:tr>
      <w:tr>
        <w:trPr>
          <w:trHeight w:val="3286" w:hRule="atLeast"/>
        </w:trPr>
        <w:tc>
          <w:tcPr>
            <w:tcW w:w="4958" w:type="dxa"/>
            <w:tcBorders/>
            <w:vAlign w:val="bottom"/>
          </w:tcPr>
          <w:p>
            <w:pPr>
              <w:pStyle w:val="Normal"/>
              <w:spacing w:before="0" w:after="160"/>
              <w:ind w:end="30"/>
              <w:rPr/>
            </w:pPr>
            <w:r>
              <w:rPr/>
            </w:r>
          </w:p>
        </w:tc>
        <w:tc>
          <w:tcPr>
            <w:tcW w:w="4674" w:type="dxa"/>
            <w:gridSpan w:val="2"/>
            <w:tcBorders/>
          </w:tcPr>
          <w:p>
            <w:pPr>
              <w:pStyle w:val="Normal"/>
              <w:ind w:firstLine="18" w:end="28"/>
              <w:rPr/>
            </w:pPr>
            <w:r>
              <w:rPr/>
            </w:r>
          </w:p>
          <w:p>
            <w:pPr>
              <w:pStyle w:val="Normal"/>
              <w:ind w:firstLine="18" w:end="28"/>
              <w:rPr/>
            </w:pPr>
            <w:r>
              <w:rPr/>
              <w:t xml:space="preserve">Работу выполнили студенты </w:t>
              <w:br/>
              <w:t>группы ИТ-</w:t>
            </w:r>
            <w:r>
              <w:rPr/>
              <w:t>15-16-</w:t>
            </w:r>
            <w:r>
              <w:rPr/>
              <w:t xml:space="preserve">2023 </w:t>
            </w:r>
          </w:p>
          <w:p>
            <w:pPr>
              <w:pStyle w:val="Normal"/>
              <w:ind w:firstLine="18" w:end="28"/>
              <w:rPr/>
            </w:pPr>
            <w:r>
              <w:rPr/>
              <w:t>Торгашинов Андрей</w:t>
            </w:r>
          </w:p>
          <w:p>
            <w:pPr>
              <w:pStyle w:val="Normal"/>
              <w:ind w:firstLine="18" w:end="28"/>
              <w:rPr/>
            </w:pPr>
            <w:r>
              <w:rPr/>
              <w:t>Александров Павел</w:t>
            </w:r>
          </w:p>
          <w:p>
            <w:pPr>
              <w:pStyle w:val="Normal"/>
              <w:ind w:firstLine="18" w:end="28"/>
              <w:rPr/>
            </w:pPr>
            <w:r>
              <w:rPr/>
              <w:t>Руководитель:</w:t>
            </w:r>
          </w:p>
          <w:p>
            <w:pPr>
              <w:pStyle w:val="Normal"/>
              <w:spacing w:before="0" w:after="160"/>
              <w:ind w:firstLine="18" w:end="28"/>
              <w:rPr/>
            </w:pPr>
            <w:r>
              <w:rPr>
                <w:color w:val="000000"/>
              </w:rPr>
              <w:t>Колодкина Марья Владимировна</w:t>
            </w:r>
          </w:p>
        </w:tc>
      </w:tr>
      <w:tr>
        <w:trPr>
          <w:trHeight w:val="2087" w:hRule="atLeast"/>
          <w:cantSplit/>
        </w:trPr>
        <w:tc>
          <w:tcPr>
            <w:tcW w:w="4965" w:type="dxa"/>
            <w:gridSpan w:val="2"/>
            <w:tcBorders/>
            <w:vAlign w:val="bottom"/>
          </w:tcPr>
          <w:p>
            <w:pPr>
              <w:pStyle w:val="Normal"/>
              <w:spacing w:before="0" w:after="160"/>
              <w:ind w:end="30"/>
              <w:rPr/>
            </w:pPr>
            <w:r>
              <w:rPr/>
            </w:r>
          </w:p>
        </w:tc>
        <w:tc>
          <w:tcPr>
            <w:tcW w:w="4667" w:type="dxa"/>
            <w:tcBorders/>
            <w:vAlign w:val="bottom"/>
          </w:tcPr>
          <w:p>
            <w:pPr>
              <w:pStyle w:val="Normal"/>
              <w:rPr>
                <w:rStyle w:val="Style11"/>
              </w:rPr>
            </w:pPr>
            <w:r>
              <w:rPr/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635" w:hRule="atLeast"/>
          <w:cantSplit/>
        </w:trPr>
        <w:tc>
          <w:tcPr>
            <w:tcW w:w="9632" w:type="dxa"/>
            <w:gridSpan w:val="3"/>
            <w:tcBorders/>
            <w:vAlign w:val="bottom"/>
          </w:tcPr>
          <w:p>
            <w:pPr>
              <w:pStyle w:val="Normal"/>
              <w:spacing w:lineRule="auto" w:line="216" w:before="90" w:after="45"/>
              <w:ind w:end="30"/>
              <w:jc w:val="center"/>
              <w:rPr/>
            </w:pPr>
            <w:r>
              <w:rPr/>
              <w:t>Пермь 2026</w:t>
            </w:r>
          </w:p>
        </w:tc>
      </w:tr>
    </w:tbl>
    <w:p>
      <w:pPr>
        <w:pStyle w:val="Normal"/>
        <w:jc w:val="center"/>
        <w:rPr>
          <w:b/>
        </w:rPr>
      </w:pPr>
      <w:r>
        <w:rPr>
          <w:b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  <w:webHidden/>
            </w:rPr>
            <w:fldChar w:fldCharType="separate"/>
          </w:r>
          <w:hyperlink w:anchor="_Toc224714659">
            <w:r>
              <w:rPr>
                <w:rStyle w:val="IndexLink"/>
                <w:webHidden/>
              </w:rPr>
              <w:t>Интеллектуальные системы. Практическое занятие № 4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_Toc224714659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24714660">
            <w:r>
              <w:rPr>
                <w:rStyle w:val="IndexLink"/>
                <w:rFonts w:cs="Calibri" w:cstheme="minorHAnsi"/>
                <w:webHidden/>
              </w:rPr>
              <w:t>Цели 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_Toc224714660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24714661">
            <w:r>
              <w:rPr>
                <w:rStyle w:val="IndexLink"/>
                <w:rFonts w:cs="Calibri" w:cstheme="minorHAnsi"/>
                <w:webHidden/>
              </w:rPr>
              <w:t>Целевая Аудитория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_Toc224714661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24714662">
            <w:r>
              <w:rPr>
                <w:rStyle w:val="IndexLink"/>
                <w:rFonts w:cs="Calibri" w:cstheme="minorHAnsi"/>
                <w:webHidden/>
              </w:rPr>
              <w:t>Предметная область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_Toc224714662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24714663">
            <w:r>
              <w:rPr>
                <w:rStyle w:val="IndexLink"/>
                <w:rFonts w:cs="Calibri" w:cstheme="minorHAnsi"/>
                <w:webHidden/>
              </w:rPr>
              <w:t>Основные функции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_Toc224714663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24714664">
            <w:r>
              <w:rPr>
                <w:rStyle w:val="IndexLink"/>
                <w:rFonts w:cs="Calibri" w:cstheme="minorHAnsi"/>
                <w:webHidden/>
              </w:rPr>
              <w:t>Дерево решений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_Toc224714664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24714665">
            <w:r>
              <w:rPr>
                <w:rStyle w:val="IndexLink"/>
                <w:rFonts w:cs="Calibri" w:cstheme="minorHAnsi"/>
                <w:webHidden/>
              </w:rPr>
              <w:t>Ограничения 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_Toc224714665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24714666">
            <w:r>
              <w:rPr>
                <w:rStyle w:val="IndexLink"/>
                <w:rFonts w:cs="Calibri" w:cstheme="minorHAnsi"/>
                <w:webHidden/>
              </w:rPr>
              <w:t>Критерии успеха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_Toc224714666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24714667">
            <w:r>
              <w:rPr>
                <w:rStyle w:val="IndexLink"/>
                <w:rFonts w:cs="Calibri" w:cstheme="minorHAnsi"/>
                <w:webHidden/>
              </w:rPr>
              <w:t>База знаний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_Toc224714667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24714668">
            <w:r>
              <w:rPr>
                <w:rStyle w:val="IndexLink"/>
                <w:rFonts w:cs="Calibri" w:cstheme="minorHAnsi"/>
                <w:webHidden/>
              </w:rPr>
              <w:t>Онтология предметной области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_Toc224714668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24714669">
            <w:r>
              <w:rPr>
                <w:rStyle w:val="IndexLink"/>
                <w:rFonts w:cs="Calibri" w:cstheme="minorHAnsi"/>
                <w:webHidden/>
              </w:rPr>
              <w:t>База правил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_Toc224714669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24714670">
            <w:r>
              <w:rPr>
                <w:rStyle w:val="IndexLink"/>
                <w:rFonts w:cs="Calibri" w:cstheme="minorHAnsi"/>
                <w:webHidden/>
              </w:rPr>
              <w:t>Архитектура 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_Toc224714670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24714671">
            <w:r>
              <w:rPr>
                <w:rStyle w:val="IndexLink"/>
                <w:rFonts w:cs="Calibri" w:cstheme="minorHAnsi"/>
                <w:webHidden/>
              </w:rPr>
              <w:t>Диаграмма классов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_Toc224714671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24714672">
            <w:r>
              <w:rPr>
                <w:rStyle w:val="IndexLink"/>
                <w:rFonts w:cs="Calibri" w:cstheme="minorHAnsi"/>
                <w:webHidden/>
              </w:rPr>
              <w:t>Блок-схема взаимодействия компонентов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_Toc224714672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24714673">
            <w:r>
              <w:rPr>
                <w:rStyle w:val="IndexLink"/>
                <w:rFonts w:cs="Calibri" w:cstheme="minorHAnsi"/>
                <w:webHidden/>
              </w:rPr>
              <w:t>Описание компонентов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_Toc224714673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24714674">
            <w:r>
              <w:rPr>
                <w:rStyle w:val="IndexLink"/>
                <w:rFonts w:cs="Calibri" w:cstheme="minorHAnsi"/>
                <w:webHidden/>
              </w:rPr>
              <w:t>Скриншоты результатов работы прототипа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_Toc224714674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  <w:vanish w:val="false"/>
            </w:rPr>
            <w:fldChar w:fldCharType="end"/>
          </w:r>
        </w:p>
      </w:sdtContent>
    </w:sdt>
    <w:p>
      <w:pPr>
        <w:pStyle w:val="Normal"/>
        <w:spacing w:before="0" w:after="40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40"/>
        <w:rPr>
          <w:b/>
          <w:bCs/>
        </w:rPr>
      </w:pPr>
      <w:r>
        <w:rPr>
          <w:b/>
          <w:bCs/>
        </w:rPr>
      </w:r>
    </w:p>
    <w:p>
      <w:pPr>
        <w:pStyle w:val="Heading1"/>
        <w:rPr>
          <w:rFonts w:ascii="Calibri" w:hAnsi="Calibri" w:cs="Calibri" w:asciiTheme="minorHAnsi" w:cstheme="minorHAnsi" w:hAnsiTheme="minorHAnsi"/>
          <w:color w:val="auto"/>
        </w:rPr>
      </w:pPr>
      <w:bookmarkStart w:id="1" w:name="_Toc224714660"/>
      <w:r>
        <w:rPr>
          <w:rFonts w:cs="Calibri" w:ascii="Calibri" w:hAnsi="Calibri" w:asciiTheme="minorHAnsi" w:cstheme="minorHAnsi" w:hAnsiTheme="minorHAnsi"/>
          <w:color w:val="auto"/>
        </w:rPr>
        <w:t>Цели системы</w:t>
      </w:r>
      <w:bookmarkEnd w:id="1"/>
    </w:p>
    <w:p>
      <w:pPr>
        <w:pStyle w:val="Normal"/>
        <w:rPr/>
      </w:pPr>
      <w:r>
        <w:rPr/>
        <w:t xml:space="preserve">Основная цель: </w:t>
      </w:r>
    </w:p>
    <w:p>
      <w:pPr>
        <w:pStyle w:val="Normal"/>
        <w:ind w:firstLine="708"/>
        <w:rPr/>
      </w:pPr>
      <w:r>
        <w:rPr/>
        <w:t>автоматизация подбора совместимых компонентов для настольного ПК на основе требований пользователя (бюджет, назначение, предпочтения).</w:t>
      </w:r>
    </w:p>
    <w:p>
      <w:pPr>
        <w:pStyle w:val="Normal"/>
        <w:rPr/>
      </w:pPr>
      <w:r>
        <w:rPr/>
        <w:t>Дополнительные цели:</w:t>
      </w:r>
    </w:p>
    <w:p>
      <w:pPr>
        <w:pStyle w:val="Normal"/>
        <w:ind w:firstLine="708"/>
        <w:rPr/>
      </w:pPr>
      <w:r>
        <w:rPr/>
        <w:t>обеспечение логической проверки совместимости (сокет CPU и материнской платы, мощность блока питания);</w:t>
      </w:r>
    </w:p>
    <w:p>
      <w:pPr>
        <w:pStyle w:val="Normal"/>
        <w:ind w:firstLine="708"/>
        <w:rPr/>
      </w:pPr>
      <w:r>
        <w:rPr/>
        <w:t>предоставление рекомендаций по выбору процессора и видеокарты под заданные задачи (игры, офис);</w:t>
      </w:r>
    </w:p>
    <w:p>
      <w:pPr>
        <w:pStyle w:val="Normal"/>
        <w:ind w:firstLine="708"/>
        <w:rPr/>
      </w:pPr>
      <w:r>
        <w:rPr/>
        <w:t>формирование итогового заключения о корректности сборки с указанием сработавших правил (объяснение).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ind w:firstLine="708"/>
        <w:rPr/>
      </w:pPr>
      <w:r>
        <w:rPr/>
      </w:r>
    </w:p>
    <w:p>
      <w:pPr>
        <w:pStyle w:val="Normal"/>
        <w:rPr>
          <w:rFonts w:cs="Calibri" w:cstheme="minorHAnsi"/>
        </w:rPr>
      </w:pPr>
      <w:bookmarkStart w:id="2" w:name="_Toc224714661"/>
      <w:r>
        <w:rPr>
          <w:rStyle w:val="1"/>
          <w:rFonts w:cs="Calibri" w:cstheme="minorHAnsi"/>
          <w:color w:val="auto"/>
        </w:rPr>
        <w:t>Целевая Аудитория</w:t>
      </w:r>
      <w:bookmarkEnd w:id="2"/>
    </w:p>
    <w:p>
      <w:pPr>
        <w:pStyle w:val="Normal"/>
        <w:rPr/>
      </w:pPr>
      <w:r>
        <w:rPr/>
        <w:t>Основные пользователи:</w:t>
      </w:r>
    </w:p>
    <w:p>
      <w:pPr>
        <w:pStyle w:val="Normal"/>
        <w:rPr/>
      </w:pPr>
      <w:r>
        <w:rPr/>
        <w:tab/>
        <w:t>начинающие и опытные пользователи, собирающие ПК самостоятельно;</w:t>
      </w:r>
    </w:p>
    <w:p>
      <w:pPr>
        <w:pStyle w:val="Normal"/>
        <w:rPr/>
      </w:pPr>
      <w:r>
        <w:rPr/>
        <w:tab/>
        <w:t>школьники и студенты, изучающие аппаратное обеспечение;</w:t>
      </w:r>
    </w:p>
    <w:p>
      <w:pPr>
        <w:pStyle w:val="Normal"/>
        <w:rPr/>
      </w:pPr>
      <w:r>
        <w:rPr/>
        <w:tab/>
        <w:t>консультанты в магазинах компьютерной техники.</w:t>
      </w:r>
    </w:p>
    <w:p>
      <w:pPr>
        <w:pStyle w:val="Normal"/>
        <w:rPr/>
      </w:pPr>
      <w:r>
        <w:rPr/>
        <w:t>Вторичные пользователи:</w:t>
      </w:r>
    </w:p>
    <w:p>
      <w:pPr>
        <w:pStyle w:val="Normal"/>
        <w:rPr/>
      </w:pPr>
      <w:r>
        <w:rPr/>
        <w:tab/>
        <w:t>системные администраторы;</w:t>
      </w:r>
    </w:p>
    <w:p>
      <w:pPr>
        <w:pStyle w:val="Normal"/>
        <w:rPr/>
      </w:pPr>
      <w:r>
        <w:rPr/>
        <w:tab/>
        <w:t>преподаватели курсов по информатике.</w:t>
      </w:r>
    </w:p>
    <w:p>
      <w:pPr>
        <w:pStyle w:val="Heading1"/>
        <w:rPr>
          <w:rFonts w:ascii="Calibri" w:hAnsi="Calibri" w:cs="Calibri" w:asciiTheme="minorHAnsi" w:cstheme="minorHAnsi" w:hAnsiTheme="minorHAnsi"/>
          <w:color w:val="auto"/>
        </w:rPr>
      </w:pPr>
      <w:bookmarkStart w:id="3" w:name="_Toc224714662"/>
      <w:r>
        <w:rPr>
          <w:rFonts w:cs="Calibri" w:ascii="Calibri" w:hAnsi="Calibri" w:asciiTheme="minorHAnsi" w:cstheme="minorHAnsi" w:hAnsiTheme="minorHAnsi"/>
          <w:color w:val="auto"/>
        </w:rPr>
        <w:t>Предметная область</w:t>
      </w:r>
      <w:bookmarkEnd w:id="3"/>
    </w:p>
    <w:p>
      <w:pPr>
        <w:pStyle w:val="Normal"/>
        <w:rPr/>
      </w:pPr>
      <w:r>
        <w:rPr/>
        <w:t>Предметная область — компьютерное железо (hardware), а именно:</w:t>
      </w:r>
    </w:p>
    <w:p>
      <w:pPr>
        <w:pStyle w:val="Normal"/>
        <w:ind w:start="708"/>
        <w:rPr/>
      </w:pPr>
      <w:r>
        <w:rPr/>
        <w:t>процессоры (CPU),</w:t>
      </w:r>
    </w:p>
    <w:p>
      <w:pPr>
        <w:pStyle w:val="Normal"/>
        <w:ind w:start="708"/>
        <w:rPr/>
      </w:pPr>
      <w:r>
        <w:rPr/>
        <w:t>материнские платы (Motherboard),</w:t>
      </w:r>
    </w:p>
    <w:p>
      <w:pPr>
        <w:pStyle w:val="Normal"/>
        <w:ind w:start="708"/>
        <w:rPr/>
      </w:pPr>
      <w:r>
        <w:rPr/>
        <w:t>видеокарты (GPU),</w:t>
      </w:r>
    </w:p>
    <w:p>
      <w:pPr>
        <w:pStyle w:val="Normal"/>
        <w:ind w:start="708"/>
        <w:rPr/>
      </w:pPr>
      <w:r>
        <w:rPr/>
        <w:t>блоки питания (PSU),</w:t>
      </w:r>
    </w:p>
    <w:p>
      <w:pPr>
        <w:pStyle w:val="Normal"/>
        <w:ind w:start="708"/>
        <w:rPr/>
      </w:pPr>
      <w:r>
        <w:rPr/>
        <w:t>их характеристики (сокет, TDP, цена) и взаимосвязи.</w:t>
      </w:r>
    </w:p>
    <w:p>
      <w:pPr>
        <w:pStyle w:val="Heading1"/>
        <w:rPr>
          <w:rFonts w:ascii="Calibri" w:hAnsi="Calibri" w:cs="Calibri" w:asciiTheme="minorHAnsi" w:cstheme="minorHAnsi" w:hAnsiTheme="minorHAnsi"/>
          <w:color w:val="auto"/>
        </w:rPr>
      </w:pPr>
      <w:bookmarkStart w:id="4" w:name="_Toc224714663"/>
      <w:r>
        <w:rPr>
          <w:rFonts w:cs="Calibri" w:ascii="Calibri" w:hAnsi="Calibri" w:asciiTheme="minorHAnsi" w:cstheme="minorHAnsi" w:hAnsiTheme="minorHAnsi"/>
          <w:color w:val="auto"/>
        </w:rPr>
        <w:t>Основные функции</w:t>
      </w:r>
      <w:bookmarkEnd w:id="4"/>
    </w:p>
    <w:p>
      <w:pPr>
        <w:pStyle w:val="ListParagraph"/>
        <w:numPr>
          <w:ilvl w:val="0"/>
          <w:numId w:val="1"/>
        </w:numPr>
        <w:rPr/>
      </w:pPr>
      <w:r>
        <w:rPr/>
        <w:t>Сбор требований пользователя: назначение (игры/офис), общий бюджет, бюджет на видеокарту (для игр), сокет материнской платы, мощность блока питания.</w:t>
      </w:r>
    </w:p>
    <w:p>
      <w:pPr>
        <w:pStyle w:val="ListParagraph"/>
        <w:numPr>
          <w:ilvl w:val="0"/>
          <w:numId w:val="1"/>
        </w:numPr>
        <w:rPr/>
      </w:pPr>
      <w:r>
        <w:rPr/>
        <w:t>Подбор CPU и GPU на основе назначения и бюджета (правила R1, R2, R5 из базы знаний).</w:t>
      </w:r>
    </w:p>
    <w:p>
      <w:pPr>
        <w:pStyle w:val="ListParagraph"/>
        <w:numPr>
          <w:ilvl w:val="0"/>
          <w:numId w:val="1"/>
        </w:numPr>
        <w:rPr/>
      </w:pPr>
      <w:r>
        <w:rPr/>
        <w:t>Проверка совместимости CPU и материнской платы по сокету (правила R3, R4).</w:t>
      </w:r>
    </w:p>
    <w:p>
      <w:pPr>
        <w:pStyle w:val="ListParagraph"/>
        <w:numPr>
          <w:ilvl w:val="0"/>
          <w:numId w:val="1"/>
        </w:numPr>
        <w:rPr/>
      </w:pPr>
      <w:r>
        <w:rPr/>
        <w:t>Расчёт суммарного TDP и проверка достаточности блока питания (правила R6, R7).</w:t>
      </w:r>
    </w:p>
    <w:p>
      <w:pPr>
        <w:pStyle w:val="ListParagraph"/>
        <w:numPr>
          <w:ilvl w:val="0"/>
          <w:numId w:val="1"/>
        </w:numPr>
        <w:rPr/>
      </w:pPr>
      <w:r>
        <w:rPr/>
        <w:t>Формирование итогового вердикта о корректности сборки (правило R_Final).</w:t>
      </w:r>
    </w:p>
    <w:p>
      <w:pPr>
        <w:pStyle w:val="ListParagraph"/>
        <w:numPr>
          <w:ilvl w:val="0"/>
          <w:numId w:val="1"/>
        </w:numPr>
        <w:rPr/>
      </w:pPr>
      <w:r>
        <w:rPr/>
        <w:t>Объяснение вывода: отображение списка сработавших правил.</w:t>
      </w:r>
    </w:p>
    <w:p>
      <w:pPr>
        <w:pStyle w:val="Heading1"/>
        <w:rPr>
          <w:rFonts w:ascii="Calibri" w:hAnsi="Calibri" w:cs="Calibri" w:asciiTheme="minorHAnsi" w:cstheme="minorHAnsi" w:hAnsiTheme="minorHAnsi"/>
          <w:color w:val="auto"/>
        </w:rPr>
      </w:pPr>
      <w:bookmarkStart w:id="5" w:name="_Toc224714664"/>
      <w:r>
        <w:rPr>
          <w:rFonts w:cs="Calibri" w:ascii="Calibri" w:hAnsi="Calibri" w:asciiTheme="minorHAnsi" w:cstheme="minorHAnsi" w:hAnsiTheme="minorHAnsi"/>
          <w:color w:val="auto"/>
        </w:rPr>
        <w:t>Дерево решений</w:t>
      </w:r>
      <w:bookmarkEnd w:id="5"/>
    </w:p>
    <w:p>
      <w:pPr>
        <w:pStyle w:val="Normal"/>
        <w:rPr/>
      </w:pPr>
      <w:r>
        <w:rPr/>
      </w:r>
    </w:p>
    <w:p>
      <w:pPr>
        <w:pStyle w:val="Heading1"/>
        <w:rPr>
          <w:rFonts w:ascii="Calibri" w:hAnsi="Calibri" w:cs="Calibri" w:asciiTheme="minorHAnsi" w:cstheme="minorHAnsi" w:hAnsiTheme="minorHAnsi"/>
          <w:color w:val="auto"/>
        </w:rPr>
      </w:pPr>
      <w:bookmarkStart w:id="6" w:name="_Toc224714665"/>
      <w:r>
        <w:rPr>
          <w:rFonts w:cs="Calibri" w:ascii="Calibri" w:hAnsi="Calibri" w:asciiTheme="minorHAnsi" w:cstheme="minorHAnsi" w:hAnsiTheme="minorHAnsi"/>
          <w:color w:val="auto"/>
        </w:rPr>
        <w:t>Ограничения системы</w:t>
      </w:r>
      <w:bookmarkEnd w:id="6"/>
    </w:p>
    <w:p>
      <w:pPr>
        <w:pStyle w:val="Normal"/>
        <w:rPr/>
      </w:pPr>
      <w:r>
        <w:rPr>
          <w:b/>
        </w:rPr>
        <w:t>Технические</w:t>
      </w:r>
      <w:r>
        <w:rPr/>
        <w:t>:</w:t>
      </w:r>
    </w:p>
    <w:p>
      <w:pPr>
        <w:pStyle w:val="ListParagraph"/>
        <w:numPr>
          <w:ilvl w:val="0"/>
          <w:numId w:val="2"/>
        </w:numPr>
        <w:rPr/>
      </w:pPr>
      <w:r>
        <w:rPr/>
        <w:t>база компонентов ограничена несколькими моделями (для демонстрации);</w:t>
      </w:r>
    </w:p>
    <w:p>
      <w:pPr>
        <w:pStyle w:val="ListParagraph"/>
        <w:numPr>
          <w:ilvl w:val="0"/>
          <w:numId w:val="2"/>
        </w:numPr>
        <w:rPr/>
      </w:pPr>
      <w:r>
        <w:rPr/>
        <w:t>не учитываются оперативная память, накопители, корпус и кулер;</w:t>
      </w:r>
    </w:p>
    <w:p>
      <w:pPr>
        <w:pStyle w:val="ListParagraph"/>
        <w:numPr>
          <w:ilvl w:val="0"/>
          <w:numId w:val="2"/>
        </w:numPr>
        <w:rPr/>
      </w:pPr>
      <w:r>
        <w:rPr/>
        <w:t>проверка совместимости только по сокету (без учёта чипсета и версии BIOS);</w:t>
      </w:r>
    </w:p>
    <w:p>
      <w:pPr>
        <w:pStyle w:val="ListParagraph"/>
        <w:numPr>
          <w:ilvl w:val="0"/>
          <w:numId w:val="2"/>
        </w:numPr>
        <w:rPr/>
      </w:pPr>
      <w:r>
        <w:rPr/>
        <w:t>отсутствует учёт будущего апгрейда.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rPr/>
      </w:pPr>
      <w:r>
        <w:rPr>
          <w:b/>
        </w:rPr>
        <w:t>Содержательные</w:t>
      </w:r>
      <w:r>
        <w:rPr/>
        <w:t>:</w:t>
      </w:r>
    </w:p>
    <w:p>
      <w:pPr>
        <w:pStyle w:val="ListParagraph"/>
        <w:numPr>
          <w:ilvl w:val="0"/>
          <w:numId w:val="3"/>
        </w:numPr>
        <w:rPr/>
      </w:pPr>
      <w:r>
        <w:rPr/>
        <w:t>рекомендации основаны на упрощённых пороговых значениях бюджета;</w:t>
      </w:r>
    </w:p>
    <w:p>
      <w:pPr>
        <w:pStyle w:val="ListParagraph"/>
        <w:numPr>
          <w:ilvl w:val="0"/>
          <w:numId w:val="3"/>
        </w:numPr>
        <w:rPr/>
      </w:pPr>
      <w:r>
        <w:rPr/>
        <w:t>не учитываются альтернативные бренды (например, AMD CPU);</w:t>
      </w:r>
    </w:p>
    <w:p>
      <w:pPr>
        <w:pStyle w:val="ListParagraph"/>
        <w:numPr>
          <w:ilvl w:val="0"/>
          <w:numId w:val="3"/>
        </w:numPr>
        <w:rPr/>
      </w:pPr>
      <w:r>
        <w:rPr/>
        <w:t>цена компонентов фиксирована и не обновляется.</w:t>
      </w:r>
    </w:p>
    <w:p>
      <w:pPr>
        <w:pStyle w:val="Heading1"/>
        <w:rPr>
          <w:rFonts w:ascii="Calibri" w:hAnsi="Calibri" w:cs="Calibri" w:asciiTheme="minorHAnsi" w:cstheme="minorHAnsi" w:hAnsiTheme="minorHAnsi"/>
          <w:color w:val="auto"/>
        </w:rPr>
      </w:pPr>
      <w:bookmarkStart w:id="7" w:name="_Toc224714666"/>
      <w:r>
        <w:rPr>
          <w:rFonts w:cs="Calibri" w:ascii="Calibri" w:hAnsi="Calibri" w:asciiTheme="minorHAnsi" w:cstheme="minorHAnsi" w:hAnsiTheme="minorHAnsi"/>
          <w:color w:val="auto"/>
        </w:rPr>
        <w:t>Критерии успеха</w:t>
      </w:r>
      <w:bookmarkEnd w:id="7"/>
    </w:p>
    <w:p>
      <w:pPr>
        <w:pStyle w:val="ListParagraph"/>
        <w:numPr>
          <w:ilvl w:val="0"/>
          <w:numId w:val="4"/>
        </w:numPr>
        <w:rPr/>
      </w:pPr>
      <w:r>
        <w:rPr/>
        <w:t>Полнота покрытия сценариев: система должна давать осмысленный результат для игровой и офисной сборки.</w:t>
      </w:r>
    </w:p>
    <w:p>
      <w:pPr>
        <w:pStyle w:val="ListParagraph"/>
        <w:numPr>
          <w:ilvl w:val="0"/>
          <w:numId w:val="4"/>
        </w:numPr>
        <w:rPr/>
      </w:pPr>
      <w:r>
        <w:rPr/>
        <w:t>Корректность логики: при совместимых компонентах и достаточном БП выводится "Сборка корректна", иначе — рекомендация замены.</w:t>
      </w:r>
    </w:p>
    <w:p>
      <w:pPr>
        <w:pStyle w:val="ListParagraph"/>
        <w:numPr>
          <w:ilvl w:val="0"/>
          <w:numId w:val="4"/>
        </w:numPr>
        <w:rPr/>
      </w:pPr>
      <w:r>
        <w:rPr/>
        <w:t>Объяснимость: пользователь видит, какие правила сработали.</w:t>
      </w:r>
    </w:p>
    <w:p>
      <w:pPr>
        <w:pStyle w:val="ListParagraph"/>
        <w:numPr>
          <w:ilvl w:val="0"/>
          <w:numId w:val="4"/>
        </w:numPr>
        <w:rPr/>
      </w:pPr>
      <w:r>
        <w:rPr/>
        <w:t>Удовлетворённость пользователя (при тестировании) — не менее 80% положительных отзывов.</w:t>
      </w:r>
    </w:p>
    <w:p>
      <w:pPr>
        <w:pStyle w:val="Heading1"/>
        <w:rPr>
          <w:rFonts w:ascii="Calibri" w:hAnsi="Calibri" w:cs="Calibri" w:asciiTheme="minorHAnsi" w:cstheme="minorHAnsi" w:hAnsiTheme="minorHAnsi"/>
          <w:color w:val="auto"/>
        </w:rPr>
      </w:pPr>
      <w:bookmarkStart w:id="8" w:name="_Toc224714667"/>
      <w:r>
        <w:rPr>
          <w:rFonts w:cs="Calibri" w:ascii="Calibri" w:hAnsi="Calibri" w:asciiTheme="minorHAnsi" w:cstheme="minorHAnsi" w:hAnsiTheme="minorHAnsi"/>
          <w:color w:val="auto"/>
        </w:rPr>
        <w:t>База знаний</w:t>
      </w:r>
      <w:bookmarkEnd w:id="8"/>
    </w:p>
    <w:p>
      <w:pPr>
        <w:pStyle w:val="Heading2"/>
        <w:rPr>
          <w:rFonts w:ascii="Calibri" w:hAnsi="Calibri" w:cs="Calibri" w:asciiTheme="minorHAnsi" w:cstheme="minorHAnsi" w:hAnsiTheme="minorHAnsi"/>
          <w:color w:val="auto"/>
        </w:rPr>
      </w:pPr>
      <w:bookmarkStart w:id="9" w:name="_Toc224714668"/>
      <w:r>
        <w:rPr>
          <w:rFonts w:cs="Calibri" w:ascii="Calibri" w:hAnsi="Calibri" w:asciiTheme="minorHAnsi" w:cstheme="minorHAnsi" w:hAnsiTheme="minorHAnsi"/>
          <w:color w:val="auto"/>
        </w:rPr>
        <w:t>Онтология предметной области</w:t>
      </w:r>
      <w:bookmarkEnd w:id="9"/>
    </w:p>
    <w:p>
      <w:pPr>
        <w:pStyle w:val="Normal"/>
        <w:rPr/>
      </w:pPr>
      <w:r>
        <w:rPr/>
        <w:t>Основные классы и отношения представлены в виде диаграммы классов и включают:</w:t>
      </w:r>
    </w:p>
    <w:p>
      <w:pPr>
        <w:pStyle w:val="ListParagraph"/>
        <w:numPr>
          <w:ilvl w:val="0"/>
          <w:numId w:val="5"/>
        </w:numPr>
        <w:rPr/>
      </w:pPr>
      <w:r>
        <w:rPr/>
        <w:t>Комплектующее (CPU, GPU, Motherboard, PSU)</w:t>
      </w:r>
    </w:p>
    <w:p>
      <w:pPr>
        <w:pStyle w:val="ListParagraph"/>
        <w:numPr>
          <w:ilvl w:val="0"/>
          <w:numId w:val="5"/>
        </w:numPr>
        <w:rPr/>
      </w:pPr>
      <w:r>
        <w:rPr/>
        <w:t>Сборка</w:t>
      </w:r>
    </w:p>
    <w:p>
      <w:pPr>
        <w:pStyle w:val="ListParagraph"/>
        <w:numPr>
          <w:ilvl w:val="0"/>
          <w:numId w:val="5"/>
        </w:numPr>
        <w:rPr/>
      </w:pPr>
      <w:r>
        <w:rPr/>
        <w:t>Требования пользователя</w:t>
      </w:r>
    </w:p>
    <w:p>
      <w:pPr>
        <w:pStyle w:val="Heading2"/>
        <w:rPr>
          <w:rFonts w:ascii="Calibri" w:hAnsi="Calibri" w:cs="Calibri" w:asciiTheme="minorHAnsi" w:cstheme="minorHAnsi" w:hAnsiTheme="minorHAnsi"/>
          <w:color w:val="auto"/>
        </w:rPr>
      </w:pPr>
      <w:bookmarkStart w:id="10" w:name="_Toc224714669"/>
      <w:r>
        <w:rPr>
          <w:rFonts w:cs="Calibri" w:ascii="Calibri" w:hAnsi="Calibri" w:asciiTheme="minorHAnsi" w:cstheme="minorHAnsi" w:hAnsiTheme="minorHAnsi"/>
          <w:color w:val="auto"/>
        </w:rPr>
        <w:t>База правил</w:t>
      </w:r>
      <w:bookmarkEnd w:id="10"/>
    </w:p>
    <w:p>
      <w:pPr>
        <w:pStyle w:val="Normal"/>
        <w:rPr/>
      </w:pPr>
      <w:r>
        <w:rPr/>
        <w:drawing>
          <wp:inline distT="0" distB="0" distL="0" distR="0">
            <wp:extent cx="6120130" cy="29381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38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>
          <w:rFonts w:ascii="Calibri" w:hAnsi="Calibri" w:cs="Calibri" w:asciiTheme="minorHAnsi" w:cstheme="minorHAnsi" w:hAnsiTheme="minorHAnsi"/>
          <w:color w:val="auto"/>
        </w:rPr>
      </w:pPr>
      <w:bookmarkStart w:id="11" w:name="_Toc224714670"/>
      <w:r>
        <w:rPr>
          <w:rFonts w:cs="Calibri" w:ascii="Calibri" w:hAnsi="Calibri" w:asciiTheme="minorHAnsi" w:cstheme="minorHAnsi" w:hAnsiTheme="minorHAnsi"/>
          <w:color w:val="auto"/>
        </w:rPr>
        <w:t>Архитектура системы</w:t>
      </w:r>
      <w:bookmarkEnd w:id="11"/>
    </w:p>
    <w:p>
      <w:pPr>
        <w:pStyle w:val="Heading2"/>
        <w:rPr>
          <w:rFonts w:ascii="Calibri" w:hAnsi="Calibri" w:cs="Calibri" w:asciiTheme="minorHAnsi" w:cstheme="minorHAnsi" w:hAnsiTheme="minorHAnsi"/>
          <w:color w:val="auto"/>
        </w:rPr>
      </w:pPr>
      <w:bookmarkStart w:id="12" w:name="_Toc224714671"/>
      <w:r>
        <w:rPr>
          <w:rFonts w:cs="Calibri" w:ascii="Calibri" w:hAnsi="Calibri" w:asciiTheme="minorHAnsi" w:cstheme="minorHAnsi" w:hAnsiTheme="minorHAnsi"/>
          <w:color w:val="auto"/>
        </w:rPr>
        <w:t>Диаграмма классов</w:t>
      </w:r>
      <w:bookmarkEnd w:id="12"/>
    </w:p>
    <w:p>
      <w:pPr>
        <w:pStyle w:val="Normal"/>
        <w:rPr/>
      </w:pPr>
      <w:r>
        <w:rPr/>
        <w:drawing>
          <wp:inline distT="0" distB="0" distL="0" distR="0">
            <wp:extent cx="6120130" cy="3199765"/>
            <wp:effectExtent l="0" t="0" r="0" b="0"/>
            <wp:docPr id="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99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>
          <w:rFonts w:ascii="Calibri" w:hAnsi="Calibri" w:cs="Calibri" w:asciiTheme="minorHAnsi" w:cstheme="minorHAnsi" w:hAnsiTheme="minorHAnsi"/>
          <w:color w:val="auto"/>
        </w:rPr>
      </w:pPr>
      <w:bookmarkStart w:id="13" w:name="_Toc224714672"/>
      <w:r>
        <w:rPr>
          <w:rFonts w:cs="Calibri" w:ascii="Calibri" w:hAnsi="Calibri" w:asciiTheme="minorHAnsi" w:cstheme="minorHAnsi" w:hAnsiTheme="minorHAnsi"/>
          <w:color w:val="auto"/>
        </w:rPr>
        <w:t>Блок-схема взаимодействия компонентов</w:t>
      </w:r>
      <w:bookmarkEnd w:id="13"/>
    </w:p>
    <w:p>
      <w:pPr>
        <w:pStyle w:val="Normal"/>
        <w:rPr/>
      </w:pPr>
      <w:r>
        <w:rPr/>
        <w:drawing>
          <wp:inline distT="0" distB="0" distL="0" distR="0">
            <wp:extent cx="3771900" cy="3531870"/>
            <wp:effectExtent l="0" t="0" r="0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531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rPr>
          <w:rFonts w:ascii="Calibri" w:hAnsi="Calibri" w:cs="Calibri" w:asciiTheme="minorHAnsi" w:cstheme="minorHAnsi" w:hAnsiTheme="minorHAnsi"/>
          <w:color w:val="auto"/>
        </w:rPr>
      </w:pPr>
      <w:bookmarkStart w:id="14" w:name="_Toc224714673"/>
      <w:r>
        <w:rPr>
          <w:rFonts w:cs="Calibri" w:ascii="Calibri" w:hAnsi="Calibri" w:asciiTheme="minorHAnsi" w:cstheme="minorHAnsi" w:hAnsiTheme="minorHAnsi"/>
          <w:color w:val="auto"/>
        </w:rPr>
        <w:t>Описание компонентов</w:t>
      </w:r>
      <w:bookmarkEnd w:id="14"/>
    </w:p>
    <w:p>
      <w:pPr>
        <w:pStyle w:val="ListParagraph"/>
        <w:numPr>
          <w:ilvl w:val="0"/>
          <w:numId w:val="6"/>
        </w:numPr>
        <w:rPr/>
      </w:pPr>
      <w:r>
        <w:rPr/>
        <w:t>Модуль ввода – консольный интерфейс для ввода требований пользователя.</w:t>
      </w:r>
    </w:p>
    <w:p>
      <w:pPr>
        <w:pStyle w:val="ListParagraph"/>
        <w:numPr>
          <w:ilvl w:val="0"/>
          <w:numId w:val="6"/>
        </w:numPr>
        <w:rPr/>
      </w:pPr>
      <w:r>
        <w:rPr/>
        <w:t>База фактов – рабочая память, где хранятся факты (входные, промежуточные, выходные).</w:t>
      </w:r>
    </w:p>
    <w:p>
      <w:pPr>
        <w:pStyle w:val="ListParagraph"/>
        <w:numPr>
          <w:ilvl w:val="0"/>
          <w:numId w:val="6"/>
        </w:numPr>
        <w:rPr/>
      </w:pPr>
      <w:r>
        <w:rPr/>
        <w:t>База знаний – онтология и набор правил (в коде — декораторы Experta).</w:t>
      </w:r>
    </w:p>
    <w:p>
      <w:pPr>
        <w:pStyle w:val="ListParagraph"/>
        <w:numPr>
          <w:ilvl w:val="0"/>
          <w:numId w:val="6"/>
        </w:numPr>
        <w:rPr/>
      </w:pPr>
      <w:r>
        <w:rPr/>
        <w:t>Машина вывода – встроенный механизм прямой цепочки рассуждений библиотеки Experta.</w:t>
      </w:r>
    </w:p>
    <w:p>
      <w:pPr>
        <w:pStyle w:val="ListParagraph"/>
        <w:numPr>
          <w:ilvl w:val="0"/>
          <w:numId w:val="6"/>
        </w:numPr>
        <w:rPr/>
      </w:pPr>
      <w:r>
        <w:rPr/>
        <w:t>Модуль объяснения – собирает имена сработавших правил и выводит их пользователю.</w:t>
      </w:r>
    </w:p>
    <w:p>
      <w:pPr>
        <w:pStyle w:val="Heading1"/>
        <w:rPr>
          <w:rFonts w:ascii="Calibri" w:hAnsi="Calibri" w:cs="Calibri" w:asciiTheme="minorHAnsi" w:cstheme="minorHAnsi" w:hAnsiTheme="minorHAnsi"/>
          <w:color w:val="auto"/>
        </w:rPr>
      </w:pPr>
      <w:bookmarkStart w:id="15" w:name="_Toc224714674"/>
      <w:r>
        <w:rPr>
          <w:rFonts w:cs="Calibri" w:ascii="Calibri" w:hAnsi="Calibri" w:asciiTheme="minorHAnsi" w:cstheme="minorHAnsi" w:hAnsiTheme="minorHAnsi"/>
          <w:color w:val="auto"/>
        </w:rPr>
        <w:t>Скриншоты результатов работы прототипа</w:t>
      </w:r>
      <w:bookmarkEnd w:id="15"/>
    </w:p>
    <w:p>
      <w:pPr>
        <w:pStyle w:val="Normal"/>
        <w:rPr/>
      </w:pPr>
      <w:r>
        <w:rPr/>
        <w:t>Скрин 1</w:t>
      </w:r>
    </w:p>
    <w:p>
      <w:pPr>
        <w:pStyle w:val="Normal"/>
        <w:rPr/>
      </w:pPr>
      <w:r>
        <w:rPr/>
        <w:t>Скрин 2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b63aab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b63aab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b63aab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b63aab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b63aab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b63aab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Style11" w:customStyle="1">
    <w:name w:val="Диплом Знак"/>
    <w:basedOn w:val="DefaultParagraphFont"/>
    <w:link w:val="Style12"/>
    <w:qFormat/>
    <w:rsid w:val="006e2179"/>
    <w:rPr>
      <w:rFonts w:ascii="Times New Roman" w:hAnsi="Times New Roman" w:cs="Times New Roman"/>
      <w:sz w:val="26"/>
      <w:szCs w:val="28"/>
    </w:rPr>
  </w:style>
  <w:style w:type="character" w:styleId="Hyperlink">
    <w:name w:val="Hyperlink"/>
    <w:basedOn w:val="DefaultParagraphFont"/>
    <w:uiPriority w:val="99"/>
    <w:unhideWhenUsed/>
    <w:rsid w:val="006e2179"/>
    <w:rPr>
      <w:color w:themeColor="hyperlink" w:val="0563C1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b63aab"/>
    <w:pPr>
      <w:spacing w:before="0" w:after="160"/>
      <w:ind w:start="720"/>
      <w:contextualSpacing/>
    </w:pPr>
    <w:rPr/>
  </w:style>
  <w:style w:type="paragraph" w:styleId="Style12" w:customStyle="1">
    <w:name w:val="Диплом"/>
    <w:basedOn w:val="NoSpacing"/>
    <w:link w:val="Style11"/>
    <w:qFormat/>
    <w:rsid w:val="006e2179"/>
    <w:pPr>
      <w:spacing w:lineRule="auto" w:line="360"/>
      <w:ind w:firstLine="709"/>
      <w:jc w:val="both"/>
    </w:pPr>
    <w:rPr>
      <w:rFonts w:ascii="Times New Roman" w:hAnsi="Times New Roman" w:cs="Times New Roman"/>
      <w:sz w:val="26"/>
      <w:szCs w:val="28"/>
    </w:rPr>
  </w:style>
  <w:style w:type="paragraph" w:styleId="Default" w:customStyle="1">
    <w:name w:val="Default"/>
    <w:qFormat/>
    <w:rsid w:val="006e2179"/>
    <w:pPr>
      <w:widowControl/>
      <w:bidi w:val="0"/>
      <w:spacing w:lineRule="auto" w:line="240" w:before="0" w:after="0"/>
      <w:jc w:val="start"/>
    </w:pPr>
    <w:rPr>
      <w:rFonts w:ascii="Times New Roman" w:hAnsi="Times New Roman" w:cs="Times New Roman" w:eastAsia="Calibri"/>
      <w:color w:val="000000"/>
      <w:kern w:val="0"/>
      <w:sz w:val="24"/>
      <w:szCs w:val="24"/>
      <w:lang w:val="ru-RU" w:eastAsia="en-US" w:bidi="ar-SA"/>
    </w:rPr>
  </w:style>
  <w:style w:type="paragraph" w:styleId="NoSpacing">
    <w:name w:val="No Spacing"/>
    <w:uiPriority w:val="1"/>
    <w:qFormat/>
    <w:rsid w:val="006e2179"/>
    <w:pPr>
      <w:widowControl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6e2179"/>
    <w:pPr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6e2179"/>
    <w:pPr>
      <w:spacing w:lineRule="auto" w:line="240" w:before="0" w:after="100"/>
      <w:ind w:firstLine="567"/>
      <w:jc w:val="both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6e2179"/>
    <w:pPr>
      <w:spacing w:lineRule="auto" w:line="240" w:before="0" w:after="100"/>
      <w:ind w:firstLine="567" w:start="240"/>
      <w:jc w:val="both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Application>LibreOffice/26.2.3.2$Linux_X86_64 LibreOffice_project/ca14918b0fa569b9db704e10d20c5d2a5a16ac6d</Application>
  <AppVersion>15.0000</AppVersion>
  <Pages>7</Pages>
  <Words>511</Words>
  <Characters>3649</Characters>
  <CharactersWithSpaces>4058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2025-12-12T04:42:00Z</dcterms:created>
  <dc:creator>Urist</dc:creator>
  <dc:description/>
  <dc:language>ru-RU</dc:language>
  <cp:lastModifiedBy/>
  <dcterms:modified xsi:type="dcterms:W3CDTF">2026-05-18T00:54:30Z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