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8"/>
          <w:szCs w:val="28"/>
          <w:rtl w:val="0"/>
        </w:rPr>
        <w:t xml:space="preserve">Mapping and Predicting Informal Settlement Expansion in Mumbai Using Satellite Imagery and Machine Learning</w:t>
        <w:br w:type="textWrapping"/>
        <w:t xml:space="preserve">Shaurya Jain</w:t>
      </w: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Abstract:</w:t>
      </w:r>
    </w:p>
    <w:p w:rsidR="00000000" w:rsidDel="00000000" w:rsidP="00000000" w:rsidRDefault="00000000" w:rsidRPr="00000000" w14:paraId="0000000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spacing w:after="18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 half of Mumbai's population lives in informal settlements that expand faster than periodic ground surveys can track, leaving planners without timely data on where growth is occurring. This project developed a satellite-based pipeline that detects informal settlements from Sentinel-2 imagery using a deep learning segmentation model, then predicts which areas are likely to expand next using a machine learning classifier trained on local settlement density and spatial context. The segmentation model was validated against official ground-truth boundaries from two independent years and showed consistent performance across both (F1 score 0.676 and approximately 0.65 respectively), indicating genuine generalisation rather than memorisation of a single scene. When predicting expansion, proximity to existing settlements proved far more informative than proximity to infrastructure such as railways or industrial land, suggesting growth spread outward from established clusters. A deliberately tuned classification threshold balanced catching genuine expansion (68% recall) against the volume of false alerts a human reviewer would need to check. Given limited verified ground-truth data across years, the resulting system is best understood as a monitoring and prioritisation aid rather than a definitive predictive tool, underscoring the need for expanded ground-truth collection and prospective, real-world validation to strengthen future monitoring efforts.</w:t>
      </w:r>
    </w:p>
    <w:p w:rsidR="00000000" w:rsidDel="00000000" w:rsidP="00000000" w:rsidRDefault="00000000" w:rsidRPr="00000000" w14:paraId="00000007">
      <w:pPr>
        <w:spacing w:after="160" w:line="259"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4"/>
          <w:szCs w:val="24"/>
          <w:rtl w:val="0"/>
        </w:rPr>
        <w:t xml:space="preserve">Keywords:</w:t>
        <w:br w:type="textWrapping"/>
      </w:r>
      <w:r w:rsidDel="00000000" w:rsidR="00000000" w:rsidRPr="00000000">
        <w:rPr>
          <w:rFonts w:ascii="Times New Roman" w:cs="Times New Roman" w:eastAsia="Times New Roman" w:hAnsi="Times New Roman"/>
          <w:sz w:val="24"/>
          <w:szCs w:val="24"/>
          <w:rtl w:val="0"/>
        </w:rPr>
        <w:t xml:space="preserve">Remote Sensing; Urban remote sensing; Semantic segmentation; Informal Settlement mapping; Slum mapping; Urban expansion prediction</w:t>
      </w: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Introduction:</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Informal settlements, commonly known as slums, house an estimated one billion people worldwide and remain one of the most persistent features of rapid urbanisation across the Global South. Mumbai, India's largest city, is a particularly significant case: estimates place between 42% and 55% of its population in informal housing, and these settlements are not static but expand continuously, often within a single monsoon season, into whatever land remains available along rail corridors, creek banks, and industrial margins.</w:t>
      </w:r>
    </w:p>
    <w:p w:rsidR="00000000" w:rsidDel="00000000" w:rsidP="00000000" w:rsidRDefault="00000000" w:rsidRPr="00000000" w14:paraId="0000000D">
      <w:pPr>
        <w:spacing w:after="18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central challenge this project addresses is a timing mismatch. Municipal and national census surveys, which provide the most authoritative record of where informal settlements exist, are conducted only once every several years, while the settlements themselves can grow measurably within months. Planners, service providers, and rehabilitation authorities are therefore routinely working from data that may already be significantly out of date by the time it is acted upon. Manually surveying an entire city every year is not practical given the cost and labour involved, and no comparably frequent, citywide alternative currently exists.</w:t>
      </w:r>
    </w:p>
    <w:p w:rsidR="00000000" w:rsidDel="00000000" w:rsidP="00000000" w:rsidRDefault="00000000" w:rsidRPr="00000000" w14:paraId="0000000E">
      <w:pPr>
        <w:spacing w:after="18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project's goal was to build and test whether that gap could be narrowed using freely available satellite imagery and modern machine learning. Specifically, it set out to construct a two-stage system: first, a deep learning model capable of automatically identifying informal settlement extent from Sentinel-2 satellite imagery, a resource that is captured every few days and is entirely free to access; and second, a predictive model that uses several years of these automatically generated maps to estimate which specific areas of the city are most likely to see new settlement growth in the near future. Both stages were designed to be repeatable on an ongoing basis, in principle allowing the whole pipeline to be re-run each year at negligible cost.</w:t>
      </w:r>
    </w:p>
    <w:p w:rsidR="00000000" w:rsidDel="00000000" w:rsidP="00000000" w:rsidRDefault="00000000" w:rsidRPr="00000000" w14:paraId="0000000F">
      <w:pPr>
        <w:spacing w:after="180" w:line="28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broader benefit this project aims towards is a practical monitoring tool that could help planning authorities allocate scarce infrastructure, sanitation, and rehabilitation resources towards the areas that need them soonest, rather than relying solely on data that may be several years old. More broadly, if such a pipeline proves genuinely reliable, the same approach could plausibly be extended to other rapidly growing cities across South Asia and beyond that face an identical gap between the pace of informal urban growth and the frequency of official monitoring.</w:t>
      </w:r>
      <w:r w:rsidDel="00000000" w:rsidR="00000000" w:rsidRPr="00000000">
        <w:rPr>
          <w:rFonts w:ascii="Times New Roman" w:cs="Times New Roman" w:eastAsia="Times New Roman" w:hAnsi="Times New Roman"/>
          <w:b w:val="1"/>
          <w:bCs w:val="1"/>
          <w:sz w:val="24"/>
          <w:szCs w:val="24"/>
          <w:rtl w:val="0"/>
        </w:rPr>
        <w:br w:type="textWrapping"/>
        <w:br w:type="textWrapping"/>
        <w:t xml:space="preserve">Aim (With objectives to be completed):</w:t>
      </w:r>
    </w:p>
    <w:p w:rsidR="00000000" w:rsidDel="00000000" w:rsidP="00000000" w:rsidRDefault="00000000" w:rsidRPr="00000000" w14:paraId="0000001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1">
      <w:pPr>
        <w:spacing w:after="18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aims to build a working, end-to-end pipeline that can automatically detect informal settlements from satellite imagery and predict where they are likely to expand next, using only freely available data and open-source tools, so that the approach could realistically be adopted by a planning authority without specialist commercial software or paid imagery. This matters because it directly targets the timing gap described above: a low-cost, repeatable monitoring tool is only useful if it can actually be run again and again without requiring resources most city planning departments do not have.</w:t>
      </w:r>
    </w:p>
    <w:p w:rsidR="00000000" w:rsidDel="00000000" w:rsidP="00000000" w:rsidRDefault="00000000" w:rsidRPr="00000000" w14:paraId="00000012">
      <w:pPr>
        <w:spacing w:after="18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 for this project looks like the following, in order of ambition: a segmentation model that can identify informal settlement extent from a satellite image with reasonable accuracy; independent evidence that this model's accuracy holds up on a year of data it was never trained on, rather than only on the specific scene it learned from; a working method for comparing settlement extent across several different years on a consistent basis; a predictive model that can flag which areas are more likely than others to see new settlement growth; and a final output that presents these results in a form a non-specialist could interpret and act on.</w:t>
      </w:r>
    </w:p>
    <w:p w:rsidR="00000000" w:rsidDel="00000000" w:rsidP="00000000" w:rsidRDefault="00000000" w:rsidRPr="00000000" w14:paraId="00000013">
      <w:pPr>
        <w:spacing w:after="18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steps taken to reach this aim were, broadly: first, researching existing approaches to satellite-based slum mapping and change detection to understand what methods and data sources were realistically available; second, planning the overall pipeline architecture and identifying which parts of it were genuinely novel versus already well established; third, learning the specific technical skills required, including working with satellite imagery processing platforms, adapting a pretrained deep learning model to a new type of input data, and building a supervised machine learning classifier from tabular geographic features; fourth, building a working prototype of each stage individually, from data acquisition through to the final predictive model; and fifth, testing each stage against real, independently sourced ground-truth data rather than assuming a good-looking result was actually correct.</w:t>
      </w:r>
    </w:p>
    <w:p w:rsidR="00000000" w:rsidDel="00000000" w:rsidP="00000000" w:rsidRDefault="00000000" w:rsidRPr="00000000" w14:paraId="00000014">
      <w:pPr>
        <w:spacing w:after="18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Whether the project actually works was checked, at every stage, against real evidence rather than assumption: the segmentation model's accuracy was measured using standard, quantitative classification metrics on data withheld from training, and, critically, re-tested against an entirely separate year of ground truth never seen during training at all, to check the result was not a fluke specific to one satellite image. The predictive model's performance was similarly measured on data withheld from its own training process, and an initially surprising finding, that distance to infrastructure carried no predictive value, was specifically re-tested with a dedicated control experiment rather than simply accepted. Where a change made to improve one part of the pipeline was found, on testing, to have made results worse rather than better, such as adding extra training data from a second city, that change was reversed rather than kept, and the reasoning behind each such decision was recorded so that the project's final configuration reflects genuine, tested evidence rather than untested assumption.</w:t>
      </w:r>
    </w:p>
    <w:p w:rsidR="00000000" w:rsidDel="00000000" w:rsidP="00000000" w:rsidRDefault="00000000" w:rsidRPr="00000000" w14:paraId="0000001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Wider Purpose:</w:t>
      </w:r>
    </w:p>
    <w:p w:rsidR="00000000" w:rsidDel="00000000" w:rsidP="00000000" w:rsidRDefault="00000000" w:rsidRPr="00000000" w14:paraId="00000017">
      <w:pPr>
        <w:spacing w:after="18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Informal settlements are frequently the last areas of a city to receive reliable municipal services, formal infrastructure investment, and disaster-preparedness attention, in part because official data about where they are and how quickly they are growing is often outdated or incomplete. A tool that can help identify areas of likely near-term growth earlier, and more frequently, than existing survey cycles allow has a direct bearing on fairness: it offers a route towards directing limited public resources towards the residents who currently have the least visibility in official planning data, rather than only towards areas that already happen to be well mapped.</w:t>
      </w:r>
    </w:p>
    <w:p w:rsidR="00000000" w:rsidDel="00000000" w:rsidP="00000000" w:rsidRDefault="00000000" w:rsidRPr="00000000" w14:paraId="00000018">
      <w:pPr>
        <w:spacing w:after="18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was also deliberately built using only freely available satellite imagery and open-source software, rather than commercial, high-resolution imagery or proprietary tools that carry ongoing licensing costs. This was a conscious choice intended to keep the approach genuinely accessible to under-resourced municipal planning departments and non-governmental organisations, rather than only to well-funded research institutions, since a monitoring tool that cannot realistically be afforded or maintained by the organisations that most need it provides little practical benefit.</w:t>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underlying approach continues to prove reliable with further testing, it could plausibly inspire similar monitoring pipelines in other rapidly urbanising cities facing the same fundamental mismatch between the pace of informal settlement growth and the frequency of official surveys, many of which, particularly across South Asia, Sub-Saharan Africa, and Latin America, share broadly comparable data constraints to Mumbai. More broadly, demonstrating that a meaningful, tested monitoring capability can be built entirely from free data and open tools could encourage a shift in how such problems are approached elsewhere: towards low-cost, repeatable, transparently validated pipelines, rather than one-off, expensive surveys that are quickly outdated.</w:t>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Timeline:</w:t>
      </w:r>
    </w:p>
    <w:p w:rsidR="00000000" w:rsidDel="00000000" w:rsidP="00000000" w:rsidRDefault="00000000" w:rsidRPr="00000000" w14:paraId="0000001C">
      <w:pPr>
        <w:spacing w:after="18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was carried out over a period of several weeks. Total recorded working time across all phases exceeded 70 hours, broken down by phase in the table below.</w:t>
      </w:r>
    </w:p>
    <w:tbl>
      <w:tblPr>
        <w:tblStyle w:val="Table1"/>
        <w:tblW w:w="933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245"/>
        <w:gridCol w:w="3375"/>
        <w:gridCol w:w="1710"/>
        <w:tblGridChange w:id="0">
          <w:tblGrid>
            <w:gridCol w:w="4245"/>
            <w:gridCol w:w="3375"/>
            <w:gridCol w:w="1710"/>
          </w:tblGrid>
        </w:tblGridChange>
      </w:tblGrid>
      <w:tr>
        <w:trPr>
          <w:cantSplit w:val="0"/>
          <w:trHeight w:val="360" w:hRule="atLeast"/>
          <w:tblHeader w:val="0"/>
        </w:trPr>
        <w:tc>
          <w:tcPr>
            <w:tcBorders>
              <w:top w:color="999999" w:space="0" w:sz="8" w:val="single"/>
              <w:left w:color="999999" w:space="0" w:sz="8" w:val="single"/>
              <w:bottom w:color="cccccc" w:space="0" w:sz="8" w:val="single"/>
              <w:right w:color="cccccc" w:space="0" w:sz="8" w:val="single"/>
            </w:tcBorders>
            <w:shd w:fill="1f2937" w:val="clear"/>
            <w:tcMar>
              <w:top w:w="80.0" w:type="dxa"/>
              <w:left w:w="100.0" w:type="dxa"/>
              <w:bottom w:w="80.0" w:type="dxa"/>
              <w:right w:w="100.0" w:type="dxa"/>
            </w:tcMar>
            <w:vAlign w:val="top"/>
          </w:tcPr>
          <w:p w:rsidR="00000000" w:rsidDel="00000000" w:rsidP="00000000" w:rsidRDefault="00000000" w:rsidRPr="00000000" w14:paraId="0000001D">
            <w:pPr>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Phase</w:t>
            </w:r>
          </w:p>
        </w:tc>
        <w:tc>
          <w:tcPr>
            <w:tcBorders>
              <w:top w:color="999999" w:space="0" w:sz="8" w:val="single"/>
              <w:bottom w:color="cccccc" w:space="0" w:sz="8" w:val="single"/>
              <w:right w:color="cccccc" w:space="0" w:sz="8" w:val="single"/>
            </w:tcBorders>
            <w:shd w:fill="1f2937" w:val="clear"/>
            <w:tcMar>
              <w:top w:w="80.0" w:type="dxa"/>
              <w:left w:w="100.0" w:type="dxa"/>
              <w:bottom w:w="80.0" w:type="dxa"/>
              <w:right w:w="100.0" w:type="dxa"/>
            </w:tcMar>
            <w:vAlign w:val="top"/>
          </w:tcPr>
          <w:p w:rsidR="00000000" w:rsidDel="00000000" w:rsidP="00000000" w:rsidRDefault="00000000" w:rsidRPr="00000000" w14:paraId="0000001E">
            <w:pPr>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Main Activities</w:t>
            </w:r>
          </w:p>
        </w:tc>
        <w:tc>
          <w:tcPr>
            <w:tcBorders>
              <w:top w:color="999999" w:space="0" w:sz="8" w:val="single"/>
              <w:bottom w:color="cccccc" w:space="0" w:sz="8" w:val="single"/>
              <w:right w:color="999999" w:space="0" w:sz="8" w:val="single"/>
            </w:tcBorders>
            <w:shd w:fill="1f2937" w:val="clear"/>
            <w:tcMar>
              <w:top w:w="80.0" w:type="dxa"/>
              <w:left w:w="100.0" w:type="dxa"/>
              <w:bottom w:w="80.0" w:type="dxa"/>
              <w:right w:w="100.0" w:type="dxa"/>
            </w:tcMar>
            <w:vAlign w:val="top"/>
          </w:tcPr>
          <w:p w:rsidR="00000000" w:rsidDel="00000000" w:rsidP="00000000" w:rsidRDefault="00000000" w:rsidRPr="00000000" w14:paraId="0000001F">
            <w:pPr>
              <w:jc w:val="center"/>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Hours</w:t>
            </w:r>
          </w:p>
        </w:tc>
      </w:tr>
      <w:tr>
        <w:trPr>
          <w:cantSplit w:val="0"/>
          <w:trHeight w:val="780" w:hRule="atLeast"/>
          <w:tblHeader w:val="0"/>
        </w:trPr>
        <w:tc>
          <w:tcPr>
            <w:tcBorders>
              <w:left w:color="999999"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020">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Background research</w:t>
            </w:r>
          </w:p>
        </w:tc>
        <w:tc>
          <w:tcPr>
            <w:tcBorders>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021">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Literature review, evaluating existing slum-mapping methods and data sources</w:t>
            </w:r>
          </w:p>
        </w:tc>
        <w:tc>
          <w:tcPr>
            <w:tcBorders>
              <w:bottom w:color="cccccc" w:space="0" w:sz="8" w:val="single"/>
              <w:right w:color="999999" w:space="0" w:sz="8" w:val="single"/>
            </w:tcBorders>
            <w:tcMar>
              <w:top w:w="80.0" w:type="dxa"/>
              <w:left w:w="100.0" w:type="dxa"/>
              <w:bottom w:w="80.0" w:type="dxa"/>
              <w:right w:w="100.0" w:type="dxa"/>
            </w:tcMar>
            <w:vAlign w:val="top"/>
          </w:tcPr>
          <w:p w:rsidR="00000000" w:rsidDel="00000000" w:rsidP="00000000" w:rsidRDefault="00000000" w:rsidRPr="00000000" w14:paraId="00000022">
            <w:pPr>
              <w:jc w:val="cente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8</w:t>
            </w:r>
          </w:p>
        </w:tc>
      </w:tr>
      <w:tr>
        <w:trPr>
          <w:cantSplit w:val="0"/>
          <w:trHeight w:val="570" w:hRule="atLeast"/>
          <w:tblHeader w:val="0"/>
        </w:trPr>
        <w:tc>
          <w:tcPr>
            <w:tcBorders>
              <w:left w:color="999999"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023">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Data acquisition pipeline</w:t>
            </w:r>
          </w:p>
        </w:tc>
        <w:tc>
          <w:tcPr>
            <w:tcBorders>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024">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Satellite imagery access, compositing, ground-truth alignment</w:t>
            </w:r>
          </w:p>
        </w:tc>
        <w:tc>
          <w:tcPr>
            <w:tcBorders>
              <w:bottom w:color="cccccc" w:space="0" w:sz="8" w:val="single"/>
              <w:right w:color="999999" w:space="0" w:sz="8" w:val="single"/>
            </w:tcBorders>
            <w:tcMar>
              <w:top w:w="80.0" w:type="dxa"/>
              <w:left w:w="100.0" w:type="dxa"/>
              <w:bottom w:w="80.0" w:type="dxa"/>
              <w:right w:w="100.0" w:type="dxa"/>
            </w:tcMar>
            <w:vAlign w:val="top"/>
          </w:tcPr>
          <w:p w:rsidR="00000000" w:rsidDel="00000000" w:rsidP="00000000" w:rsidRDefault="00000000" w:rsidRPr="00000000" w14:paraId="00000025">
            <w:pPr>
              <w:jc w:val="cente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12</w:t>
            </w:r>
          </w:p>
        </w:tc>
      </w:tr>
      <w:tr>
        <w:trPr>
          <w:cantSplit w:val="0"/>
          <w:trHeight w:val="570" w:hRule="atLeast"/>
          <w:tblHeader w:val="0"/>
        </w:trPr>
        <w:tc>
          <w:tcPr>
            <w:tcBorders>
              <w:left w:color="999999"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026">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Detection model development</w:t>
            </w:r>
          </w:p>
        </w:tc>
        <w:tc>
          <w:tcPr>
            <w:tcBorders>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027">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Architecture adaptation, training, ablation experiments</w:t>
            </w:r>
          </w:p>
        </w:tc>
        <w:tc>
          <w:tcPr>
            <w:tcBorders>
              <w:bottom w:color="cccccc" w:space="0" w:sz="8" w:val="single"/>
              <w:right w:color="999999" w:space="0" w:sz="8" w:val="single"/>
            </w:tcBorders>
            <w:tcMar>
              <w:top w:w="80.0" w:type="dxa"/>
              <w:left w:w="100.0" w:type="dxa"/>
              <w:bottom w:w="80.0" w:type="dxa"/>
              <w:right w:w="100.0" w:type="dxa"/>
            </w:tcMar>
            <w:vAlign w:val="top"/>
          </w:tcPr>
          <w:p w:rsidR="00000000" w:rsidDel="00000000" w:rsidP="00000000" w:rsidRDefault="00000000" w:rsidRPr="00000000" w14:paraId="00000028">
            <w:pPr>
              <w:jc w:val="cente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18</w:t>
            </w:r>
          </w:p>
        </w:tc>
      </w:tr>
      <w:tr>
        <w:trPr>
          <w:cantSplit w:val="0"/>
          <w:trHeight w:val="570" w:hRule="atLeast"/>
          <w:tblHeader w:val="0"/>
        </w:trPr>
        <w:tc>
          <w:tcPr>
            <w:tcBorders>
              <w:left w:color="999999"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029">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Grid framework and feature engineering</w:t>
            </w:r>
          </w:p>
        </w:tc>
        <w:tc>
          <w:tcPr>
            <w:tcBorders>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02A">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Spatial grid design, geospatial feature computation</w:t>
            </w:r>
          </w:p>
        </w:tc>
        <w:tc>
          <w:tcPr>
            <w:tcBorders>
              <w:bottom w:color="cccccc" w:space="0" w:sz="8" w:val="single"/>
              <w:right w:color="999999" w:space="0" w:sz="8" w:val="single"/>
            </w:tcBorders>
            <w:tcMar>
              <w:top w:w="80.0" w:type="dxa"/>
              <w:left w:w="100.0" w:type="dxa"/>
              <w:bottom w:w="80.0" w:type="dxa"/>
              <w:right w:w="100.0" w:type="dxa"/>
            </w:tcMar>
            <w:vAlign w:val="top"/>
          </w:tcPr>
          <w:p w:rsidR="00000000" w:rsidDel="00000000" w:rsidP="00000000" w:rsidRDefault="00000000" w:rsidRPr="00000000" w14:paraId="0000002B">
            <w:pPr>
              <w:jc w:val="cente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10</w:t>
            </w:r>
          </w:p>
        </w:tc>
      </w:tr>
      <w:tr>
        <w:trPr>
          <w:cantSplit w:val="0"/>
          <w:trHeight w:val="570" w:hRule="atLeast"/>
          <w:tblHeader w:val="0"/>
        </w:trPr>
        <w:tc>
          <w:tcPr>
            <w:tcBorders>
              <w:left w:color="999999"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02C">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Expansion prediction model</w:t>
            </w:r>
          </w:p>
        </w:tc>
        <w:tc>
          <w:tcPr>
            <w:tcBorders>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02D">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Classifier training, threshold selection, validation</w:t>
            </w:r>
          </w:p>
        </w:tc>
        <w:tc>
          <w:tcPr>
            <w:tcBorders>
              <w:bottom w:color="cccccc" w:space="0" w:sz="8" w:val="single"/>
              <w:right w:color="999999" w:space="0" w:sz="8" w:val="single"/>
            </w:tcBorders>
            <w:tcMar>
              <w:top w:w="80.0" w:type="dxa"/>
              <w:left w:w="100.0" w:type="dxa"/>
              <w:bottom w:w="80.0" w:type="dxa"/>
              <w:right w:w="100.0" w:type="dxa"/>
            </w:tcMar>
            <w:vAlign w:val="top"/>
          </w:tcPr>
          <w:p w:rsidR="00000000" w:rsidDel="00000000" w:rsidP="00000000" w:rsidRDefault="00000000" w:rsidRPr="00000000" w14:paraId="0000002E">
            <w:pPr>
              <w:jc w:val="cente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9</w:t>
            </w:r>
          </w:p>
        </w:tc>
      </w:tr>
      <w:tr>
        <w:trPr>
          <w:cantSplit w:val="0"/>
          <w:trHeight w:val="570" w:hRule="atLeast"/>
          <w:tblHeader w:val="0"/>
        </w:trPr>
        <w:tc>
          <w:tcPr>
            <w:tcBorders>
              <w:left w:color="999999"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02F">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Debugging and troubleshooting</w:t>
            </w:r>
          </w:p>
        </w:tc>
        <w:tc>
          <w:tcPr>
            <w:tcBorders>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030">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Resolving data, software, and environment issues</w:t>
            </w:r>
          </w:p>
        </w:tc>
        <w:tc>
          <w:tcPr>
            <w:tcBorders>
              <w:bottom w:color="cccccc" w:space="0" w:sz="8" w:val="single"/>
              <w:right w:color="999999" w:space="0" w:sz="8" w:val="single"/>
            </w:tcBorders>
            <w:tcMar>
              <w:top w:w="80.0" w:type="dxa"/>
              <w:left w:w="100.0" w:type="dxa"/>
              <w:bottom w:w="80.0" w:type="dxa"/>
              <w:right w:w="100.0" w:type="dxa"/>
            </w:tcMar>
            <w:vAlign w:val="top"/>
          </w:tcPr>
          <w:p w:rsidR="00000000" w:rsidDel="00000000" w:rsidP="00000000" w:rsidRDefault="00000000" w:rsidRPr="00000000" w14:paraId="00000031">
            <w:pPr>
              <w:jc w:val="cente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11</w:t>
            </w:r>
          </w:p>
        </w:tc>
      </w:tr>
      <w:tr>
        <w:trPr>
          <w:cantSplit w:val="0"/>
          <w:trHeight w:val="570" w:hRule="atLeast"/>
          <w:tblHeader w:val="0"/>
        </w:trPr>
        <w:tc>
          <w:tcPr>
            <w:tcBorders>
              <w:left w:color="999999"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032">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Visualisation and outputs</w:t>
            </w:r>
          </w:p>
        </w:tc>
        <w:tc>
          <w:tcPr>
            <w:tcBorders>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033">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Maps, charts, interactive summary, poster</w:t>
            </w:r>
          </w:p>
        </w:tc>
        <w:tc>
          <w:tcPr>
            <w:tcBorders>
              <w:bottom w:color="cccccc" w:space="0" w:sz="8" w:val="single"/>
              <w:right w:color="999999" w:space="0" w:sz="8" w:val="single"/>
            </w:tcBorders>
            <w:tcMar>
              <w:top w:w="80.0" w:type="dxa"/>
              <w:left w:w="100.0" w:type="dxa"/>
              <w:bottom w:w="80.0" w:type="dxa"/>
              <w:right w:w="100.0" w:type="dxa"/>
            </w:tcMar>
            <w:vAlign w:val="top"/>
          </w:tcPr>
          <w:p w:rsidR="00000000" w:rsidDel="00000000" w:rsidP="00000000" w:rsidRDefault="00000000" w:rsidRPr="00000000" w14:paraId="00000034">
            <w:pPr>
              <w:jc w:val="cente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7</w:t>
            </w:r>
          </w:p>
        </w:tc>
      </w:tr>
      <w:tr>
        <w:trPr>
          <w:cantSplit w:val="0"/>
          <w:trHeight w:val="570" w:hRule="atLeast"/>
          <w:tblHeader w:val="0"/>
        </w:trPr>
        <w:tc>
          <w:tcPr>
            <w:tcBorders>
              <w:left w:color="999999"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035">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Reporting and documentation</w:t>
            </w:r>
          </w:p>
        </w:tc>
        <w:tc>
          <w:tcPr>
            <w:tcBorders>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036">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Written report, results summary, presentation materials</w:t>
            </w:r>
          </w:p>
        </w:tc>
        <w:tc>
          <w:tcPr>
            <w:tcBorders>
              <w:bottom w:color="cccccc" w:space="0" w:sz="8" w:val="single"/>
              <w:right w:color="999999" w:space="0" w:sz="8" w:val="single"/>
            </w:tcBorders>
            <w:tcMar>
              <w:top w:w="80.0" w:type="dxa"/>
              <w:left w:w="100.0" w:type="dxa"/>
              <w:bottom w:w="80.0" w:type="dxa"/>
              <w:right w:w="100.0" w:type="dxa"/>
            </w:tcMar>
            <w:vAlign w:val="top"/>
          </w:tcPr>
          <w:p w:rsidR="00000000" w:rsidDel="00000000" w:rsidP="00000000" w:rsidRDefault="00000000" w:rsidRPr="00000000" w14:paraId="00000037">
            <w:pPr>
              <w:jc w:val="cente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9</w:t>
            </w:r>
          </w:p>
        </w:tc>
      </w:tr>
      <w:tr>
        <w:trPr>
          <w:cantSplit w:val="0"/>
          <w:trHeight w:val="390" w:hRule="atLeast"/>
          <w:tblHeader w:val="0"/>
        </w:trPr>
        <w:tc>
          <w:tcPr>
            <w:tcBorders>
              <w:left w:color="999999" w:space="0" w:sz="8" w:val="single"/>
              <w:bottom w:color="999999"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038">
            <w:pPr>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Total</w:t>
            </w:r>
          </w:p>
        </w:tc>
        <w:tc>
          <w:tcPr>
            <w:tcBorders>
              <w:bottom w:color="999999"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03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bottom w:color="999999" w:space="0" w:sz="8" w:val="single"/>
              <w:right w:color="999999" w:space="0" w:sz="8" w:val="single"/>
            </w:tcBorders>
            <w:tcMar>
              <w:top w:w="80.0" w:type="dxa"/>
              <w:left w:w="100.0" w:type="dxa"/>
              <w:bottom w:w="80.0" w:type="dxa"/>
              <w:right w:w="100.0" w:type="dxa"/>
            </w:tcMar>
            <w:vAlign w:val="top"/>
          </w:tcPr>
          <w:p w:rsidR="00000000" w:rsidDel="00000000" w:rsidP="00000000" w:rsidRDefault="00000000" w:rsidRPr="00000000" w14:paraId="0000003A">
            <w:pPr>
              <w:jc w:val="center"/>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84</w:t>
            </w:r>
          </w:p>
        </w:tc>
      </w:tr>
    </w:tbl>
    <w:p w:rsidR="00000000" w:rsidDel="00000000" w:rsidP="00000000" w:rsidRDefault="00000000" w:rsidRPr="00000000" w14:paraId="0000003B">
      <w:pPr>
        <w:spacing w:after="180" w:line="28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Research and Related Work:</w:t>
      </w:r>
    </w:p>
    <w:p w:rsidR="00000000" w:rsidDel="00000000" w:rsidP="00000000" w:rsidRDefault="00000000" w:rsidRPr="00000000" w14:paraId="0000004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2">
      <w:pPr>
        <w:spacing w:after="18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Automated detection of informal settlements from satellite imagery is an active area of remote sensing research. Published work specific to Mumbai using very-high-resolution (VHR) commercial satellite imagery has reported F1 scores between 0.73 and 0.89, and a separate comparison of VHR against medium-resolution imagery for the same city found overall classification accuracy of 94.2% using VHR imagery, against 90.2% using medium-resolution imagery, indicating that image resolution has a measurable effect on achievable accuracy. Cross-city studies training a single model across ten cities, including Mumbai, have reported F1 scores of up to 0.89 where sufficient multi-city training data was available, and have separately found that including multispectral bands beyond ordinary visible colour improved performance by five to six and a half percentage points over colour-only approaches.</w:t>
      </w:r>
    </w:p>
    <w:p w:rsidR="00000000" w:rsidDel="00000000" w:rsidP="00000000" w:rsidRDefault="00000000" w:rsidRPr="00000000" w14:paraId="00000043">
      <w:pPr>
        <w:spacing w:after="18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recent work has highlighted an important methodological caveat relevant to this project: a 2026 evaluation using 10-metre-resolution satellite embeddings reported a median F1 score of 0.763 under a conventional random train-test split, but only 0.616 once evaluated under a spatially independent validation protocol, where training and testing areas are genuinely geographically separated. This indicates that a meaningful portion of the highest published accuracy figures in this field may reflect an easier, geographically leaking evaluation setup rather than a genuinely harder, spatially independent one.</w:t>
      </w:r>
    </w:p>
    <w:p w:rsidR="00000000" w:rsidDel="00000000" w:rsidP="00000000" w:rsidRDefault="00000000" w:rsidRPr="00000000" w14:paraId="00000044">
      <w:pPr>
        <w:spacing w:after="18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Existing large-scale slum boundary datasets do exist for some cities, including an EO4SD-published informal settlement boundary dataset for Karachi, Pakistan, and an academic dataset covering Mumbai across 2002 to 2018 built from very-high-resolution imagery and verified against official Slum Rehabilitation Authority records; the latter, however, is not publicly redistributable due to the commercial imagery licensing terms under which it was built, which is a recurring barrier in this field: many of the most accurate published results rely on data or imagery that cannot be freely obtained or reused by later researchers.</w:t>
      </w:r>
    </w:p>
    <w:p w:rsidR="00000000" w:rsidDel="00000000" w:rsidP="00000000" w:rsidRDefault="00000000" w:rsidRPr="00000000" w14:paraId="00000045">
      <w:pPr>
        <w:spacing w:after="18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diverges from the majority of this published work in two respects. First, it deliberately uses only freely available, medium-resolution Sentinel-2 imagery rather than commercial VHR imagery, trading some detection accuracy for a pipeline that can genuinely be reproduced and re-run by any organisation without ongoing licensing costs. Second, and more significantly, the majority of published work in this field addresses only the detection problem, that is, mapping where informal settlements currently exist; comparatively little published work extends this into a genuine prediction of where settlements are likely to expand next. This project's second stage, the expansion-prediction classifier, addresses that comparatively underexplored extension, using the detection model's own multi-year output as its foundation.</w:t>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Range of approaches and final selection of approach:</w:t>
      </w:r>
    </w:p>
    <w:p w:rsidR="00000000" w:rsidDel="00000000" w:rsidP="00000000" w:rsidRDefault="00000000" w:rsidRPr="00000000" w14:paraId="0000004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B">
      <w:pPr>
        <w:spacing w:after="18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Several architectural options were considered for the detection stage before a transformer-based model was selected. A traditional pixel-by-pixel classifier, such as a Random Forest applied directly to individual pixel reflectance values, was considered first; this approach is simple and fast to train, but does not use any spatial context beyond a single pixel, and was expected to perform poorly at distinguishing informal settlement, which is defined as much by its spatial texture and density as by its colour alone. A convolutional neural network of the U-Net family was also considered, and would likely have performed reasonably; however, a transformer-based architecture, SegFormer, was ultimately selected because it was available with weights already pretrained on a very large general-purpose image dataset, which meant the model did not need to learn basic visual features entirely from scratch given the comparatively small amount of Mumbai-specific training data available.</w:t>
      </w:r>
    </w:p>
    <w:p w:rsidR="00000000" w:rsidDel="00000000" w:rsidP="00000000" w:rsidRDefault="00000000" w:rsidRPr="00000000" w14:paraId="0000004C">
      <w:pPr>
        <w:spacing w:after="18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detection model's training configuration specifically, several variations were tested and compared directly against one another using an identical, held-out set of validation data. Increasing weighting placed on the minority settlement class during training was tested at three levels; a moderate weighting outperformed both a lower and a notably higher weighting, and was selected as the final configuration. Two strategies intended to increase the volume of available training data were also tested: adding a second, independently sourced year of Mumbai ground truth, and adding cross-city transfer-learning data from Karachi, Pakistan. Both were found, on direct comparison, to reduce validation performance rather than improve it, and were consequently not included in the final model; this was attributed respectively to the lower positional and temporal certainty of the additional Mumbai layer, and to genuine differences in settlement appearance between the two cities that the model could not fully reconcile at the data volumes available. A combined loss function, intended to more directly optimise spatial overlap between prediction and ground truth, was also tested and found to underperform a simpler, single loss function, and was likewise not retained.</w:t>
      </w:r>
    </w:p>
    <w:p w:rsidR="00000000" w:rsidDel="00000000" w:rsidP="00000000" w:rsidRDefault="00000000" w:rsidRPr="00000000" w14:paraId="0000004D">
      <w:pPr>
        <w:spacing w:after="18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spatial grid used to compare settlement extent across years, an initial, coarser grid size was tested first and found to be unusable in practice, since it produced almost no cells showing genuine year-on-year change across the entire study area, leaving too little data for a classifier to learn from; a substantially finer grid size was adopted instead specifically to address this shortfall.</w:t>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expansion-prediction stage, a Random Forest classifier was selected over alternative options such as logistic regression or gradient-boosted trees primarily for its interpretability: unlike many alternative classifiers, a Random Forest readily provides a direct, human-readable ranking of which input features actually drove its predictions, which was considered essential for a project where understanding why a location was flagged, and being able to communicate that reasoning honestly, mattered as much as the raw predictive accuracy achieved. This interpretability directly enabled one of the project's clearest findings, that infrastructure-distance features contributed no measurable predictive value, a result that would have been considerably harder to identify and verify using a less transparent model. The final selected approach, combining a pretrained transformer for detection with an interpretable Random Forest for prediction, was chosen specifically because each component's individual strengths, transfer-learning capability on the detection side and transparency on the prediction side, addressed a genuine, tested limitation encountered during development, rather than being selected on the basis of general reputation alone.</w:t>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Implementation:</w:t>
      </w:r>
    </w:p>
    <w:p w:rsidR="00000000" w:rsidDel="00000000" w:rsidP="00000000" w:rsidRDefault="00000000" w:rsidRPr="00000000" w14:paraId="0000005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3">
      <w:pPr>
        <w:spacing w:after="20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project's system is composed of five main components, arranged as a sequential pipeline: a satellite data acquisition component, a ground-truth preparation component, a deep learning detection model, a grid-based spatiotemporal monitoring framework, and an expansion prediction model, with a final output and visualization layer that presents the results in a form usable by a non-technical audience such as an urban planner. Each component was designed to address a specific, well-defined sub-problem, and each was evaluated individually before being connected to the next stage of the pipeline, so that any weaknesses could be identified and attributed to a specific part of the system rather than the pipeline as a whole.</w:t>
      </w:r>
    </w:p>
    <w:p w:rsidR="00000000" w:rsidDel="00000000" w:rsidP="00000000" w:rsidRDefault="00000000" w:rsidRPr="00000000" w14:paraId="00000054">
      <w:pPr>
        <w:spacing w:after="20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component is the satellite data acquisition system, built on Google Earth Engine, a cloud platform that provides access to the European Space Agency's Sentinel-2 satellite archive without requiring the user to download or store raw imagery locally. Its purpose is to produce a single, clean, cloud-free image of Mumbai for each year under study. Its functionality involves filtering the full Sentinel-2 image archive to a fixed geographic boundary and a fixed time window each year, discarding any individual satellite pass with more than twenty percent cloud cover, and then combining all remaining passes into one composite image using a per-pixel median calculation, which cancels out transient cloud cover and shadow without needing to manually mask every cloud by hand. The key advantage of this method is that it is entirely automatic, free to use, and can be repeated identically for any year or city, making the whole pipeline reproducible. Its main limitation is that satellite revisit frequency was lower in earlier years of the study period, meaning some annual composites, particularly 2016, were built from as few as four individual images rather than the dozens available in later years, which can make earlier composites slightly noisier.</w:t>
      </w:r>
    </w:p>
    <w:p w:rsidR="00000000" w:rsidDel="00000000" w:rsidP="00000000" w:rsidRDefault="00000000" w:rsidRPr="00000000" w14:paraId="00000055">
      <w:pPr>
        <w:spacing w:after="20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second component is ground-truth preparation, whose purpose is to convert existing, independently produced maps of Mumbai's slum boundaries into a format the computer model can learn from. Two official boundary datasets were used, from two different years, sourced from the Maharashtra Slum Rehabilitation Authority. Its functionality involves converting these boundary maps, which are stored as outlines (polygons) of each settlement, into a grid of image pixels matching the satellite image exactly, so that every pixel in the satellite image has a corresponding label of settlement or non-settlement. A key process here was carefully checking that the two data sources actually lined up with each other in real-world space; a small but important alignment error of about ten metres was discovered and corrected during this stage, and a similar, larger discrepancy was found and corrected between two different years of imagery later in the project. The advantage of catching and fixing these errors is that every subsequent stage of the pipeline can trust that a given pixel or grid cell means the same real-world location across all data sources and all years. The main limitation of this component is that only two years of independently verified boundary data exist; all other years the pipeline covers have to rely on the detection model's own predictions rather than an independently confirmed map.</w:t>
      </w:r>
    </w:p>
    <w:p w:rsidR="00000000" w:rsidDel="00000000" w:rsidP="00000000" w:rsidRDefault="00000000" w:rsidRPr="00000000" w14:paraId="00000056">
      <w:pPr>
        <w:spacing w:after="20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third component, and the technical core of the detection side of the project, is the deep learning segmentation model, built using an architecture called SegFormer. Its purpose is to look at a satellite image and produce a map showing which pixels are likely to be informal settlement. Its functionality relies on a type of neural network called a vision transformer, which was originally trained on millions of ordinary photographs to recognise general visual patterns, and was then adapted and retrained specifically for this task. A key modification was needed because the satellite images used here have ten different colour channels, capturing wavelengths of light invisible to the human eye such as infrared, whereas the original network was built for ordinary three-channel colour photographs; the first layer of the network was rebuilt to accept all ten channels, while keeping as much of the network's prior visual knowledge as possible. Training also had to specifically counteract the fact that informal settlements make up only around four to five percent of the city's land area, which would otherwise cause the model to achieve a very high but meaningless accuracy simply by predicting "not a settlement" everywhere; this was addressed by weighting mistakes on settlement pixels more heavily than mistakes on non-settlement pixels during training. The main advantage of this component is that, once trained, it produces a settlement map for any new satellite image of the city in a matter of minutes, at a fraction of the cost of a physical ground survey, and testing showed it performed almost identically well on a year of data it had never seen during training as it did on the year it was trained on, which is strong evidence it learned genuinely useful patterns rather than memorising one specific image. Its main limitation is that its accuracy, while solid, is below what has been reported in published studies that use much higher-resolution commercial satellite imagery, which this project did not have access to.</w:t>
      </w:r>
    </w:p>
    <w:p w:rsidR="00000000" w:rsidDel="00000000" w:rsidP="00000000" w:rsidRDefault="00000000" w:rsidRPr="00000000" w14:paraId="00000057">
      <w:pPr>
        <w:spacing w:after="20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fourth component is a grid-based monitoring framework, whose purpose is to convert the detection model's pixel-by-pixel maps into a form suitable for comparing the same locations across multiple years. Its functionality involves dividing the whole city into a regular grid of 160-metre squares, and for each square, in each year, calculating what fraction of its pixels the detection model classified as settlement; if more than half of a square's pixels are settlement, the whole square is labelled as settlement for that year. A key advantage of this approach is that it turns an enormous, unwieldy pixel-level dataset into a manageable table of individual locations that can be tracked over time, and it was specifically tuned by testing several grid sizes; an initial attempt at a much larger, 500-metre grid was abandoned after testing showed it was too coarse to capture almost any genuine year-on-year change across the whole city. Its main limitation is that a single fixed threshold, such as the fifty percent rule used here, will always lose some detail about smaller or more scattered settlements that never make up the majority of any one grid square, even if they are real and growing.</w:t>
      </w:r>
    </w:p>
    <w:p w:rsidR="00000000" w:rsidDel="00000000" w:rsidP="00000000" w:rsidRDefault="00000000" w:rsidRPr="00000000" w14:paraId="00000058">
      <w:pPr>
        <w:spacing w:after="20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fifth component is the expansion prediction model, built using a Random Forest, a widely-used and comparatively simple type of machine learning model that makes predictions by combining the votes of many individual decision rules. Its purpose is to look at the current state of a given 160-metre square and estimate the likelihood that it will newly become a settlement within the following year. Its functionality relies on comparing each square's state across consecutive years to build a labelled dataset of genuine expansion events, then training the model on a set of descriptive features for each square, including how much of it is already settlement, how much of its immediate surroundings are settlement, and its distance to the nearest existing settlement, alongside external features describing its distance to nearby railways, roads, industrial land, and water, sourced from OpenStreetMap, a free, crowd-maintained mapping service. A key finding from this stage was that the external, infrastructure-based features contributed essentially nothing to the model's predictions once the location-based features were included, a result that was specifically tested and confirmed rather than simply assumed, and which suggests that, in Mumbai during this period, settlements mostly grow outward from their own edges rather than springing up near infrastructure. A further key process was deliberately adjusting the model's decision threshold, since the default setting caught most real expansion cases but was wrong nine times out of ten when it raised an alert; the threshold was instead tuned to balance catching genuine expansion against the number of false alerts a human reviewer would have to check, favouring a setting that still catches roughly two-thirds of genuine cases. The advantage of this component is that it distils a very large amount of geographic information into a single, interpretable likelihood score for every part of the city. Its main limitation is that, even after tuning, most of the locations it flags will turn out not to expand within the following year, meaning it functions best as a way of prioritising attention rather than as a precise forecast.</w:t>
      </w:r>
    </w:p>
    <w:p w:rsidR="00000000" w:rsidDel="00000000" w:rsidP="00000000" w:rsidRDefault="00000000" w:rsidRPr="00000000" w14:paraId="00000059">
      <w:pPr>
        <w:spacing w:after="20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the output and visualization layer exists specifically to enhance the usability of these results for a non-technical audience, since a table of coordinates and probability scores is of little practical use to a planner on its own. This layer includes rendered map overlays showing predicted settlement areas directly on top of true-colour satellite images, a forward-looking projected map illustrating where the expansion model expects growth to occur next, and an interactive web page that lets a viewer directly manipulate the same fifty percent classification rule used inside the pipeline and watch, in real time, how a borderline example flips between classifications, making an otherwise abstract technical rule immediately visible and understandable. Together, these outputs are intended to make clear not only what the system predicts, but how confident it can reasonably be, and where its limitations lie.</w:t>
      </w:r>
    </w:p>
    <w:p w:rsidR="00000000" w:rsidDel="00000000" w:rsidP="00000000" w:rsidRDefault="00000000" w:rsidRPr="00000000" w14:paraId="0000005A">
      <w:pPr>
        <w:spacing w:after="20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five components work together as a single, ordered pipeline: satellite imagery is acquired and prepared for each year, the detection model converts each year's imagery into a settlement map, the monitoring framework aggregates six years of these maps onto one consistent, comparable grid, and the expansion model uses that grid to estimate where growth is most likely next, with every stage's output feeding directly into the next. The project's overall goal, of providing a low-cost, repeatable way to monitor informal settlement growth between infrequent official surveys, is achieved by this chain as a whole rather than by any single component in isolation: the detection model alone only describes the present, and the prediction model alone would have nothing to learn from without several consistent years of detection results beneath it. Equally, the project's usefulness to an actual end user depends on the final visualization layer translating the numerical output of the earlier components into a form a planner can interpret and trust, including an honest, visible account of where the system is likely to be wrong. It is this combination of an automated detection-and-prediction pipeline with a transparent, interpretable presentation of its own uncertainty that allows the system to function as a genuinely usable monitoring aid, rather than a purely academic exercise.</w:t>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Pictures:</w:t>
      </w:r>
    </w:p>
    <w:p w:rsidR="00000000" w:rsidDel="00000000" w:rsidP="00000000" w:rsidRDefault="00000000" w:rsidRPr="00000000" w14:paraId="0000005D">
      <w:pPr>
        <w:spacing w:after="18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figures illustrate representative output from the completed pipeline.</w:t>
      </w:r>
    </w:p>
    <w:p w:rsidR="00000000" w:rsidDel="00000000" w:rsidP="00000000" w:rsidRDefault="00000000" w:rsidRPr="00000000" w14:paraId="0000005E">
      <w:pPr>
        <w:spacing w:after="40" w:before="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568700" cy="1193800"/>
            <wp:effectExtent b="0" l="0" r="0" t="0"/>
            <wp:docPr id="2" name="image3.png"/>
            <a:graphic>
              <a:graphicData uri="http://schemas.openxmlformats.org/drawingml/2006/picture">
                <pic:pic>
                  <pic:nvPicPr>
                    <pic:cNvPr id="0" name="image3.png"/>
                    <pic:cNvPicPr preferRelativeResize="0"/>
                  </pic:nvPicPr>
                  <pic:blipFill>
                    <a:blip r:embed="rId6"/>
                    <a:srcRect b="0" l="153" r="153" t="0"/>
                    <a:stretch>
                      <a:fillRect/>
                    </a:stretch>
                  </pic:blipFill>
                  <pic:spPr>
                    <a:xfrm>
                      <a:off x="0" y="0"/>
                      <a:ext cx="3568700" cy="11938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spacing w:after="240" w:before="80" w:lineRule="auto"/>
        <w:jc w:val="center"/>
        <w:rPr>
          <w:rFonts w:ascii="Times New Roman" w:cs="Times New Roman" w:eastAsia="Times New Roman" w:hAnsi="Times New Roman"/>
          <w:i w:val="1"/>
          <w:iCs w:val="1"/>
          <w:color w:val="444444"/>
          <w:sz w:val="19"/>
          <w:szCs w:val="19"/>
        </w:rPr>
      </w:pPr>
      <w:r w:rsidDel="00000000" w:rsidR="00000000" w:rsidRPr="00000000">
        <w:rPr>
          <w:rFonts w:ascii="Times New Roman" w:cs="Times New Roman" w:eastAsia="Times New Roman" w:hAnsi="Times New Roman"/>
          <w:i w:val="1"/>
          <w:iCs w:val="1"/>
          <w:color w:val="444444"/>
          <w:sz w:val="19"/>
          <w:szCs w:val="19"/>
          <w:rtl w:val="0"/>
        </w:rPr>
        <w:t xml:space="preserve">Sentinel-2 true-colour composite (left), official ground-truth settlement mask (centre), and model-predicted settlement overlay in red (right), for the Mumbai study area.</w:t>
      </w:r>
    </w:p>
    <w:p w:rsidR="00000000" w:rsidDel="00000000" w:rsidP="00000000" w:rsidRDefault="00000000" w:rsidRPr="00000000" w14:paraId="00000060">
      <w:pPr>
        <w:spacing w:after="40" w:before="160" w:lineRule="auto"/>
        <w:jc w:val="center"/>
        <w:rPr>
          <w:rFonts w:ascii="Times New Roman" w:cs="Times New Roman" w:eastAsia="Times New Roman" w:hAnsi="Times New Roman"/>
          <w:i w:val="1"/>
          <w:iCs w:val="1"/>
          <w:color w:val="444444"/>
          <w:sz w:val="19"/>
          <w:szCs w:val="19"/>
        </w:rPr>
      </w:pPr>
      <w:r w:rsidDel="00000000" w:rsidR="00000000" w:rsidRPr="00000000">
        <w:rPr>
          <w:rFonts w:ascii="Times New Roman" w:cs="Times New Roman" w:eastAsia="Times New Roman" w:hAnsi="Times New Roman"/>
          <w:i w:val="1"/>
          <w:iCs w:val="1"/>
          <w:color w:val="444444"/>
          <w:sz w:val="19"/>
          <w:szCs w:val="19"/>
        </w:rPr>
        <w:drawing>
          <wp:inline distB="114300" distT="114300" distL="114300" distR="114300">
            <wp:extent cx="3429000" cy="1765300"/>
            <wp:effectExtent b="0" l="0" r="0" t="0"/>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3429000" cy="17653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pacing w:after="240" w:before="80" w:lineRule="auto"/>
        <w:jc w:val="center"/>
        <w:rPr>
          <w:rFonts w:ascii="Times New Roman" w:cs="Times New Roman" w:eastAsia="Times New Roman" w:hAnsi="Times New Roman"/>
          <w:i w:val="1"/>
          <w:iCs w:val="1"/>
          <w:color w:val="444444"/>
          <w:sz w:val="19"/>
          <w:szCs w:val="19"/>
        </w:rPr>
      </w:pPr>
      <w:r w:rsidDel="00000000" w:rsidR="00000000" w:rsidRPr="00000000">
        <w:rPr>
          <w:rFonts w:ascii="Times New Roman" w:cs="Times New Roman" w:eastAsia="Times New Roman" w:hAnsi="Times New Roman"/>
          <w:i w:val="1"/>
          <w:iCs w:val="1"/>
          <w:color w:val="444444"/>
          <w:sz w:val="19"/>
          <w:szCs w:val="19"/>
          <w:rtl w:val="0"/>
        </w:rPr>
        <w:t xml:space="preserve">Relative importance of the three features found to drive the expansion-prediction model, showing prior settlement density as the dominant predictor.</w:t>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Resources (Material and People):</w:t>
      </w:r>
    </w:p>
    <w:p w:rsidR="00000000" w:rsidDel="00000000" w:rsidP="00000000" w:rsidRDefault="00000000" w:rsidRPr="00000000" w14:paraId="0000006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6">
      <w:pPr>
        <w:spacing w:after="18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was completed using entirely free and open-source resources: satellite imagery and cloud compositing via Google Earth Engine's free tier, model development in Python using open-source libraries including PyTorch, HuggingFace Transformers, rasterio, GeoPandas, scikit-learn, and osmnx, and cloud-based notebook compute via Google Colab where local hardware was insufficient. No paid imagery, software licences, or commercial cloud compute were used at any stage, which was a deliberate choice consistent with the project's wider aim of remaining accessible to under-resourced organisations.</w:t>
      </w:r>
    </w:p>
    <w:p w:rsidR="00000000" w:rsidDel="00000000" w:rsidP="00000000" w:rsidRDefault="00000000" w:rsidRPr="00000000" w14:paraId="00000067">
      <w:pPr>
        <w:spacing w:after="18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number of practical obstacles arose during the project and had to be resolved directly. Early attempts to train the detection model using a local Apple Silicon GPU failed due to an unsupported operation in that hardware backend's software support at the time; this was resolved by identifying the specific failing operation and switching training to run on CPU instead, at the cost of longer training time but with no loss of correctness. A satellite image export was found, on inspection, to have anomalously low spectral variation; rather than assuming the imagery itself was faulty, the processing script was reviewed and found to contain an unintended duplicate reprojection step, which was removed. Queries to OpenStreetMap for contextual geographic features initially failed or returned implausible results due to a coordinate-ordering mismatch between library versions; this was diagnosed by constructing a test script that queried each data layer individually and reported the precise error, rather than continuing to guess at the cause, and was resolved by specifying the query region in an unambiguous geometric format. A generated document file was similarly found to be failing to open correctly in standard software; rather than resending the same file, the file's internal structure was directly inspected, which revealed an image-sizing error of several orders of magnitude, allowing the specific fault to be identified and corrected rather than merely worked around.</w:t>
      </w:r>
    </w:p>
    <w:p w:rsidR="00000000" w:rsidDel="00000000" w:rsidP="00000000" w:rsidRDefault="00000000" w:rsidRPr="00000000" w14:paraId="00000068">
      <w:pPr>
        <w:spacing w:after="180" w:line="28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Time was managed by working through the pipeline in the sequential order described in the Implementation section, validating each stage against real data before building the next stage on top of it, which meant that when a later stage produced an unexpected result, the source of the problem could usually be narrowed down quickly rather than searched for across the whole system. Where a specific technical skill was not already held, it was learned as needed directly from official software documentation and open-source community resources, including library documentation and public issue trackers, rather than proceeding on guesswork; this approach to troubleshooting, methodically isolating a fault before attempting a fix, was applied consistently throughout the project and materially contributed to the project's overall reliability.</w:t>
      </w: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Testing: </w:t>
      </w:r>
    </w:p>
    <w:p w:rsidR="00000000" w:rsidDel="00000000" w:rsidP="00000000" w:rsidRDefault="00000000" w:rsidRPr="00000000" w14:paraId="0000006B">
      <w:pPr>
        <w:spacing w:after="18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major stage of the pipeline was tested against evidence rather than assumed to work correctly. The detection model was first tested using standard classification metrics, precision, recall, F1 score, and Intersection-over-Union, on a set of validation tiles deliberately held back from training and drawn from a different part of the city to the training tiles, to reduce the risk of an inflated result caused by testing on data too similar to what the model had already seen. It was then tested in a second, more demanding way: applied to an entirely separate year of imagery, paired with an independently sourced ground-truth layer that had no connection to the training data at all. Performance on this independent year closely matched performance on the training year, which was the specific piece of evidence needed to conclude the model had learned a genuinely general pattern rather than memorised one satellite scene.</w:t>
      </w:r>
    </w:p>
    <w:p w:rsidR="00000000" w:rsidDel="00000000" w:rsidP="00000000" w:rsidRDefault="00000000" w:rsidRPr="00000000" w14:paraId="0000006C">
      <w:pPr>
        <w:spacing w:after="18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expansion-prediction classifier was tested using a held-out portion of its own training data, and its precision and recall were measured across a full sweep of possible decision thresholds, illustrated below, rather than assessed at only a single, default setting. This testing directly informed the final choice of operating threshold, balancing the number of genuine expansion events caught against the number of false alerts produced.</w:t>
      </w:r>
    </w:p>
    <w:p w:rsidR="00000000" w:rsidDel="00000000" w:rsidP="00000000" w:rsidRDefault="00000000" w:rsidRPr="00000000" w14:paraId="0000006D">
      <w:pPr>
        <w:spacing w:after="4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429000" cy="2057400"/>
            <wp:effectExtent b="0" l="0" r="0" t="0"/>
            <wp:docPr id="3"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34290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spacing w:after="240" w:before="80" w:lineRule="auto"/>
        <w:jc w:val="center"/>
        <w:rPr>
          <w:rFonts w:ascii="Times New Roman" w:cs="Times New Roman" w:eastAsia="Times New Roman" w:hAnsi="Times New Roman"/>
          <w:i w:val="1"/>
          <w:iCs w:val="1"/>
          <w:color w:val="444444"/>
          <w:sz w:val="24"/>
          <w:szCs w:val="24"/>
        </w:rPr>
      </w:pPr>
      <w:r w:rsidDel="00000000" w:rsidR="00000000" w:rsidRPr="00000000">
        <w:rPr>
          <w:rFonts w:ascii="Times New Roman" w:cs="Times New Roman" w:eastAsia="Times New Roman" w:hAnsi="Times New Roman"/>
          <w:i w:val="1"/>
          <w:iCs w:val="1"/>
          <w:color w:val="444444"/>
          <w:sz w:val="24"/>
          <w:szCs w:val="24"/>
          <w:rtl w:val="0"/>
        </w:rPr>
        <w:t xml:space="preserve">Precision, recall, and F1 score of the expansion-prediction classifier across the full range of possible classification thresholds, used to select the final operating threshold.</w:t>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initially surprising result, that geographic infrastructure features contributed no measurable predictive value, was not accepted without further testing: the underlying data columns were first checked directly to confirm they contained genuine, varying values rather than being empty by mistake, and a second, supplementary model was then trained using only those infrastructure features, with the stronger location-based features deliberately withheld, to check whether they carried any independent predictive signal at all. This supplementary model also failed to perform better than chance, which corroborated rather than merely assumed the original finding</w:t>
      </w:r>
    </w:p>
    <w:p w:rsidR="00000000" w:rsidDel="00000000" w:rsidP="00000000" w:rsidRDefault="00000000" w:rsidRPr="00000000" w14:paraId="0000007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sz w:val="24"/>
          <w:szCs w:val="24"/>
          <w:rtl w:val="0"/>
        </w:rPr>
        <w:t xml:space="preserve">Ethical and Safety Concerns:</w:t>
      </w:r>
      <w:r w:rsidDel="00000000" w:rsidR="00000000" w:rsidRPr="00000000">
        <w:rPr>
          <w:rtl w:val="0"/>
        </w:rPr>
      </w:r>
    </w:p>
    <w:p w:rsidR="00000000" w:rsidDel="00000000" w:rsidP="00000000" w:rsidRDefault="00000000" w:rsidRPr="00000000" w14:paraId="00000072">
      <w:pPr>
        <w:spacing w:after="18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involved no hazardous materials, laboratory procedures, or physical fieldwork of any kind; all data used were remotely sensed satellite imagery and publicly available geospatial boundary datasets, and no human subjects, animals, or physical safety risks were involved at any stage.</w:t>
      </w:r>
    </w:p>
    <w:p w:rsidR="00000000" w:rsidDel="00000000" w:rsidP="00000000" w:rsidRDefault="00000000" w:rsidRPr="00000000" w14:paraId="00000073">
      <w:pPr>
        <w:spacing w:after="18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Regarding data privacy, no personally identifiable information was collected, processed, or stored at any point in this project. All imagery used has a resolution of ten metres per pixel, far too coarse to identify individual people, vehicles, or building occupants, and all settlement boundary data used were pre-existing, publicly published government datasets rather than data collected from individuals directly.</w:t>
      </w:r>
    </w:p>
    <w:p w:rsidR="00000000" w:rsidDel="00000000" w:rsidP="00000000" w:rsidRDefault="00000000" w:rsidRPr="00000000" w14:paraId="00000074">
      <w:pPr>
        <w:spacing w:after="180" w:line="28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 more significant ethical consideration specific to this project concerns the potential for a settlement-expansion prediction tool to be misused. Because this project labels certain areas as being at elevated likelihood of becoming informal settlement, there is a genuine risk that such a labelling, if presented as more certain than it actually is, could be used to justify exclusionary planning decisions, such as pre-emptively denying services or infrastructure investment to an area, rather than the proactive, supportive planning response the project is intended to enable. This risk was addressed directly by deliberately framing every output of this project as a monitoring and prioritisation aid intended to support human review, rather than as an automated or authoritative decision-making system, and by consistently and transparently reporting the model's real, tested limitations, including its comparatively low precision, alongside every result presented, rather than emphasising only its successes. Risk was further reduced through the specific choice of an interpretable model for the prediction stage, so that any future user of this system could directly inspect why a given area was flagged, rather than relying on an opaque, unexplainable output. Continued responsible use of this pipeline would require maintaining this same human-in-the-loop framing in any future deployment, and would benefit from direct feedback from planning practitioners on how its outputs are actually interpreted and acted upon in practice.</w:t>
      </w: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Future Enhancements:</w:t>
      </w:r>
    </w:p>
    <w:p w:rsidR="00000000" w:rsidDel="00000000" w:rsidP="00000000" w:rsidRDefault="00000000" w:rsidRPr="00000000" w14:paraId="0000007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8">
      <w:pPr>
        <w:spacing w:after="18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single most valuable enhancement identified during this project is the acquisition of additional, independently verified ground-truth settlement boundaries beyond the two years currently available, since the majority of the years used to train the expansion-prediction model currently rely on the detection model's own output rather than confirmed observation; more verified years would allow both stages of the pipeline to be retrained and re-evaluated with substantially reduced uncertainty.</w:t>
      </w:r>
    </w:p>
    <w:p w:rsidR="00000000" w:rsidDel="00000000" w:rsidP="00000000" w:rsidRDefault="00000000" w:rsidRPr="00000000" w14:paraId="00000079">
      <w:pPr>
        <w:spacing w:after="18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closely related enhancement would be prospective validation: rather than continuing to test the expansion model only against outcomes already known at the time of training, a genuine test would involve generating a prediction for a future year now, and then checking that prediction against real, independently collected data once that year actually arrives, which is the only way to confirm the model works as a genuine forecasting tool rather than only as a description of past patterns.</w:t>
      </w:r>
    </w:p>
    <w:p w:rsidR="00000000" w:rsidDel="00000000" w:rsidP="00000000" w:rsidRDefault="00000000" w:rsidRPr="00000000" w14:paraId="0000007A">
      <w:pPr>
        <w:spacing w:after="180" w:line="28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Further technical enhancements could include incorporating very-high-resolution satellite imagery, where budget allows, to improve detection of smaller or more sparsely built settlements that the current, medium-resolution imagery may under-represent; expanding the range of geographic context features used by the prediction model, such as building density or land-use zoning data, which were only partially explored in this project; and extending the pipeline to other rapidly urbanising cities to test whether its core findings, particularly the dominance of spatial adjacency over infrastructure proximity, hold true more generally or are specific to Mumbai. Finally, developing the output layer into a continuously updating, web-hosted dashboard, rather than a set of individually generated files, would be a natural next step towards making this tool genuinely usable on an ongoing basis by a real planning authority.</w:t>
      </w:r>
      <w:r w:rsidDel="00000000" w:rsidR="00000000" w:rsidRPr="00000000">
        <w:rPr>
          <w:rFonts w:ascii="Times New Roman" w:cs="Times New Roman" w:eastAsia="Times New Roman" w:hAnsi="Times New Roman"/>
          <w:b w:val="1"/>
          <w:bCs w:val="1"/>
          <w:sz w:val="24"/>
          <w:szCs w:val="24"/>
          <w:rtl w:val="0"/>
        </w:rPr>
        <w:br w:type="textWrapping"/>
        <w:br w:type="textWrapping"/>
      </w:r>
    </w:p>
    <w:p w:rsidR="00000000" w:rsidDel="00000000" w:rsidP="00000000" w:rsidRDefault="00000000" w:rsidRPr="00000000" w14:paraId="0000007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w:t>
      </w:r>
    </w:p>
    <w:p w:rsidR="00000000" w:rsidDel="00000000" w:rsidP="00000000" w:rsidRDefault="00000000" w:rsidRPr="00000000" w14:paraId="0000007C">
      <w:pPr>
        <w:spacing w:after="18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set out to build and test a low-cost, repeatable pipeline for monitoring informal settlement growth in Mumbai, using only freely available satellite imagery and open-source tools, and to establish whether such a pipeline could plausibly serve as a genuine planning aid rather than only an academic exercise. The results support a specific, bounded conclusion: satellite-based detection of informal settlements is achievable with freely available Sentinel-2 imagery and generalises consistently across different years, evidenced by near-identical performance on data the detection model had never seen during training. Prediction of where settlements are likely to expand next was found to be dominated by spatial adjacency to existing settlement clusters rather than by proximity to infrastructure, a finding that was specifically tested and confirmed rather than assumed.</w:t>
      </w:r>
    </w:p>
    <w:p w:rsidR="00000000" w:rsidDel="00000000" w:rsidP="00000000" w:rsidRDefault="00000000" w:rsidRPr="00000000" w14:paraId="0000007D">
      <w:pPr>
        <w:spacing w:after="18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Neither finding should be overstated. Detection performance, while consistent, remains below what higher-resolution commercial imagery has achieved in comparable published studies, and the expansion-prediction model, even at its carefully selected operating threshold, will flag a majority of locations that do not, in fact, go on to expand within the following year. The system is accordingly presented, and should be used, as a monitoring and prioritisation aid that directs limited field-verification and planning attention towards higher-likelihood areas, rather than as an authoritative or autonomous predictive instrument, a distinction maintained deliberately throughout this project's design and its ethical framing.</w:t>
      </w:r>
    </w:p>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single most direct route to improving this system further is the acquisition of additional verified ground-truth data and genuine, prospective, real-world validation of its predictions, rather than further algorithmic refinement alone. Within the scope actually achieved, however, this project demonstrates that a technically sound, honestly evaluated, and genuinely low-cost monitoring pipeline of this kind is achievable, and provides a tested foundation that could reasonably be built upon, both in Mumbai and in other rapidly growing cities facing the same underlying problem.</w:t>
      </w:r>
    </w:p>
    <w:p w:rsidR="00000000" w:rsidDel="00000000" w:rsidP="00000000" w:rsidRDefault="00000000" w:rsidRPr="00000000" w14:paraId="0000007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Bibliography:</w:t>
      </w:r>
    </w:p>
    <w:p w:rsidR="00000000" w:rsidDel="00000000" w:rsidP="00000000" w:rsidRDefault="00000000" w:rsidRPr="00000000" w14:paraId="00000082">
      <w:pPr>
        <w:spacing w:line="276" w:lineRule="auto"/>
        <w:ind w:left="144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Stark, Thomas, et al. "Satellite-Based Mapping of Urban Poverty with Transfer-Learned Slum Morphologies." IEEE Journal of Selected Topics in Applied Earth Observations and Remote Sensing, vol. 13, 2020, pp. 5251-63.</w:t>
      </w:r>
    </w:p>
    <w:p w:rsidR="00000000" w:rsidDel="00000000" w:rsidP="00000000" w:rsidRDefault="00000000" w:rsidRPr="00000000" w14:paraId="00000083">
      <w:pPr>
        <w:spacing w:line="276" w:lineRule="auto"/>
        <w:ind w:left="144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Verma, Deepank, et al. "Transfer Learning Approach to Map Urban Slums Using High and Medium Resolution Satellite Imagery." Habitat International, vol. 88, 2019, article 101981.</w:t>
      </w:r>
    </w:p>
    <w:p w:rsidR="00000000" w:rsidDel="00000000" w:rsidP="00000000" w:rsidRDefault="00000000" w:rsidRPr="00000000" w14:paraId="00000084">
      <w:pPr>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Wurm, Michael, et al. "Semantic Segmentation of Slums in Satellite Images Using Transfer Learning on Fully Convolutional Neural Networks." ISPRS Journal of Photogrammetry and Remote Sensing, vol. 150, 2019, pp. 59-69.</w:t>
      </w:r>
    </w:p>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jpg"/><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