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SOAR Playbook Architecture Design</w:t>
      </w:r>
    </w:p>
    <w:p>
      <w:pPr>
        <w:spacing w:after="300"/>
        <w:jc w:val="center"/>
      </w:pPr>
      <w:r>
        <w:rPr>
          <w:rFonts w:ascii="Calibri" w:cs="Calibri" w:eastAsia="Calibri" w:hAnsi="Calibri"/>
          <w:i/>
          <w:iCs/>
          <w:sz w:val="24"/>
          <w:szCs w:val="24"/>
        </w:rPr>
        <w:t xml:space="preserve">Use Case A: Phishing Email Response</w:t>
      </w:r>
    </w:p>
    <w:p>
      <w:pPr>
        <w:pStyle w:val="Heading1"/>
        <w:spacing w:after="80" w:before="200"/>
      </w:pPr>
      <w:r>
        <w:rPr>
          <w:rFonts w:ascii="Calibri" w:cs="Calibri" w:eastAsia="Calibri" w:hAnsi="Calibri"/>
          <w:b/>
          <w:bCs/>
          <w:sz w:val="26"/>
          <w:szCs w:val="26"/>
        </w:rPr>
        <w:t xml:space="preserve">Use Case</w:t>
      </w:r>
    </w:p>
    <w:p>
      <w:pPr>
        <w:spacing w:after="100" w:line="240"/>
      </w:pPr>
      <w:r>
        <w:rPr>
          <w:rFonts w:ascii="Calibri" w:cs="Calibri" w:eastAsia="Calibri" w:hAnsi="Calibri"/>
          <w:sz w:val="22"/>
          <w:szCs w:val="22"/>
        </w:rPr>
        <w:t xml:space="preserve">This playbook automates the initial response to reported phishing emails. Employees forward suspicious messages to a shared mailbox or click a "Report Phishing" button, and the playbook takes over from there. Phishing is high-volume and time-sensitive: analysts often receive dozens of reports a day, and manually extracting URLs, checking domains, and deciding whether to quarantine a message is slow and error-prone. Automating the first response lets analysts focus on genuinely ambiguous cases while routine phishing is handled consistently and fast, and it gives every report the same baseline level of scrutiny regardless of how busy the security team is that day.</w:t>
      </w:r>
    </w:p>
    <w:p>
      <w:pPr>
        <w:pStyle w:val="Heading1"/>
        <w:spacing w:after="80" w:before="200"/>
      </w:pPr>
      <w:r>
        <w:rPr>
          <w:rFonts w:ascii="Calibri" w:cs="Calibri" w:eastAsia="Calibri" w:hAnsi="Calibri"/>
          <w:b/>
          <w:bCs/>
          <w:sz w:val="26"/>
          <w:szCs w:val="26"/>
        </w:rPr>
        <w:t xml:space="preserve">Trigger</w:t>
      </w:r>
    </w:p>
    <w:p>
      <w:pPr>
        <w:spacing w:after="100" w:line="240"/>
      </w:pPr>
      <w:r>
        <w:rPr>
          <w:rFonts w:ascii="Calibri" w:cs="Calibri" w:eastAsia="Calibri" w:hAnsi="Calibri"/>
          <w:sz w:val="22"/>
          <w:szCs w:val="22"/>
        </w:rPr>
        <w:t xml:space="preserve">The playbook starts when a user reports a suspicious email, including the sender address, subject, body, and any attachment hash, along with who reported it. This can arrive as a structured JSON payload from a mail-security add-in or be entered manually by a helpdesk analyst. Receiving the report is the only condition needed to start the playbook, since analysis itself is non-destructive.</w:t>
      </w:r>
    </w:p>
    <w:p>
      <w:pPr>
        <w:pStyle w:val="Heading1"/>
        <w:spacing w:after="80" w:before="200"/>
      </w:pPr>
      <w:r>
        <w:rPr>
          <w:rFonts w:ascii="Calibri" w:cs="Calibri" w:eastAsia="Calibri" w:hAnsi="Calibri"/>
          <w:b/>
          <w:bCs/>
          <w:sz w:val="26"/>
          <w:szCs w:val="26"/>
        </w:rPr>
        <w:t xml:space="preserve">Conditions</w:t>
      </w:r>
    </w:p>
    <w:p>
      <w:pPr>
        <w:spacing w:after="100" w:line="240"/>
      </w:pPr>
      <w:r>
        <w:rPr>
          <w:rFonts w:ascii="Calibri" w:cs="Calibri" w:eastAsia="Calibri" w:hAnsi="Calibri"/>
          <w:sz w:val="22"/>
          <w:szCs w:val="22"/>
        </w:rPr>
        <w:t xml:space="preserve">After indicators are extracted and checked against threat intelligence, the playbook branches on a calculated risk score (0-100). A score of 70 or higher is HIGH risk and triggers automatic containment. A score between 40 and 69 is MEDIUM risk and is held for analyst review rather than acted on automatically. A score under 40 is LOW risk and is only logged, with the email delivered along with a warning banner. This keeps the playbook conservative: only clearly malicious indicators (known-bad domains, matched malware hashes, confirmed-malicious URLs) push a case into automatic action.</w:t>
      </w:r>
    </w:p>
    <w:p>
      <w:pPr>
        <w:pStyle w:val="Heading1"/>
        <w:spacing w:after="80" w:before="200"/>
      </w:pPr>
      <w:r>
        <w:rPr>
          <w:rFonts w:ascii="Calibri" w:cs="Calibri" w:eastAsia="Calibri" w:hAnsi="Calibri"/>
          <w:b/>
          <w:bCs/>
          <w:sz w:val="26"/>
          <w:szCs w:val="26"/>
        </w:rPr>
        <w:t xml:space="preserve">Actions</w:t>
      </w:r>
    </w:p>
    <w:p>
      <w:pPr>
        <w:spacing w:after="100" w:line="240"/>
      </w:pPr>
      <w:r>
        <w:rPr>
          <w:rFonts w:ascii="Calibri" w:cs="Calibri" w:eastAsia="Calibri" w:hAnsi="Calibri"/>
          <w:sz w:val="22"/>
          <w:szCs w:val="22"/>
        </w:rPr>
        <w:t xml:space="preserve">The playbook performs five categories of action: extracting indicators (sender domain, URLs, attachment hash, subject keywords), checking their reputation against local blacklists and hash databases, quarantining the email when risk is high, blocking the sender domain when risk is high, and notifying the right audience (security team for HIGH, the reporting user for MEDIUM, a log entry for LOW). Each action is scoped narrowly so a mistake in one step doesn't cascade into unrelated systems, and each one is simulated/local in this implementation rather than reaching into a live mailbox or firewall.</w:t>
      </w:r>
    </w:p>
    <w:p>
      <w:pPr>
        <w:pStyle w:val="Heading1"/>
        <w:spacing w:after="80" w:before="200"/>
      </w:pPr>
      <w:r>
        <w:rPr>
          <w:rFonts w:ascii="Calibri" w:cs="Calibri" w:eastAsia="Calibri" w:hAnsi="Calibri"/>
          <w:b/>
          <w:bCs/>
          <w:sz w:val="26"/>
          <w:szCs w:val="26"/>
        </w:rPr>
        <w:t xml:space="preserve">Outputs</w:t>
      </w:r>
    </w:p>
    <w:p>
      <w:pPr>
        <w:spacing w:after="100" w:line="240"/>
      </w:pPr>
      <w:r>
        <w:rPr>
          <w:rFonts w:ascii="Calibri" w:cs="Calibri" w:eastAsia="Calibri" w:hAnsi="Calibri"/>
          <w:sz w:val="22"/>
          <w:szCs w:val="22"/>
        </w:rPr>
        <w:t xml:space="preserve">Every run produces a risk score with reasoning, a decision (HIGH/MEDIUM/LOW), a record of which actions were taken (or would be taken, in dry-run mode), a report for the security team, and an audit entry tied to a unique run ID. These outputs let analysts see why the playbook decided what it did, without needing to re-run the analysis themselves.</w:t>
      </w:r>
    </w:p>
    <w:p>
      <w:pPr>
        <w:pStyle w:val="Heading1"/>
        <w:spacing w:after="80" w:before="200"/>
      </w:pPr>
      <w:r>
        <w:rPr>
          <w:rFonts w:ascii="Calibri" w:cs="Calibri" w:eastAsia="Calibri" w:hAnsi="Calibri"/>
          <w:b/>
          <w:bCs/>
          <w:sz w:val="26"/>
          <w:szCs w:val="26"/>
        </w:rPr>
        <w:t xml:space="preserve">Human-in-the-Loop</w:t>
      </w:r>
    </w:p>
    <w:p>
      <w:pPr>
        <w:spacing w:after="100" w:line="240"/>
      </w:pPr>
      <w:r>
        <w:rPr>
          <w:rFonts w:ascii="Calibri" w:cs="Calibri" w:eastAsia="Calibri" w:hAnsi="Calibri"/>
          <w:sz w:val="22"/>
          <w:szCs w:val="22"/>
        </w:rPr>
        <w:t xml:space="preserve">Analyst approval is required for MEDIUM-risk cases before any containment action happens; these sit in a review queue with a link back to the run ID, and no email is quarantined or blocked until an analyst signs off. HIGH-risk cases act automatically, but every action is fully logged and reversible, so a human still reviews it after the fact and can roll it back if the automation got it wrong. LOW-risk cases never require a human unless the user disputes the outcome.</w:t>
      </w:r>
    </w:p>
    <w:p>
      <w:pPr>
        <w:pStyle w:val="Heading1"/>
        <w:spacing w:after="80" w:before="200"/>
      </w:pPr>
      <w:r>
        <w:rPr>
          <w:rFonts w:ascii="Calibri" w:cs="Calibri" w:eastAsia="Calibri" w:hAnsi="Calibri"/>
          <w:b/>
          <w:bCs/>
          <w:sz w:val="26"/>
          <w:szCs w:val="26"/>
        </w:rPr>
        <w:t xml:space="preserve">Safety Controls</w:t>
      </w:r>
    </w:p>
    <w:p>
      <w:pPr>
        <w:spacing w:after="100" w:line="240"/>
      </w:pPr>
      <w:r>
        <w:rPr>
          <w:rFonts w:ascii="Calibri" w:cs="Calibri" w:eastAsia="Calibri" w:hAnsi="Calibri"/>
          <w:sz w:val="22"/>
          <w:szCs w:val="22"/>
        </w:rPr>
        <w:t xml:space="preserve">Dry-run mode runs the full extraction, reputation-check, and scoring pipeline without performing the quarantine or block step, printing what would have happened instead — the default way to test new configuration or a new blacklist entry. Rollback capability restores the last quarantined/blocked sender by reading a saved quarantine-state record and reversing it, covering the common case of a false positive. Rate limiting caps how many auto-quarantine actions the playbook can take per sender domain or time window (for example, no more than 10 per hour), preventing a bad blacklist entry or a bug from triggering a "playbook storm" that blocks legitimate mail at scale.</w:t>
      </w:r>
    </w:p>
    <w:p>
      <w:pPr>
        <w:pStyle w:val="Heading1"/>
        <w:spacing w:after="80" w:before="200"/>
      </w:pPr>
      <w:r>
        <w:rPr>
          <w:rFonts w:ascii="Calibri" w:cs="Calibri" w:eastAsia="Calibri" w:hAnsi="Calibri"/>
          <w:b/>
          <w:bCs/>
          <w:sz w:val="26"/>
          <w:szCs w:val="26"/>
        </w:rPr>
        <w:t xml:space="preserve">Audit Requirements</w:t>
      </w:r>
    </w:p>
    <w:p>
      <w:pPr>
        <w:spacing w:after="100" w:line="240"/>
      </w:pPr>
      <w:r>
        <w:rPr>
          <w:rFonts w:ascii="Calibri" w:cs="Calibri" w:eastAsia="Calibri" w:hAnsi="Calibri"/>
          <w:sz w:val="22"/>
          <w:szCs w:val="22"/>
        </w:rPr>
        <w:t xml:space="preserve">Every run logs a timestamp, the reporting user, a unique run ID, each extraction and reputation-check step with its result, the final risk score and decision, every action taken, and any errors encountered along the way. Logs are written to a local, append-only file (playbook.log) for this implementation; in a production deployment the same structured entries would also be forwarded to a SIEM for centralized search, correlation, and alerting alongside other security data. A reasonable retention period is 90 days of readily searchable logs, consistent with common incident-response and compliance windows, with older logs archived to cold storage rather than deleted outright.</w:t>
      </w:r>
    </w:p>
    <w:p>
      <w:pPr>
        <w:pStyle w:val="Heading1"/>
        <w:spacing w:after="80" w:before="200"/>
      </w:pPr>
      <w:r>
        <w:rPr>
          <w:rFonts w:ascii="Calibri" w:cs="Calibri" w:eastAsia="Calibri" w:hAnsi="Calibri"/>
          <w:b/>
          <w:bCs/>
          <w:sz w:val="26"/>
          <w:szCs w:val="26"/>
        </w:rPr>
        <w:t xml:space="preserve">Workflow Diagram</w:t>
      </w:r>
    </w:p>
    <w:p>
      <w:pPr>
        <w:spacing w:after="0"/>
      </w:pPr>
      <w:r>
        <w:rPr>
          <w:rFonts w:ascii="Courier New" w:cs="Courier New" w:eastAsia="Courier New" w:hAnsi="Courier New"/>
          <w:sz w:val="18"/>
          <w:szCs w:val="18"/>
        </w:rPr>
        <w:t xml:space="preserve">User reports email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Trigger: Report Received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Extract Indicators ]  (domain, URLs, hash, keywords)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Reputation Checks ]   (blacklist, URL check, hash check)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Risk Scoring: 0-100 ]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v             v               v</w:t>
      </w:r>
    </w:p>
    <w:p>
      <w:pPr>
        <w:spacing w:after="0"/>
      </w:pPr>
      <w:r>
        <w:rPr>
          <w:rFonts w:ascii="Courier New" w:cs="Courier New" w:eastAsia="Courier New" w:hAnsi="Courier New"/>
          <w:sz w:val="18"/>
          <w:szCs w:val="18"/>
        </w:rPr>
        <w:t xml:space="preserve"> HIGH (&gt;=70)  MEDIUM (40-69)   LOW (&lt;40)</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v             v               v</w:t>
      </w:r>
    </w:p>
    <w:p>
      <w:pPr>
        <w:spacing w:after="0"/>
      </w:pPr>
      <w:r>
        <w:rPr>
          <w:rFonts w:ascii="Courier New" w:cs="Courier New" w:eastAsia="Courier New" w:hAnsi="Courier New"/>
          <w:sz w:val="18"/>
          <w:szCs w:val="18"/>
        </w:rPr>
        <w:t xml:space="preserve"> Auto-quarantine Hold for      Log only,</w:t>
      </w:r>
    </w:p>
    <w:p>
      <w:pPr>
        <w:spacing w:after="0"/>
      </w:pPr>
      <w:r>
        <w:rPr>
          <w:rFonts w:ascii="Courier New" w:cs="Courier New" w:eastAsia="Courier New" w:hAnsi="Courier New"/>
          <w:sz w:val="18"/>
          <w:szCs w:val="18"/>
        </w:rPr>
        <w:t xml:space="preserve"> Block sender    analyst       deliver with</w:t>
      </w:r>
    </w:p>
    <w:p>
      <w:pPr>
        <w:spacing w:after="0"/>
      </w:pPr>
      <w:r>
        <w:rPr>
          <w:rFonts w:ascii="Courier New" w:cs="Courier New" w:eastAsia="Courier New" w:hAnsi="Courier New"/>
          <w:sz w:val="18"/>
          <w:szCs w:val="18"/>
        </w:rPr>
        <w:t xml:space="preserve"> Notify SecTeam  review,       warning</w:t>
      </w:r>
    </w:p>
    <w:p>
      <w:pPr>
        <w:spacing w:after="0"/>
      </w:pPr>
      <w:r>
        <w:rPr>
          <w:rFonts w:ascii="Courier New" w:cs="Courier New" w:eastAsia="Courier New" w:hAnsi="Courier New"/>
          <w:sz w:val="18"/>
          <w:szCs w:val="18"/>
        </w:rPr>
        <w:t xml:space="preserve">                 notify user</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Notification / Report Generated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 Audit Log Written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2026-08-09T15:58:43.007Z</dcterms:created>
  <dcterms:modified xsi:type="dcterms:W3CDTF">2026-08-09T15:58:43.021Z</dcterms:modified>
</cp:coreProperties>
</file>

<file path=docProps/custom.xml><?xml version="1.0" encoding="utf-8"?>
<Properties xmlns="http://schemas.openxmlformats.org/officeDocument/2006/custom-properties" xmlns:vt="http://schemas.openxmlformats.org/officeDocument/2006/docPropsVTypes"/>
</file>