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2"/>
          <w:szCs w:val="32"/>
        </w:rPr>
        <w:t xml:space="preserve">Task 1 — Threat Intelligence Landscape</w:t>
      </w:r>
    </w:p>
    <w:p>
      <w:pPr>
        <w:spacing w:after="40"/>
        <w:jc w:val="center"/>
      </w:pPr>
      <w:r>
        <w:rPr>
          <w:rFonts w:ascii="Calibri" w:cs="Calibri" w:eastAsia="Calibri" w:hAnsi="Calibri"/>
          <w:i/>
          <w:iCs/>
          <w:color w:val="555555"/>
          <w:sz w:val="22"/>
          <w:szCs w:val="22"/>
        </w:rPr>
        <w:t xml:space="preserve">THE ARZENS — GCR Program, Beginner Track, Assignment 4</w:t>
      </w:r>
    </w:p>
    <w:p>
      <w:pPr>
        <w:spacing w:after="240"/>
        <w:jc w:val="center"/>
      </w:pPr>
      <w:r>
        <w:rPr>
          <w:rFonts w:ascii="Calibri" w:cs="Calibri" w:eastAsia="Calibri" w:hAnsi="Calibri"/>
          <w:color w:val="555555"/>
          <w:sz w:val="22"/>
          <w:szCs w:val="22"/>
        </w:rPr>
        <w:t xml:space="preserve">Prepared by: Shawal</w:t>
      </w:r>
    </w:p>
    <w:p>
      <w:pPr>
        <w:pStyle w:val="Heading1"/>
        <w:spacing w:after="120" w:before="240"/>
      </w:pPr>
      <w:r>
        <w:rPr>
          <w:rFonts w:ascii="Calibri" w:cs="Calibri" w:eastAsia="Calibri" w:hAnsi="Calibri"/>
          <w:b/>
          <w:bCs/>
        </w:rPr>
        <w:t xml:space="preserve">Introduction</w:t>
      </w:r>
    </w:p>
    <w:p>
      <w:pPr>
        <w:spacing w:after="160" w:line="276"/>
      </w:pPr>
      <w:r>
        <w:rPr>
          <w:rFonts w:ascii="Calibri" w:cs="Calibri" w:eastAsia="Calibri" w:hAnsi="Calibri"/>
          <w:sz w:val="24"/>
          <w:szCs w:val="24"/>
        </w:rPr>
        <w:t xml:space="preserve">Threat intelligence platforms help security teams check if a file, IP address, or domain is dangerous. In this report, I look at three well known platforms: VirusTotal, AbuseIPDB, and AlienVault Open Threat Exchange (OTX). I compare what each one does, how it detects threats, and when a security team would use it. I also give a recommendation for a small SOC with a limited budget.</w:t>
      </w:r>
    </w:p>
    <w:p>
      <w:pPr>
        <w:pStyle w:val="Heading1"/>
        <w:spacing w:after="120" w:before="240"/>
      </w:pPr>
      <w:r>
        <w:rPr>
          <w:rFonts w:ascii="Calibri" w:cs="Calibri" w:eastAsia="Calibri" w:hAnsi="Calibri"/>
          <w:b/>
          <w:bCs/>
        </w:rPr>
        <w:t xml:space="preserve">VirusTotal</w:t>
      </w:r>
    </w:p>
    <w:p>
      <w:pPr>
        <w:spacing w:after="160" w:line="276"/>
      </w:pPr>
      <w:r>
        <w:rPr>
          <w:rFonts w:ascii="Calibri" w:cs="Calibri" w:eastAsia="Calibri" w:hAnsi="Calibri"/>
          <w:sz w:val="24"/>
          <w:szCs w:val="24"/>
        </w:rPr>
        <w:t xml:space="preserve">VirusTotal checks files, URLs, IP addresses, and domains. It sends the file or link to more than 70 antivirus engines and website scanners, then combines the results into one report. It is owned by Google and is well known in the security community.</w:t>
      </w:r>
    </w:p>
    <w:p>
      <w:pPr>
        <w:spacing w:after="160" w:line="276"/>
      </w:pPr>
      <w:r>
        <w:rPr>
          <w:rFonts w:ascii="Calibri" w:cs="Calibri" w:eastAsia="Calibri" w:hAnsi="Calibri"/>
          <w:sz w:val="24"/>
          <w:szCs w:val="24"/>
        </w:rPr>
        <w:t xml:space="preserve">VirusTotal is best at detecting malware. Because it uses so many antivirus engines at once, it can catch threats that a single antivirus tool might miss. Its data comes from these antivirus engines and from website scanning services.</w:t>
      </w:r>
    </w:p>
    <w:p>
      <w:pPr>
        <w:spacing w:after="160" w:line="276"/>
      </w:pPr>
      <w:r>
        <w:rPr>
          <w:rFonts w:ascii="Calibri" w:cs="Calibri" w:eastAsia="Calibri" w:hAnsi="Calibri"/>
          <w:sz w:val="24"/>
          <w:szCs w:val="24"/>
        </w:rPr>
        <w:t xml:space="preserve">To use the API, you need to register for a free account and get a personal API key. The key is sent in the request header, so it is never typed into the URL. The free public tier allows 500 requests per day and 4 requests per minute. The premium tier removes these limits but costs money.</w:t>
      </w:r>
    </w:p>
    <w:p>
      <w:pPr>
        <w:spacing w:after="160" w:line="276"/>
      </w:pPr>
      <w:r>
        <w:rPr>
          <w:rFonts w:ascii="Calibri" w:cs="Calibri" w:eastAsia="Calibri" w:hAnsi="Calibri"/>
          <w:sz w:val="24"/>
          <w:szCs w:val="24"/>
        </w:rPr>
        <w:t xml:space="preserve">Real-world use case: A SOC analyst receives an email with a suspicious attachment. Instead of opening the file, the analyst gets the file hash and checks it on VirusTotal. If several antivirus engines flag it as malicious, the analyst blocks the file and warns other employees.</w:t>
      </w:r>
    </w:p>
    <w:p>
      <w:pPr>
        <w:pStyle w:val="Heading1"/>
        <w:spacing w:after="120" w:before="240"/>
      </w:pPr>
      <w:r>
        <w:rPr>
          <w:rFonts w:ascii="Calibri" w:cs="Calibri" w:eastAsia="Calibri" w:hAnsi="Calibri"/>
          <w:b/>
          <w:bCs/>
        </w:rPr>
        <w:t xml:space="preserve">AbuseIPDB</w:t>
      </w:r>
    </w:p>
    <w:p>
      <w:pPr>
        <w:spacing w:after="160" w:line="276"/>
      </w:pPr>
      <w:r>
        <w:rPr>
          <w:rFonts w:ascii="Calibri" w:cs="Calibri" w:eastAsia="Calibri" w:hAnsi="Calibri"/>
          <w:sz w:val="24"/>
          <w:szCs w:val="24"/>
        </w:rPr>
        <w:t xml:space="preserve">AbuseIPDB focuses only on IP addresses. It tells you if an IP has a history of spamming, hacking attempts, or other abusive activity. It is a community-driven database, which means its information comes from reports submitted by other users, honeypots, and blacklists.</w:t>
      </w:r>
    </w:p>
    <w:p>
      <w:pPr>
        <w:spacing w:after="160" w:line="276"/>
      </w:pPr>
      <w:r>
        <w:rPr>
          <w:rFonts w:ascii="Calibri" w:cs="Calibri" w:eastAsia="Calibri" w:hAnsi="Calibri"/>
          <w:sz w:val="24"/>
          <w:szCs w:val="24"/>
        </w:rPr>
        <w:t xml:space="preserve">AbuseIPDB is best at detecting IP-based threats, such as brute-force login attempts, port scanning, and spam. It gives a confidence score from 0 to 100, showing how likely it is that the IP is malicious.</w:t>
      </w:r>
    </w:p>
    <w:p>
      <w:pPr>
        <w:spacing w:after="160" w:line="276"/>
      </w:pPr>
      <w:r>
        <w:rPr>
          <w:rFonts w:ascii="Calibri" w:cs="Calibri" w:eastAsia="Calibri" w:hAnsi="Calibri"/>
          <w:sz w:val="24"/>
          <w:szCs w:val="24"/>
        </w:rPr>
        <w:t xml:space="preserve">Authentication also uses an API key, sent through a header called Key. The free tier allows 1,000 checks per day, which is enough for a small team. Verified webmaster accounts get 3,000 requests per day, and higher-tier paid plans give more.</w:t>
      </w:r>
    </w:p>
    <w:p>
      <w:pPr>
        <w:spacing w:after="160" w:line="276"/>
      </w:pPr>
      <w:r>
        <w:rPr>
          <w:rFonts w:ascii="Calibri" w:cs="Calibri" w:eastAsia="Calibri" w:hAnsi="Calibri"/>
          <w:sz w:val="24"/>
          <w:szCs w:val="24"/>
        </w:rPr>
        <w:t xml:space="preserve">Real-world use case: A firewall log shows repeated failed login attempts from one IP address. The analyst checks that IP on AbuseIPDB. If the confidence score is high, the analyst blocks the IP right away instead of waiting to investigate manually.</w:t>
      </w:r>
    </w:p>
    <w:p>
      <w:pPr>
        <w:pStyle w:val="Heading1"/>
        <w:spacing w:after="120" w:before="240"/>
      </w:pPr>
      <w:r>
        <w:rPr>
          <w:rFonts w:ascii="Calibri" w:cs="Calibri" w:eastAsia="Calibri" w:hAnsi="Calibri"/>
          <w:b/>
          <w:bCs/>
        </w:rPr>
        <w:t xml:space="preserve">AlienVault Open Threat Exchange (OTX)</w:t>
      </w:r>
    </w:p>
    <w:p>
      <w:pPr>
        <w:spacing w:after="160" w:line="276"/>
      </w:pPr>
      <w:r>
        <w:rPr>
          <w:rFonts w:ascii="Calibri" w:cs="Calibri" w:eastAsia="Calibri" w:hAnsi="Calibri"/>
          <w:sz w:val="24"/>
          <w:szCs w:val="24"/>
        </w:rPr>
        <w:t xml:space="preserve">AlienVault OTX is different from the other two. It is not just a lookup tool, it is a threat intelligence sharing community. Security researchers around the world publish "pulses," which are collections of related indicators of compromise (IOCs) tied to a specific threat or campaign.</w:t>
      </w:r>
    </w:p>
    <w:p>
      <w:pPr>
        <w:spacing w:after="160" w:line="276"/>
      </w:pPr>
      <w:r>
        <w:rPr>
          <w:rFonts w:ascii="Calibri" w:cs="Calibri" w:eastAsia="Calibri" w:hAnsi="Calibri"/>
          <w:sz w:val="24"/>
          <w:szCs w:val="24"/>
        </w:rPr>
        <w:t xml:space="preserve">OTX is best for threat hunting. Instead of checking one indicator at a time, an analyst can see everything connected to a threat, such as related domains, IPs, and file hashes. This helps analysts understand the bigger picture of an attack, not just a single data point.</w:t>
      </w:r>
    </w:p>
    <w:p>
      <w:pPr>
        <w:spacing w:after="160" w:line="276"/>
      </w:pPr>
      <w:r>
        <w:rPr>
          <w:rFonts w:ascii="Calibri" w:cs="Calibri" w:eastAsia="Calibri" w:hAnsi="Calibri"/>
          <w:sz w:val="24"/>
          <w:szCs w:val="24"/>
        </w:rPr>
        <w:t xml:space="preserve">Authentication uses an API key sent in the X-OTX-API-KEY header. Registration is free, and OTX does not enforce a strict daily request cap the way VirusTotal and AbuseIPDB do, which makes it attractive for teams on a tight budget.</w:t>
      </w:r>
    </w:p>
    <w:p>
      <w:pPr>
        <w:spacing w:after="160" w:line="276"/>
      </w:pPr>
      <w:r>
        <w:rPr>
          <w:rFonts w:ascii="Calibri" w:cs="Calibri" w:eastAsia="Calibri" w:hAnsi="Calibri"/>
          <w:sz w:val="24"/>
          <w:szCs w:val="24"/>
        </w:rPr>
        <w:t xml:space="preserve">Real-world use case: After blocking a malicious IP, an analyst searches OTX pulses related to that IP. This reveals a whole botnet campaign, including dozens of other IPs and domains the team did not know about yet.</w:t>
      </w:r>
    </w:p>
    <w:p>
      <w:pPr>
        <w:pStyle w:val="Heading1"/>
        <w:spacing w:after="120" w:before="240"/>
      </w:pPr>
      <w:r>
        <w:rPr>
          <w:rFonts w:ascii="Calibri" w:cs="Calibri" w:eastAsia="Calibri" w:hAnsi="Calibri"/>
          <w:b/>
          <w:bCs/>
        </w:rPr>
        <w:t xml:space="preserve">Comparison Table</w:t>
      </w:r>
    </w:p>
    <w:tbl>
      <w:tblPr>
        <w:tblW w:type="dxa" w:w="9640"/>
        <w:tblBorders>
          <w:top w:val="single" w:color="AAAAAA" w:sz="4"/>
          <w:left w:val="single" w:color="AAAAAA" w:sz="4"/>
          <w:bottom w:val="single" w:color="AAAAAA" w:sz="4"/>
          <w:right w:val="single" w:color="AAAAAA" w:sz="4"/>
          <w:insideH w:val="single" w:color="AAAAAA" w:sz="4"/>
          <w:insideV w:val="single" w:color="AAAAAA" w:sz="4"/>
        </w:tblBorders>
      </w:tblPr>
      <w:tblGrid>
        <w:gridCol w:w="1600"/>
        <w:gridCol w:w="2000"/>
        <w:gridCol w:w="1700"/>
        <w:gridCol w:w="2000"/>
        <w:gridCol w:w="2340"/>
      </w:tblGrid>
      <w:tr>
        <w:trPr>
          <w:tblHeader/>
        </w:trPr>
        <w:tc>
          <w:tcPr>
            <w:tcW w:type="dxa" w:w="1600"/>
            <w:shd w:fill="D9E2F3" w:val="clear"/>
            <w:tcMar>
              <w:top w:type="dxa" w:w="100"/>
              <w:left w:type="dxa" w:w="100"/>
              <w:bottom w:type="dxa" w:w="100"/>
              <w:right w:type="dxa" w:w="100"/>
            </w:tcMar>
          </w:tcPr>
          <w:p>
            <w:r>
              <w:rPr>
                <w:rFonts w:ascii="Calibri" w:cs="Calibri" w:eastAsia="Calibri" w:hAnsi="Calibri"/>
                <w:b/>
                <w:bCs/>
                <w:sz w:val="22"/>
                <w:szCs w:val="22"/>
              </w:rPr>
              <w:t xml:space="preserve">Platform</w:t>
            </w:r>
          </w:p>
        </w:tc>
        <w:tc>
          <w:tcPr>
            <w:tcW w:type="dxa" w:w="2000"/>
            <w:shd w:fill="D9E2F3" w:val="clear"/>
            <w:tcMar>
              <w:top w:type="dxa" w:w="100"/>
              <w:left w:type="dxa" w:w="100"/>
              <w:bottom w:type="dxa" w:w="100"/>
              <w:right w:type="dxa" w:w="100"/>
            </w:tcMar>
          </w:tcPr>
          <w:p>
            <w:r>
              <w:rPr>
                <w:rFonts w:ascii="Calibri" w:cs="Calibri" w:eastAsia="Calibri" w:hAnsi="Calibri"/>
                <w:b/>
                <w:bCs/>
                <w:sz w:val="22"/>
                <w:szCs w:val="22"/>
              </w:rPr>
              <w:t xml:space="preserve">Best For</w:t>
            </w:r>
          </w:p>
        </w:tc>
        <w:tc>
          <w:tcPr>
            <w:tcW w:type="dxa" w:w="1700"/>
            <w:shd w:fill="D9E2F3" w:val="clear"/>
            <w:tcMar>
              <w:top w:type="dxa" w:w="100"/>
              <w:left w:type="dxa" w:w="100"/>
              <w:bottom w:type="dxa" w:w="100"/>
              <w:right w:type="dxa" w:w="100"/>
            </w:tcMar>
          </w:tcPr>
          <w:p>
            <w:r>
              <w:rPr>
                <w:rFonts w:ascii="Calibri" w:cs="Calibri" w:eastAsia="Calibri" w:hAnsi="Calibri"/>
                <w:b/>
                <w:bCs/>
                <w:sz w:val="22"/>
                <w:szCs w:val="22"/>
              </w:rPr>
              <w:t xml:space="preserve">Rate Limit</w:t>
            </w:r>
          </w:p>
        </w:tc>
        <w:tc>
          <w:tcPr>
            <w:tcW w:type="dxa" w:w="2000"/>
            <w:shd w:fill="D9E2F3" w:val="clear"/>
            <w:tcMar>
              <w:top w:type="dxa" w:w="100"/>
              <w:left w:type="dxa" w:w="100"/>
              <w:bottom w:type="dxa" w:w="100"/>
              <w:right w:type="dxa" w:w="100"/>
            </w:tcMar>
          </w:tcPr>
          <w:p>
            <w:r>
              <w:rPr>
                <w:rFonts w:ascii="Calibri" w:cs="Calibri" w:eastAsia="Calibri" w:hAnsi="Calibri"/>
                <w:b/>
                <w:bCs/>
                <w:sz w:val="22"/>
                <w:szCs w:val="22"/>
              </w:rPr>
              <w:t xml:space="preserve">Authentication</w:t>
            </w:r>
          </w:p>
        </w:tc>
        <w:tc>
          <w:tcPr>
            <w:tcW w:type="dxa" w:w="2340"/>
            <w:shd w:fill="D9E2F3" w:val="clear"/>
            <w:tcMar>
              <w:top w:type="dxa" w:w="100"/>
              <w:left w:type="dxa" w:w="100"/>
              <w:bottom w:type="dxa" w:w="100"/>
              <w:right w:type="dxa" w:w="100"/>
            </w:tcMar>
          </w:tcPr>
          <w:p>
            <w:r>
              <w:rPr>
                <w:rFonts w:ascii="Calibri" w:cs="Calibri" w:eastAsia="Calibri" w:hAnsi="Calibri"/>
                <w:b/>
                <w:bCs/>
                <w:sz w:val="22"/>
                <w:szCs w:val="22"/>
              </w:rPr>
              <w:t xml:space="preserve">Use Case</w:t>
            </w:r>
          </w:p>
        </w:tc>
      </w:tr>
      <w:tr>
        <w:trPr>
          <w:tblHeader w:val="false"/>
        </w:trPr>
        <w:tc>
          <w:tcPr>
            <w:tcW w:type="dxa" w:w="1600"/>
            <w:tcMar>
              <w:top w:type="dxa" w:w="100"/>
              <w:left w:type="dxa" w:w="100"/>
              <w:bottom w:type="dxa" w:w="100"/>
              <w:right w:type="dxa" w:w="100"/>
            </w:tcMar>
          </w:tcPr>
          <w:p>
            <w:r>
              <w:rPr>
                <w:rFonts w:ascii="Calibri" w:cs="Calibri" w:eastAsia="Calibri" w:hAnsi="Calibri"/>
                <w:b w:val="false"/>
                <w:bCs w:val="false"/>
                <w:sz w:val="22"/>
                <w:szCs w:val="22"/>
              </w:rPr>
              <w:t xml:space="preserve">VirusTotal</w:t>
            </w:r>
          </w:p>
        </w:tc>
        <w:tc>
          <w:tcPr>
            <w:tcW w:type="dxa" w:w="2000"/>
            <w:tcMar>
              <w:top w:type="dxa" w:w="100"/>
              <w:left w:type="dxa" w:w="100"/>
              <w:bottom w:type="dxa" w:w="100"/>
              <w:right w:type="dxa" w:w="100"/>
            </w:tcMar>
          </w:tcPr>
          <w:p>
            <w:r>
              <w:rPr>
                <w:rFonts w:ascii="Calibri" w:cs="Calibri" w:eastAsia="Calibri" w:hAnsi="Calibri"/>
                <w:b w:val="false"/>
                <w:bCs w:val="false"/>
                <w:sz w:val="22"/>
                <w:szCs w:val="22"/>
              </w:rPr>
              <w:t xml:space="preserve">File and malware reputation checking</w:t>
            </w:r>
          </w:p>
        </w:tc>
        <w:tc>
          <w:tcPr>
            <w:tcW w:type="dxa" w:w="1700"/>
            <w:tcMar>
              <w:top w:type="dxa" w:w="100"/>
              <w:left w:type="dxa" w:w="100"/>
              <w:bottom w:type="dxa" w:w="100"/>
              <w:right w:type="dxa" w:w="100"/>
            </w:tcMar>
          </w:tcPr>
          <w:p>
            <w:r>
              <w:rPr>
                <w:rFonts w:ascii="Calibri" w:cs="Calibri" w:eastAsia="Calibri" w:hAnsi="Calibri"/>
                <w:b w:val="false"/>
                <w:bCs w:val="false"/>
                <w:sz w:val="22"/>
                <w:szCs w:val="22"/>
              </w:rPr>
              <w:t xml:space="preserve">Free: 500 requests/day, 4/min</w:t>
            </w:r>
          </w:p>
        </w:tc>
        <w:tc>
          <w:tcPr>
            <w:tcW w:type="dxa" w:w="2000"/>
            <w:tcMar>
              <w:top w:type="dxa" w:w="100"/>
              <w:left w:type="dxa" w:w="100"/>
              <w:bottom w:type="dxa" w:w="100"/>
              <w:right w:type="dxa" w:w="100"/>
            </w:tcMar>
          </w:tcPr>
          <w:p>
            <w:r>
              <w:rPr>
                <w:rFonts w:ascii="Calibri" w:cs="Calibri" w:eastAsia="Calibri" w:hAnsi="Calibri"/>
                <w:b w:val="false"/>
                <w:bCs w:val="false"/>
                <w:sz w:val="22"/>
                <w:szCs w:val="22"/>
              </w:rPr>
              <w:t xml:space="preserve">API key in x-apikey header</w:t>
            </w:r>
          </w:p>
        </w:tc>
        <w:tc>
          <w:tcPr>
            <w:tcW w:type="dxa" w:w="2340"/>
            <w:tcMar>
              <w:top w:type="dxa" w:w="100"/>
              <w:left w:type="dxa" w:w="100"/>
              <w:bottom w:type="dxa" w:w="100"/>
              <w:right w:type="dxa" w:w="100"/>
            </w:tcMar>
          </w:tcPr>
          <w:p>
            <w:r>
              <w:rPr>
                <w:rFonts w:ascii="Calibri" w:cs="Calibri" w:eastAsia="Calibri" w:hAnsi="Calibri"/>
                <w:b w:val="false"/>
                <w:bCs w:val="false"/>
                <w:sz w:val="22"/>
                <w:szCs w:val="22"/>
              </w:rPr>
              <w:t xml:space="preserve">Analyst checks a suspicious email attachment hash</w:t>
            </w:r>
          </w:p>
        </w:tc>
      </w:tr>
      <w:tr>
        <w:trPr>
          <w:tblHeader w:val="false"/>
        </w:trPr>
        <w:tc>
          <w:tcPr>
            <w:tcW w:type="dxa" w:w="1600"/>
            <w:tcMar>
              <w:top w:type="dxa" w:w="100"/>
              <w:left w:type="dxa" w:w="100"/>
              <w:bottom w:type="dxa" w:w="100"/>
              <w:right w:type="dxa" w:w="100"/>
            </w:tcMar>
          </w:tcPr>
          <w:p>
            <w:r>
              <w:rPr>
                <w:rFonts w:ascii="Calibri" w:cs="Calibri" w:eastAsia="Calibri" w:hAnsi="Calibri"/>
                <w:b w:val="false"/>
                <w:bCs w:val="false"/>
                <w:sz w:val="22"/>
                <w:szCs w:val="22"/>
              </w:rPr>
              <w:t xml:space="preserve">AbuseIPDB</w:t>
            </w:r>
          </w:p>
        </w:tc>
        <w:tc>
          <w:tcPr>
            <w:tcW w:type="dxa" w:w="2000"/>
            <w:tcMar>
              <w:top w:type="dxa" w:w="100"/>
              <w:left w:type="dxa" w:w="100"/>
              <w:bottom w:type="dxa" w:w="100"/>
              <w:right w:type="dxa" w:w="100"/>
            </w:tcMar>
          </w:tcPr>
          <w:p>
            <w:r>
              <w:rPr>
                <w:rFonts w:ascii="Calibri" w:cs="Calibri" w:eastAsia="Calibri" w:hAnsi="Calibri"/>
                <w:b w:val="false"/>
                <w:bCs w:val="false"/>
                <w:sz w:val="22"/>
                <w:szCs w:val="22"/>
              </w:rPr>
              <w:t xml:space="preserve">IP reputation and blocking</w:t>
            </w:r>
          </w:p>
        </w:tc>
        <w:tc>
          <w:tcPr>
            <w:tcW w:type="dxa" w:w="1700"/>
            <w:tcMar>
              <w:top w:type="dxa" w:w="100"/>
              <w:left w:type="dxa" w:w="100"/>
              <w:bottom w:type="dxa" w:w="100"/>
              <w:right w:type="dxa" w:w="100"/>
            </w:tcMar>
          </w:tcPr>
          <w:p>
            <w:r>
              <w:rPr>
                <w:rFonts w:ascii="Calibri" w:cs="Calibri" w:eastAsia="Calibri" w:hAnsi="Calibri"/>
                <w:b w:val="false"/>
                <w:bCs w:val="false"/>
                <w:sz w:val="22"/>
                <w:szCs w:val="22"/>
              </w:rPr>
              <w:t xml:space="preserve">Free: 1,000 checks/day</w:t>
            </w:r>
          </w:p>
        </w:tc>
        <w:tc>
          <w:tcPr>
            <w:tcW w:type="dxa" w:w="2000"/>
            <w:tcMar>
              <w:top w:type="dxa" w:w="100"/>
              <w:left w:type="dxa" w:w="100"/>
              <w:bottom w:type="dxa" w:w="100"/>
              <w:right w:type="dxa" w:w="100"/>
            </w:tcMar>
          </w:tcPr>
          <w:p>
            <w:r>
              <w:rPr>
                <w:rFonts w:ascii="Calibri" w:cs="Calibri" w:eastAsia="Calibri" w:hAnsi="Calibri"/>
                <w:b w:val="false"/>
                <w:bCs w:val="false"/>
                <w:sz w:val="22"/>
                <w:szCs w:val="22"/>
              </w:rPr>
              <w:t xml:space="preserve">API key in Key header</w:t>
            </w:r>
          </w:p>
        </w:tc>
        <w:tc>
          <w:tcPr>
            <w:tcW w:type="dxa" w:w="2340"/>
            <w:tcMar>
              <w:top w:type="dxa" w:w="100"/>
              <w:left w:type="dxa" w:w="100"/>
              <w:bottom w:type="dxa" w:w="100"/>
              <w:right w:type="dxa" w:w="100"/>
            </w:tcMar>
          </w:tcPr>
          <w:p>
            <w:r>
              <w:rPr>
                <w:rFonts w:ascii="Calibri" w:cs="Calibri" w:eastAsia="Calibri" w:hAnsi="Calibri"/>
                <w:b w:val="false"/>
                <w:bCs w:val="false"/>
                <w:sz w:val="22"/>
                <w:szCs w:val="22"/>
              </w:rPr>
              <w:t xml:space="preserve">Analyst checks an IP before adding a firewall block rule</w:t>
            </w:r>
          </w:p>
        </w:tc>
      </w:tr>
      <w:tr>
        <w:trPr>
          <w:tblHeader w:val="false"/>
        </w:trPr>
        <w:tc>
          <w:tcPr>
            <w:tcW w:type="dxa" w:w="1600"/>
            <w:tcMar>
              <w:top w:type="dxa" w:w="100"/>
              <w:left w:type="dxa" w:w="100"/>
              <w:bottom w:type="dxa" w:w="100"/>
              <w:right w:type="dxa" w:w="100"/>
            </w:tcMar>
          </w:tcPr>
          <w:p>
            <w:r>
              <w:rPr>
                <w:rFonts w:ascii="Calibri" w:cs="Calibri" w:eastAsia="Calibri" w:hAnsi="Calibri"/>
                <w:b w:val="false"/>
                <w:bCs w:val="false"/>
                <w:sz w:val="22"/>
                <w:szCs w:val="22"/>
              </w:rPr>
              <w:t xml:space="preserve">AlienVault OTX</w:t>
            </w:r>
          </w:p>
        </w:tc>
        <w:tc>
          <w:tcPr>
            <w:tcW w:type="dxa" w:w="2000"/>
            <w:tcMar>
              <w:top w:type="dxa" w:w="100"/>
              <w:left w:type="dxa" w:w="100"/>
              <w:bottom w:type="dxa" w:w="100"/>
              <w:right w:type="dxa" w:w="100"/>
            </w:tcMar>
          </w:tcPr>
          <w:p>
            <w:r>
              <w:rPr>
                <w:rFonts w:ascii="Calibri" w:cs="Calibri" w:eastAsia="Calibri" w:hAnsi="Calibri"/>
                <w:b w:val="false"/>
                <w:bCs w:val="false"/>
                <w:sz w:val="22"/>
                <w:szCs w:val="22"/>
              </w:rPr>
              <w:t xml:space="preserve">Threat hunting and IOC sharing</w:t>
            </w:r>
          </w:p>
        </w:tc>
        <w:tc>
          <w:tcPr>
            <w:tcW w:type="dxa" w:w="1700"/>
            <w:tcMar>
              <w:top w:type="dxa" w:w="100"/>
              <w:left w:type="dxa" w:w="100"/>
              <w:bottom w:type="dxa" w:w="100"/>
              <w:right w:type="dxa" w:w="100"/>
            </w:tcMar>
          </w:tcPr>
          <w:p>
            <w:r>
              <w:rPr>
                <w:rFonts w:ascii="Calibri" w:cs="Calibri" w:eastAsia="Calibri" w:hAnsi="Calibri"/>
                <w:b w:val="false"/>
                <w:bCs w:val="false"/>
                <w:sz w:val="22"/>
                <w:szCs w:val="22"/>
              </w:rPr>
              <w:t xml:space="preserve">Free: no fixed daily cap, key-based access is unlimited</w:t>
            </w:r>
          </w:p>
        </w:tc>
        <w:tc>
          <w:tcPr>
            <w:tcW w:type="dxa" w:w="2000"/>
            <w:tcMar>
              <w:top w:type="dxa" w:w="100"/>
              <w:left w:type="dxa" w:w="100"/>
              <w:bottom w:type="dxa" w:w="100"/>
              <w:right w:type="dxa" w:w="100"/>
            </w:tcMar>
          </w:tcPr>
          <w:p>
            <w:r>
              <w:rPr>
                <w:rFonts w:ascii="Calibri" w:cs="Calibri" w:eastAsia="Calibri" w:hAnsi="Calibri"/>
                <w:b w:val="false"/>
                <w:bCs w:val="false"/>
                <w:sz w:val="22"/>
                <w:szCs w:val="22"/>
              </w:rPr>
              <w:t xml:space="preserve">API key in X-OTX-API-KEY header</w:t>
            </w:r>
          </w:p>
        </w:tc>
        <w:tc>
          <w:tcPr>
            <w:tcW w:type="dxa" w:w="2340"/>
            <w:tcMar>
              <w:top w:type="dxa" w:w="100"/>
              <w:left w:type="dxa" w:w="100"/>
              <w:bottom w:type="dxa" w:w="100"/>
              <w:right w:type="dxa" w:w="100"/>
            </w:tcMar>
          </w:tcPr>
          <w:p>
            <w:r>
              <w:rPr>
                <w:rFonts w:ascii="Calibri" w:cs="Calibri" w:eastAsia="Calibri" w:hAnsi="Calibri"/>
                <w:b w:val="false"/>
                <w:bCs w:val="false"/>
                <w:sz w:val="22"/>
                <w:szCs w:val="22"/>
              </w:rPr>
              <w:t xml:space="preserve">Analyst pulls related IOCs after a phishing incident</w:t>
            </w:r>
          </w:p>
        </w:tc>
      </w:tr>
    </w:tbl>
    <w:p>
      <w:pPr>
        <w:spacing w:after="200"/>
      </w:pPr>
      <w:r>
        <w:rPr>
          <w:rFonts w:ascii="Calibri" w:cs="Calibri" w:eastAsia="Calibri" w:hAnsi="Calibri"/>
        </w:rPr>
        <w:t xml:space="preserve"/>
      </w:r>
    </w:p>
    <w:p>
      <w:pPr>
        <w:pStyle w:val="Heading1"/>
        <w:spacing w:after="120" w:before="240"/>
      </w:pPr>
      <w:r>
        <w:rPr>
          <w:rFonts w:ascii="Calibri" w:cs="Calibri" w:eastAsia="Calibri" w:hAnsi="Calibri"/>
          <w:b/>
          <w:bCs/>
        </w:rPr>
        <w:t xml:space="preserve">Recommendation</w:t>
      </w:r>
    </w:p>
    <w:p>
      <w:pPr>
        <w:spacing w:after="160" w:line="276"/>
      </w:pPr>
      <w:r>
        <w:rPr>
          <w:rFonts w:ascii="Calibri" w:cs="Calibri" w:eastAsia="Calibri" w:hAnsi="Calibri"/>
          <w:sz w:val="24"/>
          <w:szCs w:val="24"/>
        </w:rPr>
        <w:t xml:space="preserve">For a small SOC with a limited budget, I would recommend starting with AbuseIPDB and AlienVault OTX together, and using VirusTotal for the occasional file check.</w:t>
      </w:r>
    </w:p>
    <w:p>
      <w:pPr>
        <w:spacing w:after="160" w:line="276"/>
      </w:pPr>
      <w:r>
        <w:rPr>
          <w:rFonts w:ascii="Calibri" w:cs="Calibri" w:eastAsia="Calibri" w:hAnsi="Calibri"/>
          <w:sz w:val="24"/>
          <w:szCs w:val="24"/>
        </w:rPr>
        <w:t xml:space="preserve">AbuseIPDB is simple, free, and gives a fast answer about IP addresses, which is the most common type of alert a small SOC deals with. Its 1,000 requests per day limit is generous for a small team. OTX adds context that AbuseIPDB does not have, since it shows related indicators and full attack campaigns, and it does not charge for its core lookup features. VirusTotal is still useful, but its 500 requests per day and 4 requests per minute limit is tight, so it should be saved for files and links that really need a multi-engine scan.</w:t>
      </w:r>
    </w:p>
    <w:p>
      <w:pPr>
        <w:spacing w:after="160" w:line="276"/>
      </w:pPr>
      <w:r>
        <w:rPr>
          <w:rFonts w:ascii="Calibri" w:cs="Calibri" w:eastAsia="Calibri" w:hAnsi="Calibri"/>
          <w:sz w:val="24"/>
          <w:szCs w:val="24"/>
        </w:rPr>
        <w:t xml:space="preserve">Using all three together, but leaning on the two with looser free limits, gives a small SOC good coverage without needing to pay for a premium plan right away.</w:t>
      </w:r>
    </w:p>
    <w:p>
      <w:pPr>
        <w:pStyle w:val="Heading1"/>
        <w:spacing w:after="120" w:before="240"/>
      </w:pPr>
      <w:r>
        <w:rPr>
          <w:rFonts w:ascii="Calibri" w:cs="Calibri" w:eastAsia="Calibri" w:hAnsi="Calibri"/>
          <w:b/>
          <w:bCs/>
        </w:rPr>
        <w:t xml:space="preserve">References</w:t>
      </w:r>
    </w:p>
    <w:p>
      <w:pPr>
        <w:pStyle w:val="ListParagraph"/>
        <w:numPr>
          <w:ilvl w:val="0"/>
          <w:numId w:val="1"/>
        </w:numPr>
        <w:spacing w:after="80"/>
      </w:pPr>
      <w:r>
        <w:rPr>
          <w:rFonts w:ascii="Calibri" w:cs="Calibri" w:eastAsia="Calibri" w:hAnsi="Calibri"/>
          <w:sz w:val="24"/>
          <w:szCs w:val="24"/>
        </w:rPr>
        <w:t xml:space="preserve">VirusTotal. "Public vs Premium API." docs.virustotal.com/reference/public-vs-premium-api</w:t>
      </w:r>
    </w:p>
    <w:p>
      <w:pPr>
        <w:pStyle w:val="ListParagraph"/>
        <w:numPr>
          <w:ilvl w:val="0"/>
          <w:numId w:val="1"/>
        </w:numPr>
        <w:spacing w:after="80"/>
      </w:pPr>
      <w:r>
        <w:rPr>
          <w:rFonts w:ascii="Calibri" w:cs="Calibri" w:eastAsia="Calibri" w:hAnsi="Calibri"/>
          <w:sz w:val="24"/>
          <w:szCs w:val="24"/>
        </w:rPr>
        <w:t xml:space="preserve">VirusTotal. "API Overview." docs.virustotal.com/docs/api-overview</w:t>
      </w:r>
    </w:p>
    <w:p>
      <w:pPr>
        <w:pStyle w:val="ListParagraph"/>
        <w:numPr>
          <w:ilvl w:val="0"/>
          <w:numId w:val="1"/>
        </w:numPr>
        <w:spacing w:after="80"/>
      </w:pPr>
      <w:r>
        <w:rPr>
          <w:rFonts w:ascii="Calibri" w:cs="Calibri" w:eastAsia="Calibri" w:hAnsi="Calibri"/>
          <w:sz w:val="24"/>
          <w:szCs w:val="24"/>
        </w:rPr>
        <w:t xml:space="preserve">AbuseIPDB. "API Documentation." abuseipdb.com/api.html</w:t>
      </w:r>
    </w:p>
    <w:p>
      <w:pPr>
        <w:pStyle w:val="ListParagraph"/>
        <w:numPr>
          <w:ilvl w:val="0"/>
          <w:numId w:val="1"/>
        </w:numPr>
        <w:spacing w:after="80"/>
      </w:pPr>
      <w:r>
        <w:rPr>
          <w:rFonts w:ascii="Calibri" w:cs="Calibri" w:eastAsia="Calibri" w:hAnsi="Calibri"/>
          <w:sz w:val="24"/>
          <w:szCs w:val="24"/>
        </w:rPr>
        <w:t xml:space="preserve">AbuseIPDB. "Frequently Asked Questions." abuseipdb.com/faq.html</w:t>
      </w:r>
    </w:p>
    <w:p>
      <w:pPr>
        <w:pStyle w:val="ListParagraph"/>
        <w:numPr>
          <w:ilvl w:val="0"/>
          <w:numId w:val="1"/>
        </w:numPr>
        <w:spacing w:after="80"/>
      </w:pPr>
      <w:r>
        <w:rPr>
          <w:rFonts w:ascii="Calibri" w:cs="Calibri" w:eastAsia="Calibri" w:hAnsi="Calibri"/>
          <w:sz w:val="24"/>
          <w:szCs w:val="24"/>
        </w:rPr>
        <w:t xml:space="preserve">AlienVault OTX. "External API Documentation." otx.alienvault.com/assets/static/external_api.html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2026-08-02T13:45:53.039Z</dcterms:created>
  <dcterms:modified xsi:type="dcterms:W3CDTF">2026-08-02T13:45:53.051Z</dcterms:modified>
</cp:coreProperties>
</file>

<file path=docProps/custom.xml><?xml version="1.0" encoding="utf-8"?>
<Properties xmlns="http://schemas.openxmlformats.org/officeDocument/2006/custom-properties" xmlns:vt="http://schemas.openxmlformats.org/officeDocument/2006/docPropsVTypes"/>
</file>