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as a purely academic exercise, without access to any proprietary or confidential data.</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three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1300"/>
        <w:gridCol w:w="1000"/>
        <w:gridCol w:w="1800"/>
        <w:gridCol w:w="1500"/>
        <w:gridCol w:w="5700"/>
      </w:tblGrid>
      <w:tr>
        <w:trPr>
          <w:tblHeader/>
        </w:trPr>
        <w:tc>
          <w:tcPr>
            <w:tcW w:type="dxa" w:w="13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8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5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57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00"/>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00"/>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00"/>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00"/>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30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8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57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3200"/>
        <w:gridCol w:w="3400"/>
      </w:tblGrid>
      <w:tr>
        <w:trPr>
          <w:tblHeader/>
        </w:trPr>
        <w:tc>
          <w:tcPr>
            <w:tcW w:type="dxa" w:w="15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3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500"/>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3400"/>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Three real, documented case packets with independently verifiable ground truth, and a verified, leak-free diagnostic input for each (Section 7).</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(n=3) is sufficient to identify and characterise qualitative failure modes but is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fidelity check (Section 6.7) has been validated at a considerably smaller scale (n=3 to n=5 per fixture) than the Auditor's checks (n=9, Section 8.7), and its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two cases with unambiguous macro-environmental triggers (Section 8.7); a third case whose only trigger candidate is a specific technical malfunction closely tied to the diagnosed design flaw produced a consistent rejection across two attempts (Section 6.7), which may reflect either a correctly narrow definition of “external” or a genuine limitation of a binary trigger/root-cause split for this category of case. This is reported as an open question rather than resolved either way.</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Larger-scale repeated-trial validation of the fidelity check (Section 6.7), matching the n=9 standard established for the Auditor's checks (Section 8.7), and a direct test of whether the Auditor's own Check 1, Check 2, and Check 3 exhibit the same cross-check dependency confirmed for the fidelity check's checks prior to their architectural isolation.</w:t>
      </w:r>
    </w:p>
    <w:p>
      <w:pPr>
        <w:pStyle w:val="ListParagraph"/>
        <w:numPr>
          <w:ilvl w:val="0"/>
          <w:numId w:val="2"/>
        </w:numPr>
        <w:spacing w:after="100" w:line="276"/>
      </w:pPr>
      <w:r>
        <w:rPr>
          <w:rFonts w:ascii="Calibri" w:cs="Calibri" w:eastAsia="Calibri" w:hAnsi="Calibri"/>
          <w:sz w:val="22"/>
          <w:szCs w:val="22"/>
        </w:rPr>
        <w:t xml:space="preserve">Resolution of the open question identified in Section 6.7 regarding Check 1's externality boundary on technical-malfunction cases, either by extending the check's definition or by confirming that routing such cases to human review is the correct behaviour rather than a limitation.</w:t>
      </w:r>
    </w:p>
    <w:p>
      <w:pPr>
        <w:pStyle w:val="ListParagraph"/>
        <w:numPr>
          <w:ilvl w:val="0"/>
          <w:numId w:val="2"/>
        </w:numPr>
        <w:spacing w:after="100" w:line="276"/>
      </w:pPr>
      <w:r>
        <w:rPr>
          <w:rFonts w:ascii="Calibri" w:cs="Calibri" w:eastAsia="Calibri" w:hAnsi="Calibri"/>
          <w:sz w:val="22"/>
          <w:szCs w:val="22"/>
        </w:rPr>
        <w:t xml:space="preserve">Expansion of the case corpus, which would both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