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A further, smaller-scale test characterised the Auditor's Check 1 at rejecting an internal decision relabelled as an external trigger, correctly rejecting it in eight of nine attempts against a dedicated synthetic fixture across two separate rounds of testing, with the one miss not yet explained by any identified factor. The system was also given a working demonstration interface that reports genuine backend pipeline state in real time, rather than a simulated timer, and produces a downloadable report carrying its own verification status and provenance. These extensions are reported in Sections 4.2, 8.13,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as a purely academic exercise, without access to any proprietary or confidential data.</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is reported at exactly the scale it was run: three trials per case, not the nine used to characterise the original corpus, and is offered as corroborating evidence on two new, real cases rather than as an independent replication at the same statistical weight as Section 8.7. Running the same nine-trial protocol on PIA and Airlift is identified as remaining work in Section 10.3.</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has been validated at a considerably smaller scale (n=3 to n=5 per fixture) than the Auditor's checks (n=9, Section 8.7), and its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Larger-scale repeated-trial validation of the fidelity check (Section 6.7), matching the n=9 standard established for the Auditor's checks (Section 8.7), and a direct test of whether the Auditor's own Check 1, Check 2, and Check 3 exhibit the same cross-check dependency confirmed for the fidelity check's checks prior to their architectural isolation.</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further round of Check 1 Part B trials on the Ohio Warehouse fixture (Section 8.13), extending the existing nine attempts with a fresh set of independently-worded framings, to determine whether the one miss reflects a genuine, if infrequent, failure mode or an artefact of a single trial.</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Extending the forced-ranking trials on PIA and Airlift (Section 8.14) from three per case to nine, matching the scale used to characterise the original three cases (Section 8.7), before treating the four-case Check 1 validation or the repeated omission-blindness observation as more than directional.</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