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8.13, 8.15,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is reported at exactly the scale it was run: three trials per case, not the nine used to characterise the original corpus, and is offered as corroborating evidence on two new, real cases rather than as an independent replication at the same statistical weight as Section 8.7. Running the same nine-trial protocol on PIA and Airlift is identified as remaining work in Section 10.3.</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 asking explicitly whether the company controlled the underlying event, rather than whether decision language is present — is identified as remaining work in Section 10.3, to be validated at the same controlled scale used here before being treated as closing the gap.</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has been validated at a considerably smaller scale (n=3 to n=5 per fixture) than the Auditor's checks (n=9, Section 8.7), and its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Larger-scale repeated-trial validation of the fidelity check (Section 6.7), matching the n=9 standard established for the Auditor's checks (Section 8.7), and a direct test of whether the Auditor's own Check 1, Check 2, and Check 3 exhibit the same cross-check dependency confirmed for the fidelity check's checks prior to their architectural isolation.</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wording fix to Check 1 Part B targeting the specific substitution mechanism identified in Section 8.15 (explicit decision language standing in for genuine control), followed by a fresh controlled round on the Ohio Warehouse fixture at the same n=9 scale used here, to confirm whether the fix closes the gap without narrowing what the check catches elsewhere.</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Extending the forced-ranking trials on PIA and Airlift (Section 8.14) from three per case to nine, matching the scale used to characterise the original three cases (Section 8.7), before treating the four-case Check 1 validation or the repeated omission-blindness observation as more than directional.</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