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0"/>
          <w:szCs w:val="40"/>
        </w:rPr>
        <w:t xml:space="preserve">System Development and Engineering Process</w:t>
      </w:r>
    </w:p>
    <w:p>
      <w:pPr>
        <w:spacing w:after="480"/>
      </w:pPr>
      <w:r>
        <w:rPr>
          <w:rFonts w:ascii="Calibri" w:cs="Calibri" w:eastAsia="Calibri" w:hAnsi="Calibri"/>
          <w:i/>
          <w:iCs/>
          <w:color w:val="444444"/>
          <w:sz w:val="26"/>
          <w:szCs w:val="26"/>
        </w:rPr>
        <w:t xml:space="preserve">A Multi-Agent Retrieval-Augmented System for Automated Business Case Diagnosis</w:t>
      </w:r>
    </w:p>
    <w:p>
      <w:pPr>
        <w:pStyle w:val="Heading1"/>
        <w:spacing w:after="160" w:before="360"/>
      </w:pPr>
      <w:r>
        <w:t xml:space="preserve">Abstract</w:t>
      </w:r>
    </w:p>
    <w:p>
      <w:pPr>
        <w:spacing w:after="200" w:line="276"/>
      </w:pPr>
      <w:r>
        <w:rPr>
          <w:rFonts w:ascii="Calibri" w:cs="Calibri" w:eastAsia="Calibri" w:hAnsi="Calibri"/>
          <w:sz w:val="22"/>
          <w:szCs w:val="22"/>
        </w:rPr>
        <w:t xml:space="preserve">This report documents the design, implementation, and empirical validation of MASS, a multi-agent retrieval-augmented system for automated business case diagnosis. The system combines a curated business-frameworks knowledge base with a five-agent CrewAI pipeline — Researcher, Analyst, Auditor, a bounded revision mechanism, and an Orchestrator — applied to three real, independently documented corporate case studies (the Southwest Airlines 2022 operational meltdown, the Boeing 737 MAX grounding, and Peloton's 2021–2022 inventory collapse).</w:t>
      </w:r>
    </w:p>
    <w:p>
      <w:pPr>
        <w:spacing w:after="200" w:line="276"/>
      </w:pPr>
      <w:r>
        <w:rPr>
          <w:rFonts w:ascii="Calibri" w:cs="Calibri" w:eastAsia="Calibri" w:hAnsi="Calibri"/>
          <w:sz w:val="22"/>
          <w:szCs w:val="22"/>
        </w:rPr>
        <w:t xml:space="preserve">The project's central empirical question is whether this multi-agent architecture adds genuine diagnostic value over a single, unscaffolded call to the same underlying model. An initial comparison proved inconclusive; a subsequent, deliberately more demanding test — forcing both conditions to produce a ranked, weighted breakdown of causes — resolved it decisively. The unscaffolded baseline fabricated a confident, precisely formatted, and entirely unsupported percentage ranking on every case, reliably across nine independent trials, while the audited pipeline did not, and the Auditor correctly identified the baseline's own real fabricated output as such in every instance tested. A controlled follow-up test isolated and confirmed a specific limitation of this result: the Auditor's checks evaluate whether a claim is supported, not whether a ranking is complete. A second, independently constructed controlled test extended this finding to a related but distinct limitation: when an input states a cause is unknown, the pipeline consistently fabricates a specific unsupported explanation for it rather than preserving that uncertainty, a gap traced to the same class of check evaluating how a claim is categorised rather than whether its content is grounded in the input. A third check was then designed specifically to close this gap, refined across four rounds against precisely characterised failures, and confirmed at the same n=9, cross-domain scale used elsewhere in this document — closing the gap directly, and in the process resolving a previously untested question: removing the fabricated content did not reduce the audit's pass rate, contrary to the concern that motivated testing it.</w:t>
      </w:r>
    </w:p>
    <w:p>
      <w:pPr>
        <w:spacing w:after="200" w:line="276"/>
      </w:pPr>
      <w:r>
        <w:rPr>
          <w:rFonts w:ascii="Calibri" w:cs="Calibri" w:eastAsia="Calibri" w:hAnsi="Calibri"/>
          <w:sz w:val="22"/>
          <w:szCs w:val="22"/>
        </w:rPr>
        <w:t xml:space="preserve">Several further findings emerged from the process of building and debugging the system rather than from its initial design, including a retrieval failure resolved through query reformulation, a data-integrity correction affecting earlier results, and a defect in the Orchestrator's synthesis stage found and corrected on its first real validation run. The report treats this process, and its negative and inconclusive results, as part of the contribution rather than incidental history.</w:t>
      </w:r>
    </w:p>
    <w:p>
      <w:pPr>
        <w:spacing w:after="200" w:line="276"/>
      </w:pPr>
      <w:r>
        <w:rPr>
          <w:rFonts w:ascii="Calibri" w:cs="Calibri" w:eastAsia="Calibri" w:hAnsi="Calibri"/>
          <w:sz w:val="22"/>
          <w:szCs w:val="22"/>
        </w:rPr>
        <w:t xml:space="preserve">Since this validation was completed, the corpus was extended with two further real, publicly documented cases from Pakistan — the 2020 PIA Karachi crash and its associated pilot-licensing and financial crisis, and the 2022 collapse of Airlift Technologies — chosen specifically to ground the corpus in the market this project targets for eventual real-world use. The forced-ranking fabrication result and the Auditor's detection of it were subsequently extended to both new cases at the same n=9 scale used for the original three, reaching a clean 9 of 9 fabricated and 9 of 9 caught for each, and surfacing a domain-dependent refinement of the omission-blindness finding (Section 8.16): a discrete trigger event was omitted from the ranking in most trials, while a diffuse macroeconomic trigger retained its own line in nearly all of them. A further, smaller-scale test characterised the Auditor's Check 1 at rejecting an internal decision relabelled as an external trigger, correctly rejecting it in eight of nine attempts across two earlier rounds against a dedicated synthetic fixture. A third, deliberately differentiated round of nine fresh, independently-worded framings then found this robustness to be framing-dependent rather than uniform, correctly rejecting only four of nine, with a reproducible mechanism identified behind the misses rather than an unexplained miss rate. A wording fix targeting that mechanism was then attempted and found to make the problem worse rather than better, and was reverted (Section 8.17); a second, structural attempt requiring the Auditor to name the trigger's controlling actor before its verdict was also tried, correctly identified the actor as internal in every miss, but still made the problem worse by applying an unrelated test to reach its verdict, and was likewise reverted (Section 8.18). A further three-round n=9 investigation resolved an older open question about Boeing's only trigger candidate — a technical malfunction closely tied to its diagnosed design flaw — finding that Part B's correctness on this case depends on whether the diagnosis's own wording states a motive for the underlying decision, not on an independent judgment of foreseeability (Section 8.19). A separate re-validation of the Orchestrator's fidelity check at this same n=9 scale found six of its seven fixture/check combinations replicating perfectly, but overturned a previously-reported clean result on the seventh: Check C's scope-qualifier check, which an earlier n=3 round had found catching a real report's dropped qualifiers in all three trials, caught them in only one of nine at this larger scale. The system was also given a working demonstration interface that reports genuine backend pipeline state in real time, rather than a simulated timer, and produces a downloadable report carrying its own verification status and provenance. The Intake agent was also validated against weak grammar and code-switched Roman Urdu/English input matching this project's actual target market, holding at zero hedge-to-certainty promotions across 25 trials, a narrow vague-quantifier exception found in this pass was fixed and confirmed stable across two further validation rounds, while a related causal-inference pattern persisted across two targeted wording fixes and is documented as a limitation rather than corrected. These extensions are reported in Sections 4.2, 6.8, 6.9, 8.13, 8.15, 8.16, 8.17, 8.18, 8.19, and 9.</w:t>
      </w:r>
    </w:p>
    <w:p>
      <w:pPr>
        <w:pStyle w:val="Heading1"/>
        <w:spacing w:after="160" w:before="360"/>
      </w:pPr>
      <w:r>
        <w:t xml:space="preserve">Table of Contents</w:t>
      </w:r>
    </w:p>
    <w:p>
      <w:pPr>
        <w:spacing w:after="200" w:line="276"/>
      </w:pPr>
      <w:r>
        <w:rPr>
          <w:rFonts w:ascii="Calibri" w:cs="Calibri" w:eastAsia="Calibri" w:hAnsi="Calibri"/>
          <w:i/>
          <w:iCs/>
          <w:color w:val="555555"/>
          <w:sz w:val="20"/>
          <w:szCs w:val="20"/>
        </w:rPr>
        <w:t xml:space="preserve">This table populates automatically from the document’s heading styles. In Word, right-click anywhere in it and choose “Update Field” (or select it and press F9) once after opening.</w:t>
      </w:r>
    </w:p>
    <w:p>
      <w:pPr>
        <w:spacing w:after="200" w:line="276"/>
      </w:pPr>
      <w:r>
        <w:fldChar w:fldCharType="begin" w:dirty="true"/>
        <w:instrText xml:space="preserve"> TOC \o "1-2" \h \z \u </w:instrText>
        <w:fldChar w:fldCharType="separate"/>
      </w:r>
      <w:r>
        <w:rPr>
          <w:rFonts w:ascii="Calibri" w:cs="Calibri" w:eastAsia="Calibri" w:hAnsi="Calibri"/>
          <w:sz w:val="22"/>
          <w:szCs w:val="22"/>
        </w:rPr>
        <w:t xml:space="preserve">[Table of contents will appear here after the field is updated.]</w:t>
      </w:r>
      <w:r>
        <w:fldChar w:fldCharType="end"/>
      </w:r>
    </w:p>
    <w:p>
      <w:pPr>
        <w:pStyle w:val="Heading1"/>
        <w:spacing w:after="160" w:before="360"/>
      </w:pPr>
      <w:r>
        <w:t xml:space="preserve">1. Introduction</w:t>
      </w:r>
    </w:p>
    <w:p>
      <w:pPr>
        <w:spacing w:after="200" w:line="276"/>
      </w:pPr>
      <w:r>
        <w:rPr>
          <w:rFonts w:ascii="Calibri" w:cs="Calibri" w:eastAsia="Calibri" w:hAnsi="Calibri"/>
          <w:sz w:val="22"/>
          <w:szCs w:val="22"/>
        </w:rPr>
        <w:t xml:space="preserve">This document describes the design, implementation, and iterative refinement of a multi-agent system — referred to throughout as </w:t>
      </w:r>
      <w:r>
        <w:rPr>
          <w:rFonts w:ascii="Calibri" w:cs="Calibri" w:eastAsia="Calibri" w:hAnsi="Calibri"/>
          <w:i/>
          <w:iCs/>
          <w:sz w:val="22"/>
          <w:szCs w:val="22"/>
        </w:rPr>
        <w:t xml:space="preserve">MASS</w:t>
      </w:r>
      <w:r>
        <w:rPr>
          <w:rFonts w:ascii="Calibri" w:cs="Calibri" w:eastAsia="Calibri" w:hAnsi="Calibri"/>
          <w:sz w:val="22"/>
          <w:szCs w:val="22"/>
        </w:rPr>
        <w:t xml:space="preserve"> — built to retrieve relevant business diagnostic frameworks and apply them to real corporate case studies. The system combines a retrieval-augmented generation (RAG) pipeline with a three-agent architecture (Researcher, Analyst, and Auditor) implemented in CrewAI, orchestrating large language model calls to Google's Gemini API.</w:t>
      </w:r>
    </w:p>
    <w:p>
      <w:pPr>
        <w:spacing w:after="200" w:line="276"/>
      </w:pPr>
      <w:r>
        <w:rPr>
          <w:rFonts w:ascii="Calibri" w:cs="Calibri" w:eastAsia="Calibri" w:hAnsi="Calibri"/>
          <w:sz w:val="22"/>
          <w:szCs w:val="22"/>
        </w:rPr>
        <w:t xml:space="preserve">A significant portion of the project's most substantive technical findings emerged not from the initial design, but from the process of testing, debugging, and iteratively refining the system once it was running. This document treats that process as part of the contribution rather than incidental noise: several of the results below — the retrieval ablation study in particular, and the Auditor's iterative refinement in Section 6 — are presented as findings in their own right, with the methodology, the evidence, and the reasoning that produced them made explicit.</w:t>
      </w:r>
    </w:p>
    <w:p>
      <w:pPr>
        <w:spacing w:after="200" w:line="276"/>
      </w:pPr>
      <w:r>
        <w:rPr>
          <w:rFonts w:ascii="Calibri" w:cs="Calibri" w:eastAsia="Calibri" w:hAnsi="Calibri"/>
          <w:sz w:val="22"/>
          <w:szCs w:val="22"/>
        </w:rPr>
        <w:t xml:space="preserve">The document is organised as follows. Section 2 describes a significant early pivot in project scope and its consequences for the system's design, and positions the project against the closest published prior work. Section 3 gives a brief architectural overview. Section 4 describes the construction of the knowledge base and case corpus. Section 5 presents the retrieval ablation study, the project's central empirical finding regarding retrieval. Section 6 describes the design and validation of each agent, including a detailed case study of the Auditor's four-round refinement process and the subsequent addition of a revision loop and an Orchestrator agent. Section 7 describes a data-integrity correction discovered during later testing and its implications for results reported earlier in the document. Section 8 presents a controlled ablation study comparing the full pipeline against the same underlying model prompted directly, including the project's most decisive empirical result. Section 9 summarises the engineering challenges encountered during development. Section 10 states the current state of the system, its known limitations, and remaining work.</w:t>
      </w:r>
    </w:p>
    <w:p>
      <w:pPr>
        <w:pStyle w:val="Heading1"/>
        <w:spacing w:after="160" w:before="360"/>
      </w:pPr>
      <w:r>
        <w:t xml:space="preserve">2. Project Scope and a Key Design Pivot</w:t>
      </w:r>
    </w:p>
    <w:p>
      <w:pPr>
        <w:spacing w:after="200" w:line="276"/>
      </w:pPr>
      <w:r>
        <w:rPr>
          <w:rFonts w:ascii="Calibri" w:cs="Calibri" w:eastAsia="Calibri" w:hAnsi="Calibri"/>
          <w:sz w:val="22"/>
          <w:szCs w:val="22"/>
        </w:rPr>
        <w:t xml:space="preserve">The project was originally scoped around a two-layer knowledge base: a generic layer of standard business frameworks, and a domain-specific layer of proprietary consulting materials intended to supply the kind of practical, case-tested judgment that distinguishes an experienced practitioner from a textbook. That second source of material did not materialise, and the project was reframed midway through development around public, verifiable case data instead, without access to any proprietary or confidential material.</w:t>
      </w:r>
    </w:p>
    <w:p>
      <w:pPr>
        <w:spacing w:after="200" w:line="276"/>
      </w:pPr>
      <w:r>
        <w:rPr>
          <w:rFonts w:ascii="Calibri" w:cs="Calibri" w:eastAsia="Calibri" w:hAnsi="Calibri"/>
          <w:sz w:val="22"/>
          <w:szCs w:val="22"/>
        </w:rPr>
        <w:t xml:space="preserve">This had two direct consequences for the system's design. First, the system needed an alternative source of test scenarios for the agents to diagnose. Second, it needed an alternative evaluation methodology, since the original plan — comparing the system's output against a real consultant's judgment — was no longer available.</w:t>
      </w:r>
    </w:p>
    <w:p>
      <w:pPr>
        <w:spacing w:after="200" w:line="276"/>
      </w:pPr>
      <w:r>
        <w:rPr>
          <w:rFonts w:ascii="Calibri" w:cs="Calibri" w:eastAsia="Calibri" w:hAnsi="Calibri"/>
          <w:sz w:val="22"/>
          <w:szCs w:val="22"/>
        </w:rPr>
        <w:t xml:space="preserve">Both gaps were addressed in ways that arguably strengthened the project's methodological rigour rather than weakening it. Test scenarios were sourced from </w:t>
      </w:r>
      <w:r>
        <w:rPr>
          <w:rFonts w:ascii="Calibri" w:cs="Calibri" w:eastAsia="Calibri" w:hAnsi="Calibri"/>
          <w:b/>
          <w:bCs/>
          <w:sz w:val="22"/>
          <w:szCs w:val="22"/>
        </w:rPr>
        <w:t xml:space="preserve">real, publicly documented corporate events</w:t>
      </w:r>
      <w:r>
        <w:rPr>
          <w:rFonts w:ascii="Calibri" w:cs="Calibri" w:eastAsia="Calibri" w:hAnsi="Calibri"/>
          <w:sz w:val="22"/>
          <w:szCs w:val="22"/>
        </w:rPr>
        <w:t xml:space="preserve"> — the Southwest Airlines December 2022 operational meltdown, the Boeing 737 MAX grounding, and Peloton's 2021–2022 demand and inventory collapse — rather than either synthetic scenarios or licensed case-study products. This avoided any licensing or copyright concern while preserving a genuine, externally verifiable ground truth: each case has a real, independently documented root-cause finding (from a government investigation, a company's own post-mortem, or established financial reporting) against which the system's output can be scored.</w:t>
      </w:r>
    </w:p>
    <w:p>
      <w:pPr>
        <w:spacing w:after="200" w:line="276"/>
      </w:pPr>
      <w:r>
        <w:rPr>
          <w:rFonts w:ascii="Calibri" w:cs="Calibri" w:eastAsia="Calibri" w:hAnsi="Calibri"/>
          <w:sz w:val="22"/>
          <w:szCs w:val="22"/>
        </w:rPr>
        <w:t xml:space="preserve">The evaluation methodology was correspondingly reframed as an </w:t>
      </w:r>
      <w:r>
        <w:rPr>
          <w:rFonts w:ascii="Calibri" w:cs="Calibri" w:eastAsia="Calibri" w:hAnsi="Calibri"/>
          <w:b/>
          <w:bCs/>
          <w:sz w:val="22"/>
          <w:szCs w:val="22"/>
        </w:rPr>
        <w:t xml:space="preserve">ablation study</w:t>
      </w:r>
      <w:r>
        <w:rPr>
          <w:rFonts w:ascii="Calibri" w:cs="Calibri" w:eastAsia="Calibri" w:hAnsi="Calibri"/>
          <w:sz w:val="22"/>
          <w:szCs w:val="22"/>
        </w:rPr>
        <w:t xml:space="preserve">: comparing the full multi-agent, RAG-augmented pipeline against a single zero-shot LLM call on the same cases. This requires no external human panel, is fully reproducible, and directly tests the specific claim the project is making — that the multi-agent architecture adds diagnostic value beyond what a single LLM call already provides — rather than the softer and harder-to-defend claim that the system's output is preferable to a particular consultant's.</w:t>
      </w:r>
    </w:p>
    <w:p>
      <w:pPr>
        <w:pStyle w:val="Heading2"/>
        <w:spacing w:after="120" w:before="280"/>
      </w:pPr>
      <w:r>
        <w:t xml:space="preserve">2.1 Related Work</w:t>
      </w:r>
    </w:p>
    <w:p>
      <w:pPr>
        <w:spacing w:after="200" w:line="276"/>
      </w:pPr>
      <w:r>
        <w:rPr>
          <w:rFonts w:ascii="Calibri" w:cs="Calibri" w:eastAsia="Calibri" w:hAnsi="Calibri"/>
          <w:sz w:val="22"/>
          <w:szCs w:val="22"/>
        </w:rPr>
        <w:t xml:space="preserve">The closest published prior work is MaRGen (Koshkin, Dai, Fujikawa, Togami, and Visentini-Scarzanella, 2025), presented at the LLM4ECommerce Workshop at the 31st ACM SIGKDD Conference on Knowledge Discovery and Data Mining (KDD '25). MaRGen similarly decomposes automated business report generation into specialised, collaborating agents — a Researcher, a Reviewer, a Writer, and a Retriever — built around an internal market-research workflow and trained in-context on real consultants' presentation materials. The overlap with MASS is real: both projects test whether a role-differentiated multi-agent pipeline improves on a single LLM call for a business-analysis task, and both include an internal review stage as part of that pipeline, broadly analogous to MASS's Auditor.</w:t>
      </w:r>
    </w:p>
    <w:p>
      <w:pPr>
        <w:spacing w:after="200" w:line="276"/>
      </w:pPr>
      <w:r>
        <w:rPr>
          <w:rFonts w:ascii="Calibri" w:cs="Calibri" w:eastAsia="Calibri" w:hAnsi="Calibri"/>
          <w:sz w:val="22"/>
          <w:szCs w:val="22"/>
        </w:rPr>
        <w:t xml:space="preserve">The two projects differ in what they are actually built to demonstrate. MaRGen's central contribution is an LLM-based evaluation system for report quality — a multi-dimensional scorer, covering non-triviality, justification, clarity, feasibility, balance, and overall quality, shown to align with expert human judgement, with an automated review cycle built on top of it. MASS's contribution is narrower and more mechanistic by design: rather than a general quality score, the system targets one specific, well-defined failure mode — the fabrication of a confident, precisely formatted, but entirely unsupported causal ranking under realistic pressure (Section 8) — and demonstrates, through a controlled and falsifiable comparison against an identical unscaffolded baseline, that the audited pipeline avoids it while the baseline reliably does not. The Auditor's two checks (Section 6.3) are correspondingly narrow and evidence-derived, rather than a general-purpose quality reviewer analogous to MaRGen's Reviewer agent.</w:t>
      </w:r>
    </w:p>
    <w:p>
      <w:pPr>
        <w:spacing w:after="200" w:line="276"/>
      </w:pPr>
      <w:r>
        <w:rPr>
          <w:rFonts w:ascii="Calibri" w:cs="Calibri" w:eastAsia="Calibri" w:hAnsi="Calibri"/>
          <w:sz w:val="22"/>
          <w:szCs w:val="22"/>
        </w:rPr>
        <w:t xml:space="preserve">MASS additionally treats retrieval as a load-bearing empirical question in its own right (Section 5) rather than a solved precondition: the 0.00 framework-recall finding and its resolution through query reformulation is a retrieval-augmented-generation-specific result with no direct counterpart in MaRGen, which retrieves from structured databases rather than a framework knowledge base. MASS is best understood as a narrower, more mechanistically scoped sibling to MaRGen's broader report-generation framework — trading MaRGen's general-purpose quality evaluation for a single, decisively demonstrated claim about one specific and consequential way multi-agent scaffolding can fail, and does not fail, under controlled conditions.</w:t>
      </w:r>
    </w:p>
    <w:p>
      <w:pPr>
        <w:pStyle w:val="Heading1"/>
        <w:spacing w:after="160" w:before="360"/>
      </w:pPr>
      <w:r>
        <w:t xml:space="preserve">3. System Architecture Overview</w:t>
      </w:r>
    </w:p>
    <w:p>
      <w:pPr>
        <w:spacing w:after="200" w:line="276"/>
      </w:pPr>
      <w:r>
        <w:rPr>
          <w:rFonts w:ascii="Calibri" w:cs="Calibri" w:eastAsia="Calibri" w:hAnsi="Calibri"/>
          <w:sz w:val="22"/>
          <w:szCs w:val="22"/>
        </w:rPr>
        <w:t xml:space="preserve">The system consists of four components, described in detail in the sections that follow:</w:t>
      </w:r>
    </w:p>
    <w:p>
      <w:pPr>
        <w:pStyle w:val="ListParagraph"/>
        <w:numPr>
          <w:ilvl w:val="0"/>
          <w:numId w:val="2"/>
        </w:numPr>
        <w:spacing w:after="100" w:line="276"/>
      </w:pPr>
      <w:r>
        <w:rPr>
          <w:rFonts w:ascii="Calibri" w:cs="Calibri" w:eastAsia="Calibri" w:hAnsi="Calibri"/>
          <w:sz w:val="22"/>
          <w:szCs w:val="22"/>
        </w:rPr>
        <w:t xml:space="preserve">A knowledge base of 15 standard business diagnostic frameworks and financial terms, organised into four tiers and chunked by field (Definition, When to Use It, Step-by-Step Process, Worked Example).</w:t>
      </w:r>
    </w:p>
    <w:p>
      <w:pPr>
        <w:pStyle w:val="ListParagraph"/>
        <w:numPr>
          <w:ilvl w:val="0"/>
          <w:numId w:val="2"/>
        </w:numPr>
        <w:spacing w:after="100" w:line="276"/>
      </w:pPr>
      <w:r>
        <w:rPr>
          <w:rFonts w:ascii="Calibri" w:cs="Calibri" w:eastAsia="Calibri" w:hAnsi="Calibri"/>
          <w:sz w:val="22"/>
          <w:szCs w:val="22"/>
        </w:rPr>
        <w:t xml:space="preserve">A corpus of five real case packets, each with a structured problem statement, supporting data, documented root cause, and a Ground-Truth Diagnosis Summary against which agent output can be evaluated.</w:t>
      </w:r>
    </w:p>
    <w:p>
      <w:pPr>
        <w:pStyle w:val="ListParagraph"/>
        <w:numPr>
          <w:ilvl w:val="0"/>
          <w:numId w:val="2"/>
        </w:numPr>
        <w:spacing w:after="100" w:line="276"/>
      </w:pPr>
      <w:r>
        <w:rPr>
          <w:rFonts w:ascii="Calibri" w:cs="Calibri" w:eastAsia="Calibri" w:hAnsi="Calibri"/>
          <w:sz w:val="22"/>
          <w:szCs w:val="22"/>
        </w:rPr>
        <w:t xml:space="preserve">A retrieval pipeline over the combined corpus, with three interchangeable retriever backends (TF-IDF, and two embedding models of different training objectives) used to conduct a controlled ablation study.</w:t>
      </w:r>
    </w:p>
    <w:p>
      <w:pPr>
        <w:pStyle w:val="ListParagraph"/>
        <w:numPr>
          <w:ilvl w:val="0"/>
          <w:numId w:val="2"/>
        </w:numPr>
        <w:spacing w:after="100" w:line="276"/>
      </w:pPr>
      <w:r>
        <w:rPr>
          <w:rFonts w:ascii="Calibri" w:cs="Calibri" w:eastAsia="Calibri" w:hAnsi="Calibri"/>
          <w:sz w:val="22"/>
          <w:szCs w:val="22"/>
        </w:rPr>
        <w:t xml:space="preserve">A four-agent CrewAI pipeline — Researcher, Analyst, Auditor, and an Orchestrator — chained sequentially, with each agent's output passed as context to the next and the Orchestrator's synthesis conditional on the Auditor's approval (Section 6.6).</w:t>
      </w:r>
    </w:p>
    <w:p>
      <w:pPr>
        <w:spacing w:after="200" w:line="276"/>
      </w:pPr>
      <w:r>
        <w:rPr>
          <w:rFonts w:ascii="Calibri" w:cs="Calibri" w:eastAsia="Calibri" w:hAnsi="Calibri"/>
          <w:sz w:val="22"/>
          <w:szCs w:val="22"/>
        </w:rPr>
        <w:t xml:space="preserve">In coordination-pattern terms, this architecture is centralised (an explicit Python pipeline decides agent sequencing, not a manager agent) and sequential (Intake → Researcher → Analyst → Auditor → Orchestrator → Fidelity Check), with a generator-critic pattern applied twice within that sequence: the Analyst generates a diagnosis and the Auditor independently critiques it, with a bounded revision loop; the Orchestrator generates a report and the fidelity check independently critiques that, without a revision loop, since a fidelity failure reflects drift in the write-up rather than a defect in the already-approved diagnosis. Each agent and each check is invoked as its own discrete CrewAI Agent/Task/Crew call rather than bundled into a single crew run under CrewAI's own hierarchical process — a capability the framework supports natively but which this project deliberately did not adopt.</w:t>
      </w:r>
    </w:p>
    <w:p>
      <w:pPr>
        <w:spacing w:after="200" w:line="276"/>
      </w:pPr>
      <w:r>
        <w:rPr>
          <w:rFonts w:ascii="Calibri" w:cs="Calibri" w:eastAsia="Calibri" w:hAnsi="Calibri"/>
          <w:sz w:val="22"/>
          <w:szCs w:val="22"/>
        </w:rPr>
        <w:t xml:space="preserve">This is a narrower choice than several alternatives available in the multi-agent coordination literature (hierarchical manager-worker delegation, debate/adversarial patterns, parallel ensembles, group-chat coordination, blackboard systems), and the narrowing was deliberate rather than a default: the project's central engineering claim rests on being able to attribute a defect to a specific component and test that component in isolation, which a fixed, externally-coordinated sequence makes possible and a dynamically-decided or conversational coordination pattern would make substantially harder. Both architectural defects documented in this report — the fidelity check's cross-check dependency (Section 6.7) and the verdict-parsing self-correction defect (Section 8.11) — were diagnosed and fixed specifically because each agent and each check could be called directly, in isolation, against a fixed input, independent of the rest of the pipeline.</w:t>
      </w:r>
    </w:p>
    <w:p>
      <w:pPr>
        <w:pStyle w:val="Heading1"/>
        <w:spacing w:after="160" w:before="360"/>
      </w:pPr>
      <w:r>
        <w:t xml:space="preserve">4. Knowledge Base and Case Corpus Construction</w:t>
      </w:r>
    </w:p>
    <w:p>
      <w:pPr>
        <w:pStyle w:val="Heading2"/>
        <w:spacing w:after="120" w:before="280"/>
      </w:pPr>
      <w:r>
        <w:t xml:space="preserve">4.1 Framework Knowledge Base</w:t>
      </w:r>
    </w:p>
    <w:p>
      <w:pPr>
        <w:spacing w:after="200" w:line="276"/>
      </w:pPr>
      <w:r>
        <w:rPr>
          <w:rFonts w:ascii="Calibri" w:cs="Calibri" w:eastAsia="Calibri" w:hAnsi="Calibri"/>
          <w:sz w:val="22"/>
          <w:szCs w:val="22"/>
        </w:rPr>
        <w:t xml:space="preserve">Fifteen frameworks and financial terms were selected across four tiers: core diagnostic frameworks (Root Cause Analysis / 5 Whys, the Fishbone/Ishikawa Diagram, Pareto Analysis), situational analysis frameworks (SWOT, PESTLE, Porter's Five Forces), decision frameworks (the Impact-Effort Matrix, Decision Tree Analysis), and core financial vocabulary (Profitability, Gross and Net Margin, Market Share, ROI, Break-even Point, CAGR, and KPI). Each entry was researched and written to a consistent four-field structure — Definition, When to Use It, Step-by-Step Process, and a fully worked example — to support both retrieval (each field is a natural chunk boundary) and downstream application by the Analyst agent.</w:t>
      </w:r>
    </w:p>
    <w:p>
      <w:pPr>
        <w:pStyle w:val="Heading2"/>
        <w:spacing w:after="120" w:before="280"/>
      </w:pPr>
      <w:r>
        <w:t xml:space="preserve">4.2 Case Corpus</w:t>
      </w:r>
    </w:p>
    <w:p>
      <w:pPr>
        <w:spacing w:after="200" w:line="276"/>
      </w:pPr>
      <w:r>
        <w:rPr>
          <w:rFonts w:ascii="Calibri" w:cs="Calibri" w:eastAsia="Calibri" w:hAnsi="Calibri"/>
          <w:sz w:val="22"/>
          <w:szCs w:val="22"/>
        </w:rPr>
        <w:t xml:space="preserve">Each of the three case packets was deliberately constructed around the same structural property: an obvious surface </w:t>
      </w:r>
      <w:r>
        <w:rPr>
          <w:rFonts w:ascii="Calibri" w:cs="Calibri" w:eastAsia="Calibri" w:hAnsi="Calibri"/>
          <w:b/>
          <w:bCs/>
          <w:sz w:val="22"/>
          <w:szCs w:val="22"/>
        </w:rPr>
        <w:t xml:space="preserve">trigger</w:t>
      </w:r>
      <w:r>
        <w:rPr>
          <w:rFonts w:ascii="Calibri" w:cs="Calibri" w:eastAsia="Calibri" w:hAnsi="Calibri"/>
          <w:sz w:val="22"/>
          <w:szCs w:val="22"/>
        </w:rPr>
        <w:t xml:space="preserve"> (a winter storm, a faulty sensor reading, a demand reversal) that is explicitly </w:t>
      </w:r>
      <w:r>
        <w:rPr>
          <w:rFonts w:ascii="Calibri" w:cs="Calibri" w:eastAsia="Calibri" w:hAnsi="Calibri"/>
          <w:i/>
          <w:iCs/>
          <w:sz w:val="22"/>
          <w:szCs w:val="22"/>
        </w:rPr>
        <w:t xml:space="preserve">not</w:t>
      </w:r>
      <w:r>
        <w:rPr>
          <w:rFonts w:ascii="Calibri" w:cs="Calibri" w:eastAsia="Calibri" w:hAnsi="Calibri"/>
          <w:sz w:val="22"/>
          <w:szCs w:val="22"/>
        </w:rPr>
        <w:t xml:space="preserve"> the documented root cause. This was a deliberate test-set design choice, not an incidental feature of the events chosen. A system — or an unaided single LLM call — that stops its analysis at the trigger rather than identifying the underlying, company-controllable cause represents exactly the shallow-analysis failure mode the system is intended to avoid, and the case corpus was built specifically to expose it.</w:t>
      </w:r>
    </w:p>
    <w:p>
      <w:pPr>
        <w:spacing w:after="200" w:line="276"/>
      </w:pPr>
      <w:r>
        <w:rPr>
          <w:rFonts w:ascii="Calibri" w:cs="Calibri" w:eastAsia="Calibri" w:hAnsi="Calibri"/>
          <w:sz w:val="22"/>
          <w:szCs w:val="22"/>
        </w:rPr>
        <w:t xml:space="preserve">This design choice proved central to the project's results, as described in Sections 5 and 6.</w:t>
      </w:r>
    </w:p>
    <w:p>
      <w:pPr>
        <w:spacing w:after="200" w:line="276"/>
      </w:pPr>
      <w:r>
        <w:rPr>
          <w:rFonts w:ascii="Calibri" w:cs="Calibri" w:eastAsia="Calibri" w:hAnsi="Calibri"/>
          <w:sz w:val="22"/>
          <w:szCs w:val="22"/>
        </w:rPr>
        <w:t xml:space="preserve">The corpus was later extended with two further real, publicly documented cases, chosen specifically to ground it in the market this project targets for eventual real-world use rather than to broaden the original three's Western, aviation/consumer-retail focus alone. The first, Pakistan International Airlines' 2020 Karachi crash, exhibits the same trigger/root-cause structure as the original three: the crash itself, and the nationwide pilot-licensing scandal it exposed, is the explicit surface trigger, while the documented root cause is a decade of institutional mismanagement, political interference, and regulatory oversight failure at Pakistan's Civil Aviation Authority that predates and is independent of the crash. The second, Airlift Technologies' 2022 shutdown — Pakistan's best-funded startup at the time, which ceased operations six days after its lead investor withdrew from a funding round — follows the same structure: the funding round's collapse is the surface trigger, while the documented root cause is a structurally low-margin, capital-intensive business model whose continued operation depended entirely on external capital rather than internal cash generation, with no fallback financing plan disclosed.</w:t>
      </w:r>
    </w:p>
    <w:p>
      <w:pPr>
        <w:spacing w:after="200" w:line="276"/>
      </w:pPr>
      <w:r>
        <w:rPr>
          <w:rFonts w:ascii="Calibri" w:cs="Calibri" w:eastAsia="Calibri" w:hAnsi="Calibri"/>
          <w:sz w:val="22"/>
          <w:szCs w:val="22"/>
        </w:rPr>
        <w:t xml:space="preserve">Both new cases passed the full pipeline's audit on their first attempt, without a revision, and both produced genuine fidelity-check findings during validation — a direct, unplanned test of the demo layer's Check 3 and fidelity-feedback extraction logic against real, previously unseen model output rather than only against the constructed fixtures described in Sections 8.10 and 8.11 (Section 9).</w:t>
      </w:r>
    </w:p>
    <w:p>
      <w:pPr>
        <w:pStyle w:val="Heading1"/>
        <w:spacing w:after="160" w:before="360"/>
      </w:pPr>
      <w:r>
        <w:t xml:space="preserve">5. The Retrieval Ablation Study</w:t>
      </w:r>
    </w:p>
    <w:p>
      <w:pPr>
        <w:spacing w:after="200" w:line="276"/>
      </w:pPr>
      <w:r>
        <w:rPr>
          <w:rFonts w:ascii="Calibri" w:cs="Calibri" w:eastAsia="Calibri" w:hAnsi="Calibri"/>
          <w:sz w:val="22"/>
          <w:szCs w:val="22"/>
        </w:rPr>
        <w:t xml:space="preserve">The project's central empirical finding emerged from investigating an early, unexpected result: querying the corpus with a case's raw problem statement (for example, the Southwest Airlines problem statement, describing thousands of cancelled flights following a winter storm) returned </w:t>
      </w:r>
      <w:r>
        <w:rPr>
          <w:rFonts w:ascii="Calibri" w:cs="Calibri" w:eastAsia="Calibri" w:hAnsi="Calibri"/>
          <w:b/>
          <w:bCs/>
          <w:sz w:val="22"/>
          <w:szCs w:val="22"/>
        </w:rPr>
        <w:t xml:space="preserve">zero framework chunks</w:t>
      </w:r>
      <w:r>
        <w:rPr>
          <w:rFonts w:ascii="Calibri" w:cs="Calibri" w:eastAsia="Calibri" w:hAnsi="Calibri"/>
          <w:sz w:val="22"/>
          <w:szCs w:val="22"/>
        </w:rPr>
        <w:t xml:space="preserve"> in the top six to ten results, across three independent retrieval methods.</w:t>
      </w:r>
    </w:p>
    <w:p>
      <w:pPr>
        <w:pStyle w:val="Heading2"/>
        <w:spacing w:after="120" w:before="280"/>
      </w:pPr>
      <w:r>
        <w:t xml:space="preserve">5.1 Methodology</w:t>
      </w:r>
    </w:p>
    <w:p>
      <w:pPr>
        <w:spacing w:after="200" w:line="276"/>
      </w:pPr>
      <w:r>
        <w:rPr>
          <w:rFonts w:ascii="Calibri" w:cs="Calibri" w:eastAsia="Calibri" w:hAnsi="Calibri"/>
          <w:sz w:val="22"/>
          <w:szCs w:val="22"/>
        </w:rPr>
        <w:t xml:space="preserve">Three retrievers, representing three fundamentally different retrieval mechanisms, were tested against the same eight-query evaluation set (three case-diagnostic queries and five framework-only control queries):</w:t>
      </w:r>
    </w:p>
    <w:p>
      <w:pPr>
        <w:pStyle w:val="ListParagraph"/>
        <w:numPr>
          <w:ilvl w:val="0"/>
          <w:numId w:val="2"/>
        </w:numPr>
        <w:spacing w:after="100" w:line="276"/>
      </w:pPr>
      <w:r>
        <w:rPr>
          <w:rFonts w:ascii="Calibri" w:cs="Calibri" w:eastAsia="Calibri" w:hAnsi="Calibri"/>
          <w:sz w:val="22"/>
          <w:szCs w:val="22"/>
        </w:rPr>
        <w:t xml:space="preserve">TF-IDF (lexical/keyword matching), as a baseline.</w:t>
      </w:r>
    </w:p>
    <w:p>
      <w:pPr>
        <w:pStyle w:val="ListParagraph"/>
        <w:numPr>
          <w:ilvl w:val="0"/>
          <w:numId w:val="2"/>
        </w:numPr>
        <w:spacing w:after="100" w:line="276"/>
      </w:pPr>
      <w:r>
        <w:rPr>
          <w:rFonts w:ascii="Calibri" w:cs="Calibri" w:eastAsia="Calibri" w:hAnsi="Calibri"/>
          <w:sz w:val="22"/>
          <w:szCs w:val="22"/>
        </w:rPr>
        <w:t xml:space="preserve">all-MiniLM-L6-v2, a general-purpose embedding model trained on semantic textual similarity (paraphrase matching).</w:t>
      </w:r>
    </w:p>
    <w:p>
      <w:pPr>
        <w:pStyle w:val="ListParagraph"/>
        <w:numPr>
          <w:ilvl w:val="0"/>
          <w:numId w:val="2"/>
        </w:numPr>
        <w:spacing w:after="100" w:line="276"/>
      </w:pPr>
      <w:r>
        <w:rPr>
          <w:rFonts w:ascii="Calibri" w:cs="Calibri" w:eastAsia="Calibri" w:hAnsi="Calibri"/>
          <w:sz w:val="22"/>
          <w:szCs w:val="22"/>
        </w:rPr>
        <w:t xml:space="preserve">BAAI/bge-base-en-v1.5, an embedding model trained specifically for asymmetric query-to-passage retrieval, the task-appropriate objective for this use case.</w:t>
      </w:r>
    </w:p>
    <w:p>
      <w:pPr>
        <w:pStyle w:val="Heading2"/>
        <w:spacing w:after="120" w:before="280"/>
      </w:pPr>
      <w:r>
        <w:t xml:space="preserve">5.2 Results</w:t>
      </w:r>
    </w:p>
    <w:p>
      <w:pPr>
        <w:spacing w:after="200" w:line="276"/>
      </w:pPr>
      <w:r>
        <w:rPr>
          <w:rFonts w:ascii="Calibri" w:cs="Calibri" w:eastAsia="Calibri" w:hAnsi="Calibri"/>
          <w:sz w:val="22"/>
          <w:szCs w:val="22"/>
        </w:rPr>
        <w:t xml:space="preserve">All three retrievers scored 1.00 recall on the five framework-only control queries and correctly retrieved the relevant case on all three diagnostic queries — but returned </w:t>
      </w:r>
      <w:r>
        <w:rPr>
          <w:rFonts w:ascii="Calibri" w:cs="Calibri" w:eastAsia="Calibri" w:hAnsi="Calibri"/>
          <w:b/>
          <w:bCs/>
          <w:sz w:val="22"/>
          <w:szCs w:val="22"/>
        </w:rPr>
        <w:t xml:space="preserve">0.00 framework recall</w:t>
      </w:r>
      <w:r>
        <w:rPr>
          <w:rFonts w:ascii="Calibri" w:cs="Calibri" w:eastAsia="Calibri" w:hAnsi="Calibri"/>
          <w:sz w:val="22"/>
          <w:szCs w:val="22"/>
        </w:rPr>
        <w:t xml:space="preserve"> on those same three diagnostic queries. The result was verified to be genuine rather than a caching or implementation artefact: the embedding index was rebuilt from scratch and the raw similarity scores inspected directly, confirming that the retrievers were producing real, differentiated embeddings that simply clustered case text by topical domain (for example, grouping aviation-related passages together) rather than by the conceptual relationship between a scenario and the diagnostic technique that applies to it.</w:t>
      </w:r>
    </w:p>
    <w:p>
      <w:pPr>
        <w:spacing w:after="200" w:line="276"/>
      </w:pPr>
      <w:r>
        <w:rPr>
          <w:rFonts w:ascii="Calibri" w:cs="Calibri" w:eastAsia="Calibri" w:hAnsi="Calibri"/>
          <w:sz w:val="22"/>
          <w:szCs w:val="22"/>
        </w:rPr>
        <w:t xml:space="preserve">Three mechanistically distinct retrieval approaches converging on an identical failure ruled out retriever choice as the explanation.</w:t>
      </w:r>
    </w:p>
    <w:p>
      <w:pPr>
        <w:pStyle w:val="Heading2"/>
        <w:spacing w:after="120" w:before="280"/>
      </w:pPr>
      <w:r>
        <w:t xml:space="preserve">5.3 The Reformulation Experiment</w:t>
      </w:r>
    </w:p>
    <w:p>
      <w:pPr>
        <w:spacing w:after="200" w:line="276"/>
      </w:pPr>
      <w:r>
        <w:rPr>
          <w:rFonts w:ascii="Calibri" w:cs="Calibri" w:eastAsia="Calibri" w:hAnsi="Calibri"/>
          <w:sz w:val="22"/>
          <w:szCs w:val="22"/>
        </w:rPr>
        <w:t xml:space="preserve">A controlled experiment tested an alternative hypothesis: that the failure was one of query framing rather than retrieval capability. Hand-written reformulations of the same three diagnostic queries — rephrasing each case in the vocabulary of the applicable diagnostic technique (for example, “this problem requires root cause analysis using iterative questioning…”) rather than the case's own narrative language — were tested against the identical TF-IDF retriever that had scored 0.00 on the unmodified queries. The reformulated queries surfaced relevant framework chunks in the top four results in every case.</w:t>
      </w:r>
    </w:p>
    <w:p>
      <w:pPr>
        <w:pStyle w:val="Heading2"/>
        <w:spacing w:after="120" w:before="280"/>
      </w:pPr>
      <w:r>
        <w:t xml:space="preserve">5.4 Interpretation</w:t>
      </w:r>
    </w:p>
    <w:p>
      <w:pPr>
        <w:spacing w:after="200" w:line="276"/>
      </w:pPr>
      <w:r>
        <w:rPr>
          <w:rFonts w:ascii="Calibri" w:cs="Calibri" w:eastAsia="Calibri" w:hAnsi="Calibri"/>
          <w:sz w:val="22"/>
          <w:szCs w:val="22"/>
        </w:rPr>
        <w:t xml:space="preserve">This result indicates that the retrieval bottleneck was never the similarity-search mechanism itself, but the absence of a translation step between a concrete situational description and the abstract diagnostic vocabulary needed to retrieve the relevant technique. That translation is a reasoning task, not a similarity-matching task — which provided the direct empirical justification for the system's core architectural decision: an LLM-based Researcher agent tasked specifically with reformulating a case into diagnostic-technique language </w:t>
      </w:r>
      <w:r>
        <w:rPr>
          <w:rFonts w:ascii="Calibri" w:cs="Calibri" w:eastAsia="Calibri" w:hAnsi="Calibri"/>
          <w:b/>
          <w:bCs/>
          <w:sz w:val="22"/>
          <w:szCs w:val="22"/>
        </w:rPr>
        <w:t xml:space="preserve">before</w:t>
      </w:r>
      <w:r>
        <w:rPr>
          <w:rFonts w:ascii="Calibri" w:cs="Calibri" w:eastAsia="Calibri" w:hAnsi="Calibri"/>
          <w:sz w:val="22"/>
          <w:szCs w:val="22"/>
        </w:rPr>
        <w:t xml:space="preserve"> invoking retrieval, rather than continuing to search for a better-performing embedding model.</w:t>
      </w:r>
    </w:p>
    <w:p>
      <w:pPr>
        <w:pStyle w:val="Heading1"/>
        <w:spacing w:after="160" w:before="360"/>
      </w:pPr>
      <w:r>
        <w:t xml:space="preserve">6. Multi-Agent Pipeline: Design and Validation</w:t>
      </w:r>
    </w:p>
    <w:p>
      <w:pPr>
        <w:pStyle w:val="Heading2"/>
        <w:spacing w:after="120" w:before="280"/>
      </w:pPr>
      <w:r>
        <w:t xml:space="preserve">6.1 Researcher Agent</w:t>
      </w:r>
    </w:p>
    <w:p>
      <w:pPr>
        <w:spacing w:after="200" w:line="276"/>
      </w:pPr>
      <w:r>
        <w:rPr>
          <w:rFonts w:ascii="Calibri" w:cs="Calibri" w:eastAsia="Calibri" w:hAnsi="Calibri"/>
          <w:sz w:val="22"/>
          <w:szCs w:val="22"/>
        </w:rPr>
        <w:t xml:space="preserve">The Researcher agent's task explicitly requires it to identify the type of business problem presented, reformulate that into diagnostic-technique search queries, and only then invoke the retrieval tool — a direct implementation of the finding in Section 5, stated in the task description as a requirement grounded in measured evidence rather than a stylistic preference. Manual review across all three cases found the agent correctly reformulating each case's distinct context (for example, correctly retrieving Break-even Point and Profitability frameworks specifically for Peloton's fixed-cost capacity problem, rather than defaulting to the same framework set across all three cases) and correctly identifying multiple applicable frameworks per case with case-specific justifications.</w:t>
      </w:r>
    </w:p>
    <w:p>
      <w:pPr>
        <w:spacing w:after="200" w:line="276"/>
      </w:pPr>
      <w:r>
        <w:rPr>
          <w:rFonts w:ascii="Calibri" w:cs="Calibri" w:eastAsia="Calibri" w:hAnsi="Calibri"/>
          <w:sz w:val="22"/>
          <w:szCs w:val="22"/>
        </w:rPr>
        <w:t xml:space="preserve">One weakness was identified on manual review: in one instance, a framework justification for Pareto Analysis was plausible in tone but not actually grounded in any ranked or quantified data from the case. This observation directly informed the design of the Analyst agent's task instructions, described below.</w:t>
      </w:r>
    </w:p>
    <w:p>
      <w:pPr>
        <w:pStyle w:val="Heading2"/>
        <w:spacing w:after="120" w:before="280"/>
      </w:pPr>
      <w:r>
        <w:t xml:space="preserve">6.2 Analyst Agent</w:t>
      </w:r>
    </w:p>
    <w:p>
      <w:pPr>
        <w:spacing w:after="200" w:line="276"/>
      </w:pPr>
      <w:r>
        <w:rPr>
          <w:rFonts w:ascii="Calibri" w:cs="Calibri" w:eastAsia="Calibri" w:hAnsi="Calibri"/>
          <w:sz w:val="22"/>
          <w:szCs w:val="22"/>
        </w:rPr>
        <w:t xml:space="preserve">The Analyst agent receives the Researcher's framework shortlist as context and is tasked with actually applying each framework's process to the case's real facts — producing worked Five Whys chains, populated Fishbone categories, and real financial calculations, rather than restating framework definitions. Its task instructions explicitly prohibit inventing ranked or weighted data for Pareto Analysis when the case does not provide it, directly targeting the weakness identified in the Researcher's output.</w:t>
      </w:r>
    </w:p>
    <w:p>
      <w:pPr>
        <w:spacing w:after="200" w:line="276"/>
      </w:pPr>
      <w:r>
        <w:rPr>
          <w:rFonts w:ascii="Calibri" w:cs="Calibri" w:eastAsia="Calibri" w:hAnsi="Calibri"/>
          <w:sz w:val="22"/>
          <w:szCs w:val="22"/>
        </w:rPr>
        <w:t xml:space="preserve">Manual review across two independent runs of all three cases found consistently correct separation of triggering event from systemic root cause in every output, matching each case's Ground-Truth Diagnosis Summary, and genuinely honest acknowledgement of data limitations in high-stakes financial calculations (for example, explicitly declining to compute an ROI or an exact break-even unit volume when the case did not supply the necessary inputs, rather than fabricating a plausible-looking figure).</w:t>
      </w:r>
    </w:p>
    <w:p>
      <w:pPr>
        <w:spacing w:after="200" w:line="276"/>
      </w:pPr>
      <w:r>
        <w:rPr>
          <w:rFonts w:ascii="Calibri" w:cs="Calibri" w:eastAsia="Calibri" w:hAnsi="Calibri"/>
          <w:sz w:val="22"/>
          <w:szCs w:val="22"/>
        </w:rPr>
        <w:t xml:space="preserve">The instruction against inventing Pareto rankings reduced but did not eliminate the problem, revealing a precise and informative pattern: percentages computed from two case-provided figures were consistently correct, while percentages ranking </w:t>
      </w:r>
      <w:r>
        <w:rPr>
          <w:rFonts w:ascii="Calibri" w:cs="Calibri" w:eastAsia="Calibri" w:hAnsi="Calibri"/>
          <w:i/>
          <w:iCs/>
          <w:sz w:val="22"/>
          <w:szCs w:val="22"/>
        </w:rPr>
        <w:t xml:space="preserve">qualitative</w:t>
      </w:r>
      <w:r>
        <w:rPr>
          <w:rFonts w:ascii="Calibri" w:cs="Calibri" w:eastAsia="Calibri" w:hAnsi="Calibri"/>
          <w:sz w:val="22"/>
          <w:szCs w:val="22"/>
        </w:rPr>
        <w:t xml:space="preserve"> causes with no source figures continued to appear, even when hedged as “estimated.” This precise distinction — grounded calculation versus fabricated ranking — became the design basis for the Auditor agent's primary check, described in Section 6.4.</w:t>
      </w:r>
    </w:p>
    <w:p>
      <w:pPr>
        <w:pStyle w:val="Heading2"/>
        <w:spacing w:after="120" w:before="280"/>
      </w:pPr>
      <w:r>
        <w:t xml:space="preserve">6.3 Auditor Agent: Design</w:t>
      </w:r>
    </w:p>
    <w:p>
      <w:pPr>
        <w:spacing w:after="200" w:line="276"/>
      </w:pPr>
      <w:r>
        <w:rPr>
          <w:rFonts w:ascii="Calibri" w:cs="Calibri" w:eastAsia="Calibri" w:hAnsi="Calibri"/>
          <w:sz w:val="22"/>
          <w:szCs w:val="22"/>
        </w:rPr>
        <w:t xml:space="preserve">The Auditor agent receives both the Researcher's and Analyst's output as context and evaluates the Analyst's diagnosis against two specific, evidence-derived checks, rather than performing an unstructured general quality review: (1) whether the final diagnosis explicitly and correctly separates the external triggering event from the company-controllable systemic root cause, and (2) whether any formal ranking or weighting of causes in the analysis is actually grounded in case-provided figures.</w:t>
      </w:r>
    </w:p>
    <w:p>
      <w:pPr>
        <w:pStyle w:val="Heading2"/>
        <w:spacing w:after="120" w:before="280"/>
      </w:pPr>
      <w:r>
        <w:t xml:space="preserve">6.4 Case Study: Four Rounds of Iterative Refinement</w:t>
      </w:r>
    </w:p>
    <w:p>
      <w:pPr>
        <w:spacing w:after="200" w:line="276"/>
      </w:pPr>
      <w:r>
        <w:rPr>
          <w:rFonts w:ascii="Calibri" w:cs="Calibri" w:eastAsia="Calibri" w:hAnsi="Calibri"/>
          <w:sz w:val="22"/>
          <w:szCs w:val="22"/>
        </w:rPr>
        <w:t xml:space="preserve">The development of the Auditor's second check is presented here in detail, as it constitutes a clear, evidenced example of empirical prompt refinement rather than a single correct specification arrived at in advance.</w:t>
      </w:r>
    </w:p>
    <w:p>
      <w:pPr>
        <w:pStyle w:val="Heading3"/>
        <w:spacing w:after="100" w:before="220"/>
      </w:pPr>
      <w:r>
        <w:t xml:space="preserve">Round 1 — Initial Specification</w:t>
      </w:r>
    </w:p>
    <w:p>
      <w:pPr>
        <w:spacing w:after="200" w:line="276"/>
      </w:pPr>
      <w:r>
        <w:rPr>
          <w:rFonts w:ascii="Calibri" w:cs="Calibri" w:eastAsia="Calibri" w:hAnsi="Calibri"/>
          <w:sz w:val="22"/>
          <w:szCs w:val="22"/>
        </w:rPr>
        <w:t xml:space="preserve">The check was initially specified to flag any “percentage, ratio, or numeric weighting… even if hedged.” This correctly caught an outright invented Pareto percentage breakdown in one case, but also flagged a phrase in another case — describing a secondary factor as a “compounding shock” against a “primary” cause — as fabrication, despite that phrasing closely mirroring the case's own Ground-Truth Diagnosis Summary. This was traced to ambiguous instruction wording that was broader than intended, catching ordinary comparative narrative alongside genuine statistical invention.</w:t>
      </w:r>
    </w:p>
    <w:p>
      <w:pPr>
        <w:pStyle w:val="Heading3"/>
        <w:spacing w:after="100" w:before="220"/>
      </w:pPr>
      <w:r>
        <w:t xml:space="preserve">Round 2 — Overcorrection and a Format Defect</w:t>
      </w:r>
    </w:p>
    <w:p>
      <w:pPr>
        <w:spacing w:after="200" w:line="276"/>
      </w:pPr>
      <w:r>
        <w:rPr>
          <w:rFonts w:ascii="Calibri" w:cs="Calibri" w:eastAsia="Calibri" w:hAnsi="Calibri"/>
          <w:sz w:val="22"/>
          <w:szCs w:val="22"/>
        </w:rPr>
        <w:t xml:space="preserve">The check was narrowed to flag only literal numeric values. This resolved the false positive, but a subsequent run produced an audit report containing three mutually contradictory verdict statements within a single document — the model had narrated a live self-correction (including inventing and then rejecting a hypothetical violation that was not actually present in the text under review) directly into its final answer, rather than settling its reasoning beforehand. This was corrected by explicitly instructing the model to reach a settled conclusion before writing, and prohibiting visible self-correction or hypothetical examples in the output. A subsequent run confirmed a single, internally consistent verdict.</w:t>
      </w:r>
    </w:p>
    <w:p>
      <w:pPr>
        <w:pStyle w:val="Heading3"/>
        <w:spacing w:after="100" w:before="220"/>
      </w:pPr>
      <w:r>
        <w:t xml:space="preserve">Round 3 — A Correction Identified by the Model</w:t>
      </w:r>
    </w:p>
    <w:p>
      <w:pPr>
        <w:spacing w:after="200" w:line="276"/>
      </w:pPr>
      <w:r>
        <w:rPr>
          <w:rFonts w:ascii="Calibri" w:cs="Calibri" w:eastAsia="Calibri" w:hAnsi="Calibri"/>
          <w:sz w:val="22"/>
          <w:szCs w:val="22"/>
        </w:rPr>
        <w:t xml:space="preserve">With the numbers-only wording still in place, a further run produced an audit report in which the Auditor itself flagged a table using qualitative labels (“Vital” versus “Useful”, with no percentages attached) as violating “the spirit of the instruction,” despite this falling outside the literal scope of the rule as written. On review, this judgement was assessed as correct: a formally structured ranking table with no grounding in case data is the same underlying fabrication whether expressed numerically or in qualitative labels. The rule, not the model's application of it, was identified as the source of the discrepancy.</w:t>
      </w:r>
    </w:p>
    <w:p>
      <w:pPr>
        <w:pStyle w:val="Heading3"/>
        <w:spacing w:after="100" w:before="220"/>
      </w:pPr>
      <w:r>
        <w:t xml:space="preserve">Round 4 — Final Specification and Out-of-Sample Validation</w:t>
      </w:r>
    </w:p>
    <w:p>
      <w:pPr>
        <w:spacing w:after="200" w:line="276"/>
      </w:pPr>
      <w:r>
        <w:rPr>
          <w:rFonts w:ascii="Calibri" w:cs="Calibri" w:eastAsia="Calibri" w:hAnsi="Calibri"/>
          <w:sz w:val="22"/>
          <w:szCs w:val="22"/>
        </w:rPr>
        <w:t xml:space="preserve">The check was rewritten to scope explicitly to formally structured rankings — numeric or qualitative-label — while explicitly excluding ordinary comparative language used in plain narrative. A subsequent run across all three cases produced results that had not been observed in any prior round: one case failed the check for the first time after passing on four consecutive prior runs, on a genuinely new instance of fabricated ranking (a table using “Critical/High/Moderate” labels with no supporting data), while a separate case correctly passed despite using superficially similar language (“Low/High/Moderate”), because that instance used the labels as probability estimates within a Decision Tree analysis — a framework whose function is estimating uncertainty about future outcomes, which is a materially different claim from ranking the relative importance of causes that have already occurred.</w:t>
      </w:r>
    </w:p>
    <w:p>
      <w:pPr>
        <w:spacing w:after="200" w:line="276"/>
      </w:pPr>
      <w:r>
        <w:rPr>
          <w:rFonts w:ascii="Calibri" w:cs="Calibri" w:eastAsia="Calibri" w:hAnsi="Calibri"/>
          <w:sz w:val="22"/>
          <w:szCs w:val="22"/>
        </w:rPr>
        <w:t xml:space="preserve">This outcome is treated as meaningful evidence that the final check generalises correctly rather than having been tuned to memorised answers on a fixed set of three cases: it identified a genuinely new violation in previously passing output, and correctly distinguished two surface-similar but epistemically distinct uses of the same vocabulary.</w:t>
      </w:r>
    </w:p>
    <w:p>
      <w:pPr>
        <w:pStyle w:val="Heading3"/>
        <w:spacing w:after="100" w:before="220"/>
      </w:pPr>
      <w:r>
        <w:t xml:space="preserve">Methodological Note</w:t>
      </w:r>
    </w:p>
    <w:p>
      <w:pPr>
        <w:spacing w:after="200" w:line="276"/>
      </w:pPr>
      <w:r>
        <w:rPr>
          <w:rFonts w:ascii="Calibri" w:cs="Calibri" w:eastAsia="Calibri" w:hAnsi="Calibri"/>
          <w:sz w:val="22"/>
          <w:szCs w:val="22"/>
        </w:rPr>
        <w:t xml:space="preserve">Refinement was deliberately stopped after four rounds. Continued iteration against a fixed set of three test cases carries a real risk of overfitting instruction wording to the specific phrasing of those cases rather than producing a criterion that generalises further. This is stated as a deliberate methodological decision rather than a resource constraint.</w:t>
      </w:r>
    </w:p>
    <w:p>
      <w:pPr>
        <w:pStyle w:val="Heading2"/>
        <w:spacing w:after="120" w:before="280"/>
      </w:pPr>
      <w:r>
        <w:t xml:space="preserve">6.5 The Revision Loop</w:t>
      </w:r>
    </w:p>
    <w:p>
      <w:pPr>
        <w:spacing w:after="200" w:line="276"/>
      </w:pPr>
      <w:r>
        <w:rPr>
          <w:rFonts w:ascii="Calibri" w:cs="Calibri" w:eastAsia="Calibri" w:hAnsi="Calibri"/>
          <w:sz w:val="22"/>
          <w:szCs w:val="22"/>
        </w:rPr>
        <w:t xml:space="preserve">Through Section 6.4, the Auditor produced a critique report but nothing acted on it: a failing verdict was purely informational. This section describes a mechanism whereby a failing verdict sends the diagnosis back to the Analyst for a targeted correction, which the Auditor then re-evaluates, up to a configurable retry limit.</w:t>
      </w:r>
    </w:p>
    <w:p>
      <w:pPr>
        <w:spacing w:after="200" w:line="276"/>
      </w:pPr>
      <w:r>
        <w:rPr>
          <w:rFonts w:ascii="Calibri" w:cs="Calibri" w:eastAsia="Calibri" w:hAnsi="Calibri"/>
          <w:sz w:val="22"/>
          <w:szCs w:val="22"/>
        </w:rPr>
        <w:t xml:space="preserve">A simple sequential pipeline cannot conditionally re-execute a step based on another step's output. Rather than adopt CrewAI's Flow API, which supports this natively, the pipeline was restructured into small, single-purpose functions driven by explicit Python control flow, on the basis that the project had already encountered enough framework-internal surprises (the default-LLM fallback and a concurrency defect, both described in Section 9) that introducing a second, less-exercised part of the same framework was judged the wrong tradeoff. A regex-based verdict parser was designed to </w:t>
      </w:r>
      <w:r>
        <w:rPr>
          <w:rFonts w:ascii="Calibri" w:cs="Calibri" w:eastAsia="Calibri" w:hAnsi="Calibri"/>
          <w:i/>
          <w:iCs/>
          <w:sz w:val="22"/>
          <w:szCs w:val="22"/>
        </w:rPr>
        <w:t xml:space="preserve">fail safe</w:t>
      </w:r>
      <w:r>
        <w:rPr>
          <w:rFonts w:ascii="Calibri" w:cs="Calibri" w:eastAsia="Calibri" w:hAnsi="Calibri"/>
          <w:sz w:val="22"/>
          <w:szCs w:val="22"/>
        </w:rPr>
        <w:t xml:space="preserve">: an unparseable audit report is treated as a failing verdict rather than silently as a pass.</w:t>
      </w:r>
    </w:p>
    <w:p>
      <w:pPr>
        <w:spacing w:after="200" w:line="276"/>
      </w:pPr>
      <w:r>
        <w:rPr>
          <w:rFonts w:ascii="Calibri" w:cs="Calibri" w:eastAsia="Calibri" w:hAnsi="Calibri"/>
          <w:sz w:val="22"/>
          <w:szCs w:val="22"/>
        </w:rPr>
        <w:t xml:space="preserve">The first live test of the completed loop exposed a genuine gap in the Section 6.4 specification that had not surfaced in prior testing: an Analyst diagnosis stated outright that the case lacked the data to support a Pareto-style ranking, and then asserted one anyway in ordinary prose; the Auditor passed it, reasoning that the check's illustrative example format (“in a table or list format”) meant a prose-form ranking was exempt. This was a reasonable literal reading of an instruction that was more ambiguous than intended, not a reasoning failure. The check was rewritten to state explicitly that format was never the relevant distinction, and to address the specific pattern observed directly: an explicit admission that data is insufficient, followed by a ranking anyway, does not exempt the ranking.</w:t>
      </w:r>
    </w:p>
    <w:p>
      <w:pPr>
        <w:spacing w:after="200" w:line="276"/>
      </w:pPr>
      <w:r>
        <w:rPr>
          <w:rFonts w:ascii="Calibri" w:cs="Calibri" w:eastAsia="Calibri" w:hAnsi="Calibri"/>
          <w:sz w:val="22"/>
          <w:szCs w:val="22"/>
        </w:rPr>
        <w:t xml:space="preserve">Validating the fix required a further methodological choice. Two subsequent single-case runs happened not to reproduce the original violation, which demonstrated nothing about whether the fix worked, since model output is not deterministic and the absence of a repeat is not evidence of a correction. Rather than continuing to consume quota hoping for a spontaneous repro, the exact diagnosis text that had previously passed incorrectly was fed directly to the Auditor, then to the Analyst's revision step, then to the Auditor again, entirely outside the full pipeline. This confirmed, in one deterministic pass, that the corrected check now failed the known-bad input, that the revision step corrected only the flagged section, and that the re-audit passed the correction.</w:t>
      </w:r>
    </w:p>
    <w:p>
      <w:pPr>
        <w:spacing w:after="200" w:line="276"/>
      </w:pPr>
      <w:r>
        <w:rPr>
          <w:rFonts w:ascii="Calibri" w:cs="Calibri" w:eastAsia="Calibri" w:hAnsi="Calibri"/>
          <w:sz w:val="22"/>
          <w:szCs w:val="22"/>
        </w:rPr>
        <w:t xml:space="preserve">A subsequent full-batch run across all three cases, following this fix, produced two independent, live (not hand-constructed) violations — one in a case that had passed on four consecutive prior runs — each correctly caught, correctly and narrowly revised, and correctly re-verified. This is stronger evidence than the deterministic test alone: two different, spontaneously occurring violations, in two different cases, both handled correctly end to end.</w:t>
      </w:r>
    </w:p>
    <w:p>
      <w:pPr>
        <w:pStyle w:val="Heading2"/>
        <w:spacing w:after="120" w:before="280"/>
      </w:pPr>
      <w:r>
        <w:t xml:space="preserve">6.6 The Orchestrator Agent: Design, a Discovered Defect, and Its Correction</w:t>
      </w:r>
    </w:p>
    <w:p>
      <w:pPr>
        <w:spacing w:after="200" w:line="276"/>
      </w:pPr>
      <w:r>
        <w:rPr>
          <w:rFonts w:ascii="Calibri" w:cs="Calibri" w:eastAsia="Calibri" w:hAnsi="Calibri"/>
          <w:sz w:val="22"/>
          <w:szCs w:val="22"/>
        </w:rPr>
        <w:t xml:space="preserve">The three-agent pipeline described in Sections 6.1–6.5 leaves one piece of the original four-agent architecture concept unrealised: nothing downstream of the Auditor turns an approved diagnosis into a document a business reader could actually be handed. The revision mechanism described in Section 6.5 already provides bounded control over the Researcher/Analyst/Auditor cycle; what remained missing was synthesis, not control.</w:t>
      </w:r>
    </w:p>
    <w:p>
      <w:pPr>
        <w:spacing w:after="200" w:line="276"/>
      </w:pPr>
      <w:r>
        <w:rPr>
          <w:rFonts w:ascii="Calibri" w:cs="Calibri" w:eastAsia="Calibri" w:hAnsi="Calibri"/>
          <w:sz w:val="22"/>
          <w:szCs w:val="22"/>
        </w:rPr>
        <w:t xml:space="preserve">Two design constraints govern the Orchestrator's single task. First, synthesis must never run on a diagnosis that failed audit: the module checks the pipeline's final pass/fail state before making any call, and produces zero LLM calls — a flagged-for-review result, not a softened report — if the diagnosis never passed. A synthesis step whose entire purpose is to make output read as complete and polished is exactly the kind of task that would quietly paper over an unresolved failure if permitted to run on one, which is the same failure mode the Auditor exists to catch one layer upstream. Second, the synthesis task's input surface was designed to be as narrow as the task allows, on the same principle as the input-hygiene correction in Section 7: restricting what content the agent can draw from structurally, rather than relying on instructions alone to police it.</w:t>
      </w:r>
    </w:p>
    <w:p>
      <w:pPr>
        <w:spacing w:after="200" w:line="276"/>
      </w:pPr>
      <w:r>
        <w:rPr>
          <w:rFonts w:ascii="Calibri" w:cs="Calibri" w:eastAsia="Calibri" w:hAnsi="Calibri"/>
          <w:b/>
          <w:bCs/>
          <w:sz w:val="22"/>
          <w:szCs w:val="22"/>
        </w:rPr>
        <w:t xml:space="preserve">A three-case validation run found that the second constraint had not actually been implemented as designed.</w:t>
      </w:r>
      <w:r>
        <w:rPr>
          <w:rFonts w:ascii="Calibri" w:cs="Calibri" w:eastAsia="Calibri" w:hAnsi="Calibri"/>
          <w:sz w:val="22"/>
          <w:szCs w:val="22"/>
        </w:rPr>
        <w:t xml:space="preserve"> The synthesis task's instructions were written to permit content from either the Auditor-approved diagnosis or the Researcher's framework selection — the latter of which the Auditor never reviews at all. Manual cross-checking of the synthesised report against its source material, case by case, found this was not a hypothetical risk: two of three cases (Southwest, Boeing) stayed within the approved diagnosis with only minor drift — a Fishbone cause relabelled from its diagnosis category, “Measurement,” to “Management”; an explicit scope qualifier (“by count of fatalities”) dropped when two sentences were merged, leaving an unscoped “100%.” The third case (Peloton) contained a full section, “Strategic Analysis: The Bullwhip Effect,” built entirely from the Researcher's justification for a framework the Analyst never actually applied and the Auditor never reviewed, presented as though it were part of the vetted analysis.</w:t>
      </w:r>
    </w:p>
    <w:p>
      <w:pPr>
        <w:spacing w:after="200" w:line="276"/>
      </w:pPr>
      <w:r>
        <w:rPr>
          <w:rFonts w:ascii="Calibri" w:cs="Calibri" w:eastAsia="Calibri" w:hAnsi="Calibri"/>
          <w:sz w:val="22"/>
          <w:szCs w:val="22"/>
        </w:rPr>
        <w:t xml:space="preserve">This was not a case of the model acting outside its instructions. The task description explicitly named the framework selection as an approved source, directly contradicting the input-restriction principle the module was designed around; the Peloton section is a close paraphrase of the Researcher's own text, not an invention. The fix removed the framework selection from the synthesis call entirely, rather than only rewording the instruction that had permitted it — given the model had followed the flawed instruction exactly as written, removing the input was judged the trustworthy correction, not a stricter sentence pointed at the same content. Two smaller findings from the same cross-check were addressed with instructions specific to what was observed, not generic caution: preserve the diagnosis's own category labels exactly, and preserve exact scope qualifiers when combining or condensing sentences — the same evidence-derived approach used throughout the Auditor's own refinement in Section 6.4.</w:t>
      </w:r>
    </w:p>
    <w:p>
      <w:pPr>
        <w:spacing w:after="200" w:line="276"/>
      </w:pPr>
      <w:r>
        <w:rPr>
          <w:rFonts w:ascii="Calibri" w:cs="Calibri" w:eastAsia="Calibri" w:hAnsi="Calibri"/>
          <w:sz w:val="22"/>
          <w:szCs w:val="22"/>
        </w:rPr>
        <w:t xml:space="preserve">A subsequent three-case run against the corrected task produced no reference to the Bullwhip Effect, or any other Researcher-only content, in any output. This is reported as a real but partial confirmation, not as proof: that run's Researcher did not propose the Bullwhip Effect framework at all, so it was not a same-conditions repeat of the original failure. The stronger guarantee here is structural rather than behavioural — the corrected synthesis call no longer accepts the framework selection as an input at all, confirmed directly by inspection of the call itself, which does not depend on a favourable draw from a non-deterministic model the way the Auditor's Check 2 wording did (Section 6.4).</w:t>
      </w:r>
    </w:p>
    <w:p>
      <w:pPr>
        <w:spacing w:after="200" w:line="276"/>
      </w:pPr>
      <w:r>
        <w:rPr>
          <w:rFonts w:ascii="Calibri" w:cs="Calibri" w:eastAsia="Calibri" w:hAnsi="Calibri"/>
          <w:sz w:val="22"/>
          <w:szCs w:val="22"/>
        </w:rPr>
        <w:t xml:space="preserve">This sequence — a new component tested against its own real output rather than trusted on a clean result, a genuine defect found on the first substantive test, and a structural rather than cosmetic fix — follows the same pattern established for the Auditor in Section 6.4 and the input-hygiene correction in Section 7. It is reported in the same detail as those sections for the same reason: the specific mechanism by which an error was found and corrected is treated throughout this document as evidence in its own right, not only the fact that a correction was eventually made.</w:t>
      </w:r>
    </w:p>
    <w:p>
      <w:pPr>
        <w:pStyle w:val="Heading2"/>
        <w:spacing w:after="120" w:before="280"/>
      </w:pPr>
      <w:r>
        <w:t xml:space="preserve">6.7 The Fidelity Check: Design, Five Rounds of Calibration, and a Structural Lesson</w:t>
      </w:r>
    </w:p>
    <w:p>
      <w:pPr>
        <w:spacing w:after="200" w:line="276"/>
      </w:pPr>
      <w:r>
        <w:rPr>
          <w:rFonts w:ascii="Calibri" w:cs="Calibri" w:eastAsia="Calibri" w:hAnsi="Calibri"/>
          <w:sz w:val="22"/>
          <w:szCs w:val="22"/>
        </w:rPr>
        <w:t xml:space="preserve">Section 6.6 documents the Orchestrator's synthesis defect as closed by a structural fix, but notes (Section 10.2) that the fix was validated only by the same manual, case-by-case cross-checking method used for the Auditor's early calibration, not by a repeatable automated check. This section documents that check's subsequent design, its calibration across five revisions, and the architectural lesson the process surfaced.</w:t>
      </w:r>
    </w:p>
    <w:p>
      <w:pPr>
        <w:spacing w:after="200" w:line="276"/>
      </w:pPr>
      <w:r>
        <w:rPr>
          <w:rFonts w:ascii="Calibri" w:cs="Calibri" w:eastAsia="Calibri" w:hAnsi="Calibri"/>
          <w:sz w:val="22"/>
          <w:szCs w:val="22"/>
        </w:rPr>
        <w:t xml:space="preserve">The check is structured around the three specific failure modes Section 6.6 identified, not a generic hallucination detector: a New Content Scan (targeting the Peloton “Strategic Analysis: The Bullwhip Effect” leak), a Label and Category Fidelity check (targeting the Fishbone relabelling from “Measurement” to “Management”), and a Scope-Qualifier Preservation check (targeting the dropped “by count of fatalities” qualifier).</w:t>
      </w:r>
    </w:p>
    <w:p>
      <w:pPr>
        <w:spacing w:after="200" w:line="276"/>
      </w:pPr>
      <w:r>
        <w:rPr>
          <w:rFonts w:ascii="Calibri" w:cs="Calibri" w:eastAsia="Calibri" w:hAnsi="Calibri"/>
          <w:sz w:val="22"/>
          <w:szCs w:val="22"/>
        </w:rPr>
        <w:t xml:space="preserve">A first live run against a real case produced a genuine catch — a dropped qualifier on a $2.4 billion figure — alongside two instances that, on inspection, were harmless paraphrase incorrectly flagged as violations. A naive attempt to confirm this by re-running the synthesis step and the fidelity check together produced a clean result, but this comparison was invalid: it varied two things at once, since synthesis itself is non-deterministic and produces different report text on every call. The comparison was discarded in favour of testing the checker in isolation, holding the report text fixed and repeating the check against identical input — the same isolation principle used throughout this document (Section 8.7's repeated trials, Section 8.9's controlled omission test).</w:t>
      </w:r>
    </w:p>
    <w:p>
      <w:pPr>
        <w:spacing w:after="200" w:line="276"/>
      </w:pPr>
      <w:r>
        <w:rPr>
          <w:rFonts w:ascii="Calibri" w:cs="Calibri" w:eastAsia="Calibri" w:hAnsi="Calibri"/>
          <w:sz w:val="22"/>
          <w:szCs w:val="22"/>
        </w:rPr>
        <w:t xml:space="preserve">An isolated, repeated-trial test (n=5 per fixture) found the New Content Scan check was, in its first version, stricter than its own stated rule: a single synonym-level word addition (“traditional” inserted before “hub-and-spoke”) was flagged as fabricated new content in five of five trials, unconfounded by an unrelated construction error in the same test fixture (the fixture had inadvertently also dropped a parenthetical sub-label, a separate and, on reflection, likely correct catch). This raised an explicit design question, resolved before any further wording change: should a Fishbone cause's parenthetical sub-annotation (e.g. the “(Environment)” in “Mother Nature (Environment)”) be protected as strictly as its primary category? Decided no — the check's evidentiary basis (the Measurement/Management finding) concerned a primary category change, and requiring exact preservation of secondary annotation would contradict the Orchestrator's own licensed function of reformatting content into plain business language.</w:t>
      </w:r>
    </w:p>
    <w:p>
      <w:pPr>
        <w:spacing w:after="200" w:line="276"/>
      </w:pPr>
      <w:r>
        <w:rPr>
          <w:rFonts w:ascii="Calibri" w:cs="Calibri" w:eastAsia="Calibri" w:hAnsi="Calibri"/>
          <w:sz w:val="22"/>
          <w:szCs w:val="22"/>
        </w:rPr>
        <w:t xml:space="preserve">A revised version, re-tested against four newly constructed, single-variable fixtures (n=5 each), confirmed both intended fixes and, critically, confirmed the category-rename regression case still failed correctly — the wording change had not blunted the check's actual job.</w:t>
      </w:r>
    </w:p>
    <w:p>
      <w:pPr>
        <w:spacing w:after="200" w:line="276"/>
      </w:pPr>
      <w:r>
        <w:rPr>
          <w:rFonts w:ascii="Calibri" w:cs="Calibri" w:eastAsia="Calibri" w:hAnsi="Calibri"/>
          <w:b/>
          <w:bCs/>
          <w:sz w:val="22"/>
          <w:szCs w:val="22"/>
        </w:rPr>
        <w:t xml:space="preserve">The system was then run for the first time against real Orchestrator synthesis output across all three cases.</w:t>
      </w:r>
      <w:r>
        <w:rPr>
          <w:rFonts w:ascii="Calibri" w:cs="Calibri" w:eastAsia="Calibri" w:hAnsi="Calibri"/>
          <w:sz w:val="22"/>
          <w:szCs w:val="22"/>
        </w:rPr>
        <w:t xml:space="preserve"> Southwest passed cleanly on the first attempt. Boeing was correctly withheld after two attempts, both failing the Auditor's externality check for the same reason — the diagnosis's trigger candidate was, on each attempt, an internal design or business decision rather than an external event, a finding discussed further below. Peloton was caught by the fidelity check for the first time on genuine content: two real precision losses (a dropped “into expansion” scope qualifier, a dropped cost-composition breakdown) were correctly flagged, but two further findings were section-heading rewordings (“Financial Metrics” to “Financial Impact”; “Porter's Five Forces” to “Market Dynamics (Porter's Five Forces)”) rather than the cause-classification changes the check's rule was built for. This surfaced a real scope gap: the check's label-fidelity rule, as worded, applied to report section titles as well as Fishbone-style cause categories, though only the latter has ever been evidenced as a failure mode, and the Orchestrator's own task description explicitly licenses retitling sections for readability.</w:t>
      </w:r>
    </w:p>
    <w:p>
      <w:pPr>
        <w:spacing w:after="200" w:line="276"/>
      </w:pPr>
      <w:r>
        <w:rPr>
          <w:rFonts w:ascii="Calibri" w:cs="Calibri" w:eastAsia="Calibri" w:hAnsi="Calibri"/>
          <w:sz w:val="22"/>
          <w:szCs w:val="22"/>
        </w:rPr>
        <w:t xml:space="preserve">The Boeing result deserves separate comment, since it concerns the Auditor's Check 1 (Section 6.4) rather than the fidelity check itself. Both attempts framed the trigger as Boeing's own internal decision — first, the sensor's erroneous data; on revision, the decision to rely on a single sensor — and Check 1's externality test correctly rejected both, on the grounds that a company's own design and business choices are not external events regardless of how they are phrased. This is a genuinely harder case than the two validation cases (Southwest, Peloton) the check was calibrated against: both of those have an unambiguous macro-environmental trigger (a storm, a pandemic demand reversal), while Boeing's only trigger candidate is a specific technical malfunction that sits close to being a foreseeable consequence of the very design decision the diagnosis identifies as the root cause. Whether Check 1's definition of “external” should be extended to accommodate this category of case, or whether the pipeline correctly recognises that this case lacks the clean trigger/root-cause split the other two have and routes it to human review accordingly, is reported here as an open question rather than resolved either way. This question is resolved, with the specific mechanism behind it identified, in Section 8.19.</w:t>
      </w:r>
    </w:p>
    <w:p>
      <w:pPr>
        <w:spacing w:after="200" w:line="276"/>
      </w:pPr>
      <w:r>
        <w:rPr>
          <w:rFonts w:ascii="Calibri" w:cs="Calibri" w:eastAsia="Calibri" w:hAnsi="Calibri"/>
          <w:sz w:val="22"/>
          <w:szCs w:val="22"/>
        </w:rPr>
        <w:t xml:space="preserve">A further revision scoped the check explicitly to cause-classification labels, exempting section headings, using the real case's own phrasing as a worked example. Verification against the real Peloton diagnosis and report — not a new synthetic fixture — appeared, at first, to confirm the fix completely: three of three trials passed cleanly overall. It did not survive closer inspection. The check's own qualifier-preservation verdict explicitly asserted the report contained “no instances of generic ‘total’ or ‘sum’ language replacing specific compositional definitions” — a claim directly contradicted by the report text, which contains exactly such an instance, the same one this exact input had correctly failed on in the graduation run. The revision aimed at the label-fidelity check had caused an unrelated, untouched check to silently stop catching a real violation it had previously caught reliably.</w:t>
      </w:r>
    </w:p>
    <w:p>
      <w:pPr>
        <w:spacing w:after="200" w:line="276"/>
      </w:pPr>
      <w:r>
        <w:rPr>
          <w:rFonts w:ascii="Calibri" w:cs="Calibri" w:eastAsia="Calibri" w:hAnsi="Calibri"/>
          <w:sz w:val="22"/>
          <w:szCs w:val="22"/>
        </w:rPr>
        <w:t xml:space="preserve">This was not a novel failure mode. An earlier revision (correcting the New Content Scan's over-strictness) had already caused the same qualifier-preservation check to regress once, for an analogous reason: all three checks were evaluated within a single prompt, and a wording change aimed at one check measurably shifted the model's judgement on another it was never intended to touch. Two regressions of identical shape, from two unrelated edits, were treated as evidence about the architecture rather than about either individual wording change. The check was restructured so that each of its three components runs as a fully independent model call, with no check's instructions visible to any other — removing the shared context rather than attempting a third wording correction. Re-verification, with each check's individual result now visible rather than only a single combined verdict, confirmed the restructuring directly: across eighteen individual trials (three checks, three trials each, across both the real Peloton case and the category-rename regression fixture), every result matched its expected outcome, with the previously-regressed check now shown to depend only on its own input, not on unrelated changes elsewhere in the same prompt.</w:t>
      </w:r>
    </w:p>
    <w:p>
      <w:pPr>
        <w:spacing w:after="200" w:line="276"/>
      </w:pPr>
      <w:r>
        <w:rPr>
          <w:rFonts w:ascii="Calibri" w:cs="Calibri" w:eastAsia="Calibri" w:hAnsi="Calibri"/>
          <w:sz w:val="22"/>
          <w:szCs w:val="22"/>
        </w:rPr>
        <w:t xml:space="preserve">The lesson this process supports is distinct from, and additional to, the lesson drawn from the Auditor's own four-round refinement in Section 6.4. There, each wording revision was validated against the same check it targeted. Here, a wording revision that appeared to succeed against its own target twice caused an unrelated, previously-working check to fail — a defect invisible to any validation process that does not re-test every check sharing a prompt, not only the one being edited. The corrective architecture (isolated calls per check) is reported as validated specifically against this failure mode, at the same scale (n=3 per fixture) as the revision that necessitated it, not yet at the larger scale used for the Auditor's own established checks (Section 8.7).</w:t>
      </w:r>
    </w:p>
    <w:p>
      <w:pPr>
        <w:spacing w:after="200" w:line="276"/>
      </w:pPr>
      <w:r>
        <w:rPr>
          <w:rFonts w:ascii="Calibri" w:cs="Calibri" w:eastAsia="Calibri" w:hAnsi="Calibri"/>
          <w:sz w:val="22"/>
          <w:szCs w:val="22"/>
        </w:rPr>
        <w:t xml:space="preserve">A second, independent three-case Orchestrator run was conducted separately from the calibration process described above, using the corrected Orchestrator and the isolated-check fidelity architecture as they stood after the revisions documented in this section. Southwest again passed cleanly on its first attempt, matching the earlier run exactly. Peloton was again withheld by the fidelity check on genuine content, though not on the same instance: this run's Scope-Qualifier Preservation check caught a different dropped composition detail, the report's $800,000 capital-expenditure figure losing its “(Ohio factory and Precor)” breakdown rather than the cost-composition figure caught in the earlier run. Taken together, the two runs now show the check catching a real qualifier loss on two independent occasions, on two different figures, rather than once.</w:t>
      </w:r>
    </w:p>
    <w:p>
      <w:pPr>
        <w:spacing w:after="200" w:line="276"/>
      </w:pPr>
      <w:r>
        <w:rPr>
          <w:rFonts w:ascii="Calibri" w:cs="Calibri" w:eastAsia="Calibri" w:hAnsi="Calibri"/>
          <w:sz w:val="22"/>
          <w:szCs w:val="22"/>
        </w:rPr>
        <w:t xml:space="preserve">Boeing diverged from the earlier run in a way worth reporting rather than smoothing over. The run described above failed Boeing's diagnosis on both attempts, entirely on Check 1's externality test, so the case never reached the fidelity check at all — the Orchestrator's third possible status, FLAGGED_FOR_REVIEW, alongside SYNTHESIZED and FLAGGED_FIDELITY_FAILURE. In this second run, the first attempt failed for the identical reason, but the revision reframed the trigger as the specific flight conditions under which the sensor malfunctioned and passed Check 1 on the second attempt — only to then be withheld by the fidelity check instead, for dropping the qualifying context off two financial figures (the 2018-versus-2019 composition of an $11.096 billion swing, and the “cumulative cost of crisis” framing on an $18 billion comparison). The same case, run twice under the same architecture, produced two different final classifications for reasons that have nothing to do with the fidelity check, which behaved consistently in both runs, and everything to do with whether a given revision attempt happens to reframe the trigger acceptably. This is reported as evidence of real variance in whether Check 1's revision path succeeds, not as a defect in either run — and it means the Orchestrator's three status branches now each have direct empirical evidence behind them across the two runs combined, where before this second run only two of the three had been observed together.</w:t>
      </w:r>
    </w:p>
    <w:p>
      <w:pPr>
        <w:pStyle w:val="Heading2"/>
        <w:spacing w:after="120" w:before="280"/>
      </w:pPr>
      <w:r>
        <w:t xml:space="preserve">6.8 The Intake Agent: Validation Against Data Completeness and Input Quality</w:t>
      </w:r>
    </w:p>
    <w:p>
      <w:pPr>
        <w:spacing w:after="200" w:line="276"/>
      </w:pPr>
      <w:r>
        <w:rPr>
          <w:rFonts w:ascii="Calibri" w:cs="Calibri" w:eastAsia="Calibri" w:hAnsi="Calibri"/>
          <w:sz w:val="22"/>
          <w:szCs w:val="22"/>
        </w:rPr>
        <w:t xml:space="preserve">The Intake agent converts a user's free-form problem description into the structured Problem Statement / Background / Supporting Data format the rest of the pipeline expects. Its own design documentation names the specific risk this represents: turning something vague into something that reads as complete and specific is precisely what fabrication under pressure means, the same failure mode Section 8 characterises for the Analyst and baseline. Unlike the Auditor's checks or the fidelity check, Intake's output is free text being compared against another piece of free text, not a structured claim checked against a stated rule — so validation here is manual review against documented ground truth rather than an automated pass/fail, the same approach used to find Check 2's original failure mode before any automated check for it existed (Section 6.4).</w:t>
      </w:r>
    </w:p>
    <w:p>
      <w:pPr>
        <w:spacing w:after="200" w:line="276"/>
      </w:pPr>
      <w:r>
        <w:rPr>
          <w:rFonts w:ascii="Calibri" w:cs="Calibri" w:eastAsia="Calibri" w:hAnsi="Calibri"/>
          <w:sz w:val="22"/>
          <w:szCs w:val="22"/>
        </w:rPr>
        <w:t xml:space="preserve">A first validation pass targeted the risk named above directly: three fixtures spanning zero, one, and several concrete figures, each with the exact ground truth documented in advance, run five times each (15 trials total). Across all 15 trials, zero fabricated numbers, dates, or figures appeared; the zero-data fixture correctly stated that no concrete data was provided in every trial rather than inventing any; and every hedge the input actually stated was preserved rather than promoted into an unstated certainty. This pass also named, explicitly, three axes it had not tested: long, rambling, multi-topic input; genuine section-boundary ambiguity; and vague quantifiers that might be wrongly promoted into stated figures.</w:t>
      </w:r>
    </w:p>
    <w:p>
      <w:pPr>
        <w:spacing w:after="200" w:line="276"/>
      </w:pPr>
      <w:r>
        <w:rPr>
          <w:rFonts w:ascii="Calibri" w:cs="Calibri" w:eastAsia="Calibri" w:hAnsi="Calibri"/>
          <w:sz w:val="22"/>
          <w:szCs w:val="22"/>
        </w:rPr>
        <w:t xml:space="preserve">A second pass tested input “quality” directly, as distinct from how much data is present — the axis the first pass never touched, and the one most relevant to this project's actual target market, which does not write in clean, fluent English. Five new fixtures were run at the same five-trials-each scale (25 trials total), each with ground truth again documented in advance: weak, grammatically broken English carrying two embedded hedges; Roman Urdu/English code-switching carrying the same two hedge types, matching how this project's actual target market writes rather than a translated or idealised version of it; vague quantifiers (“about half,” “most of,” “a handful”) with zero concrete numbers anywhere; a long, rambling input touching three unrelated topics with exactly one real figure buried among them; and a one-line input sparser than the first pass's own sparsest fixture.</w:t>
      </w:r>
    </w:p>
    <w:p>
      <w:pPr>
        <w:spacing w:after="200" w:line="276"/>
      </w:pPr>
      <w:r>
        <w:rPr>
          <w:rFonts w:ascii="Calibri" w:cs="Calibri" w:eastAsia="Calibri" w:hAnsi="Calibri"/>
          <w:sz w:val="22"/>
          <w:szCs w:val="22"/>
        </w:rPr>
        <w:t xml:space="preserve">Zero of the 25 trials promoted a stated hedge into unstated certainty, holding even under weak grammar and code-switching: the Roman Urdu fixture's business facts — a return-rate change, a supplier-change date, a revenue decline — were extracted correctly in all five trials despite the code-switching, with both of that fixture's hedges preserved every time. The rambling and minimal-input fixtures behaved exactly as the first pass's fixtures did, surfacing no new failure shape.</w:t>
      </w:r>
    </w:p>
    <w:p>
      <w:pPr>
        <w:spacing w:after="200" w:line="276"/>
      </w:pPr>
      <w:r>
        <w:rPr>
          <w:rFonts w:ascii="Calibri" w:cs="Calibri" w:eastAsia="Calibri" w:hAnsi="Calibri"/>
          <w:sz w:val="22"/>
          <w:szCs w:val="22"/>
        </w:rPr>
        <w:t xml:space="preserve">Two real findings did emerge. First, one of the 25 trials reproduced the specific risk the first pass could name but not confirm: on the vague-quantifier fixture, “about half our repeat customers” was promoted to “approximately 50% of repeat customers” in the Supporting Data section specifically, while the same trial's own Problem Statement correctly kept the figure vague — the promotion happened when the model tried to make Supporting Data read as more data-like than the input actually supports. Second, a previously unobserved pattern appeared in four of the 25 trials, split across the weak-English and Roman-Urdu fixtures: an unstated causal link (“as a result,” “consequently”) asserted between two facts the input only lists sequentially, without ever stating that one caused the other. This is milder than a fabricated number, but is still, by the agent's own task instructions against adding an interpretation the user did not state, a real instance of the class of thing those instructions exist to prevent.</w:t>
      </w:r>
    </w:p>
    <w:p>
      <w:pPr>
        <w:spacing w:after="200" w:line="276"/>
      </w:pPr>
      <w:r>
        <w:rPr>
          <w:rFonts w:ascii="Calibri" w:cs="Calibri" w:eastAsia="Calibri" w:hAnsi="Calibri"/>
          <w:sz w:val="22"/>
          <w:szCs w:val="22"/>
        </w:rPr>
        <w:t xml:space="preserve">Neither finding has been corrected yet, deliberately: this project's established practice is to characterise a specific failure precisely before wording a fix for it, the same separation Check 2 and Check 3's own multi-round refinements followed (Sections 6.4, 8.11). Both findings are mitigated today by a structural safety net independent of either validation pass: Intake's output is shown back to the user for confirmation or correction before it is used for anything, so a garbled structuring is caught by a human before a real diagnosis runs on it. The vague-quantifier-promotion rate (one of five trials on the one fixture built specifically to test it) is reported at exactly that scale, not extrapolated to the other fixtures or rounded into a general claim about Intake's reliability under weak input.</w:t>
      </w:r>
    </w:p>
    <w:p>
      <w:pPr>
        <w:spacing w:after="200" w:line="276"/>
      </w:pPr>
      <w:r>
        <w:rPr>
          <w:rFonts w:ascii="Calibri" w:cs="Calibri" w:eastAsia="Calibri" w:hAnsi="Calibri"/>
          <w:sz w:val="22"/>
          <w:szCs w:val="22"/>
        </w:rPr>
        <w:t xml:space="preserve">Both findings were then targeted for a fix, in two rounds. The first round added explicit guidance naming both patterns directly, including the two specific phrases (“as a result,” “consequently”) the causal-link finding had used. Re-running the full 25-trial suite showed the quantifier fix worked cleanly: zero of 25 promotions, no regressions elsewhere. The causal-link fix did not: the raw count stayed at 4 of 25, but every instance moved into a single fixture, using unbanned phrasing (“causing X and Y”) instead of the two named phrases — the model was matching against the specific wording banned, not the rule it stood in for.</w:t>
      </w:r>
    </w:p>
    <w:p>
      <w:pPr>
        <w:spacing w:after="200" w:line="276"/>
      </w:pPr>
      <w:r>
        <w:rPr>
          <w:rFonts w:ascii="Calibri" w:cs="Calibri" w:eastAsia="Calibri" w:hAnsi="Calibri"/>
          <w:sz w:val="22"/>
          <w:szCs w:val="22"/>
        </w:rPr>
        <w:t xml:space="preserve">Closer reading of the remaining failures found a more precise mechanism than an unstated link: the input does state one causal link explicitly (“customer very angry because delivery always late”), and the model was extending that same stated link to also cover a second, separately-stated fact (customer loss) the input never connected to anything — chaining an existing claim, not inventing one from nothing. A second round rewrote the guidance around this specific mechanism, banning causal-connecting language generally and explicitly stating that a stated link covers only the facts the user connected, using the exact failing sentence as the worked example inside the prompt itself. Re-running the full suite again produced an unchanged result: the same 4 of 5 rate, on the same fixture, several trials reproducing close to the identical sentence just quoted back to the model as the thing not to do.</w:t>
      </w:r>
    </w:p>
    <w:p>
      <w:pPr>
        <w:spacing w:after="200" w:line="276"/>
      </w:pPr>
      <w:r>
        <w:rPr>
          <w:rFonts w:ascii="Calibri" w:cs="Calibri" w:eastAsia="Calibri" w:hAnsi="Calibri"/>
          <w:sz w:val="22"/>
          <w:szCs w:val="22"/>
        </w:rPr>
        <w:t xml:space="preserve">The quantifier-promotion fix is retained and confirmed stable across two independent validation rounds; this finding is closed. The causal-link fix is not pursued further by wording alone: two rounds of increasingly specific, example-driven prompt changes produced identical results, treated as evidence of a genuine plateau rather than an insufficiently precise instruction. This is a different outcome from every other wording fix in this document (Check 2, Check 3, the quantifier fix above) — those all moved in response to a more precisely named rule; this one did not move on a second attempt, which is itself informative: some failure modes may respond better to a structural change in what the model is asked to produce (e.g. requiring Background as separate listed facts rather than connected prose) than to further constraining what it is asked not to say. This is reported as a documented limitation, not a corrected one, and the structural alternative is scoped as remaining work in Section 10.3 rather than pursued as a third wording round.</w:t>
      </w:r>
    </w:p>
    <w:p>
      <w:pPr>
        <w:pStyle w:val="Heading2"/>
        <w:spacing w:after="120" w:before="280"/>
      </w:pPr>
      <w:r>
        <w:t xml:space="preserve">6.9 Fidelity Check n=9 Re-Validation: A Major Reversal on the Real Peloton Fixture</w:t>
      </w:r>
    </w:p>
    <w:p>
      <w:pPr>
        <w:spacing w:after="200" w:line="276"/>
      </w:pPr>
      <w:r>
        <w:rPr>
          <w:rFonts w:ascii="Calibri" w:cs="Calibri" w:eastAsia="Calibri" w:hAnsi="Calibri"/>
          <w:sz w:val="22"/>
          <w:szCs w:val="22"/>
        </w:rPr>
        <w:t xml:space="preserve">Section 6.7's fidelity check has only ever been validated at n=3 to n=5 per fixture, and its own module docstring, after the Section 6.7 architectural rewrite to three isolated checks, states plainly that the isolated form “needs its own verification pass, same standard as every prior revision.” That pass had also only ever covered 2 of the fidelity check's 5 established fixtures. This section reports a single controlled batch closing both gaps: all 5 fixtures, unchanged, re-run at n=9, calling only the check(s) each fixture targets — except the real Peloton diagnosis and report, which gets all three checks since it is the project's one non-synthetic, multi-cause fixture.</w:t>
      </w:r>
    </w:p>
    <w:p>
      <w:pPr>
        <w:spacing w:after="200" w:line="276"/>
      </w:pPr>
      <w:r>
        <w:rPr>
          <w:rFonts w:ascii="Calibri" w:cs="Calibri" w:eastAsia="Calibri" w:hAnsi="Calibri"/>
          <w:sz w:val="22"/>
          <w:szCs w:val="22"/>
        </w:rPr>
        <w:t xml:space="preserve">Six of the seven fixture/check combinations replicated perfectly: paraphrase_only against Check A, parenthetical_dropped and category_renamed against Check B, qualifier_dropped against Check C, and the real Peloton pair against both Check A and Check B all returned the expected verdict in all 9 trials — 54 of 54 individual results correct, the largest clean batch this project has run against the fidelity check.</w:t>
      </w:r>
    </w:p>
    <w:p>
      <w:pPr>
        <w:spacing w:after="200" w:line="276"/>
      </w:pPr>
      <w:r>
        <w:rPr>
          <w:rFonts w:ascii="Calibri" w:cs="Calibri" w:eastAsia="Calibri" w:hAnsi="Calibri"/>
          <w:sz w:val="22"/>
          <w:szCs w:val="22"/>
        </w:rPr>
        <w:t xml:space="preserve">The seventh combination overturns a previously-reported result rather than merely extending it. Section 6.7's architectural fix (the isolated Check A/B/C rewrite) was verified at the time by re-running the real Peloton diagnosis and report at n=3, and Check C correctly caught the report's dropped qualifiers in all three trials — called, at the time, “the cleanest result across all five fidelity-check revisions to date.” Run again at n=9, against the identical fixture pair and unchanged Check C wording, it caught the same violation in only one of nine trials. The other eight all returned “Instances found: None found,” several explicitly asserting that specific compositional qualifiers were preserved when the report text demonstrably drops them.</w:t>
      </w:r>
    </w:p>
    <w:p>
      <w:pPr>
        <w:spacing w:after="200" w:line="276"/>
      </w:pPr>
      <w:r>
        <w:rPr>
          <w:rFonts w:ascii="Calibri" w:cs="Calibri" w:eastAsia="Calibri" w:hAnsi="Calibri"/>
          <w:sz w:val="22"/>
          <w:szCs w:val="22"/>
        </w:rPr>
        <w:t xml:space="preserve">The one correct catch is, if anything, a stronger result than anything previously documented for this fixture: it names four distinct dropped qualifiers rather than the two found in the original graduation run — the “storage, insurance, obsolescence” composition dropped from the carrying-cost figure, the “(Precor + Factory)” composition dropped from the $800M figure, the “into expansion” scope dropped from the 55%-of-capital-invested figure, and the “80% Decline” qualifier dropped from the $40B shareholder-value figure. This confirms the violations are real and detectable in principle; Check C simply failed to detect them in 8 of 9 independent attempts against the same input. This characterisation is corrected in Section 8.20: two of these four claims are genuine violations, one is a documented ambiguity rather than a clean drop, and one is factually incorrect.</w:t>
      </w:r>
    </w:p>
    <w:p>
      <w:pPr>
        <w:spacing w:after="200" w:line="276"/>
      </w:pPr>
      <w:r>
        <w:rPr>
          <w:rFonts w:ascii="Calibri" w:cs="Calibri" w:eastAsia="Calibri" w:hAnsi="Calibri"/>
          <w:sz w:val="22"/>
          <w:szCs w:val="22"/>
        </w:rPr>
        <w:t xml:space="preserve">By contrast, qualifier_dropped — a synthetic fixture built to isolate exactly one clean qualifier drop inside an otherwise short, single-paragraph-derived report — caught its violation in all 9 trials, at the same scale, under the same unchanged check wording, in the same batch. Both fixtures test the identical failure category; their reliability is opposite. The leading, unconfirmed hypothesis is that Check C's near-perfect performance on a minimal single-variable synthetic fixture does not generalise to a real, denser report carrying several simultaneous violations among many correctly-preserved figures — a generalisation question distinct from, and untouched by, any of Section 6.7's five wording-calibration rounds, all of which were validated primarily against synthetic single-variable fixtures.</w:t>
      </w:r>
    </w:p>
    <w:p>
      <w:pPr>
        <w:spacing w:after="200" w:line="276"/>
      </w:pPr>
      <w:r>
        <w:rPr>
          <w:rFonts w:ascii="Calibri" w:cs="Calibri" w:eastAsia="Calibri" w:hAnsi="Calibri"/>
          <w:sz w:val="22"/>
          <w:szCs w:val="22"/>
        </w:rPr>
        <w:t xml:space="preserve">Two possible confounds are logged rather than resolved. First, sampling variance at n=3: if the true catch rate is close to this round's observed one in nine, a run of three consecutive catches has roughly a 0.1 per cent probability under a naive independent-trials assumption — itself informative about how little the original n=3 result could be trusted. Second, the roughly one-month gap between the original verification and this round: the underlying model identifier has not changed in this project's version history, but a hosted model's serving behaviour can shift without any visible version change on this project's side. Neither explanation is confirmed.</w:t>
      </w:r>
    </w:p>
    <w:p>
      <w:pPr>
        <w:spacing w:after="200" w:line="276"/>
      </w:pPr>
      <w:r>
        <w:rPr>
          <w:rFonts w:ascii="Calibri" w:cs="Calibri" w:eastAsia="Calibri" w:hAnsi="Calibri"/>
          <w:sz w:val="22"/>
          <w:szCs w:val="22"/>
        </w:rPr>
        <w:t xml:space="preserve">Given the fidelity check's fail-closed integration rule — a report failing any of Check A, B, or C is downgraded from SYNTHESIZED to FLAGGED_FIDELITY_FAILURE — this result means the fidelity check would have incorrectly approved this exact real report as fully verified in roughly 8 of 9 independent runs, despite genuine, multi-instance content drift. This is reported as an open, high-priority question for further investigation (Section 10.3), not a settled capability, and takes priority over any further wording work on the fidelity check until it is better understood.</w:t>
      </w:r>
    </w:p>
    <w:p>
      <w:pPr>
        <w:pStyle w:val="Heading1"/>
        <w:spacing w:after="160" w:before="360"/>
      </w:pPr>
      <w:r>
        <w:t xml:space="preserve">7. A Data Integrity Correction</w:t>
      </w:r>
    </w:p>
    <w:p>
      <w:pPr>
        <w:spacing w:after="200" w:line="276"/>
      </w:pPr>
      <w:r>
        <w:rPr>
          <w:rFonts w:ascii="Calibri" w:cs="Calibri" w:eastAsia="Calibri" w:hAnsi="Calibri"/>
          <w:sz w:val="22"/>
          <w:szCs w:val="22"/>
        </w:rPr>
        <w:t xml:space="preserve">Reviewing the system's answer to a direct question about its own value — whether its output could be reproduced by simply prompting a general-purpose model directly — prompted a direct audit of exactly what the agents had been shown as case input, rather than assuming the case files were input-safe because they had been treated that way implicitly since Section 4.</w:t>
      </w:r>
    </w:p>
    <w:p>
      <w:pPr>
        <w:spacing w:after="200" w:line="276"/>
      </w:pPr>
      <w:r>
        <w:rPr>
          <w:rFonts w:ascii="Calibri" w:cs="Calibri" w:eastAsia="Calibri" w:hAnsi="Calibri"/>
          <w:sz w:val="22"/>
          <w:szCs w:val="22"/>
        </w:rPr>
        <w:t xml:space="preserve">Every case packet was found to contain, in the identical file used as agent input on every run described in Section 6, three sections that should not have been visible to a diagnosing agent: a metadata line naming the frameworks the case had originally been tagged with (visible to the Researcher on every run); a numbered list of the documented, real-world root-cause findings (visible to the Analyst); and a summary explicitly labelled “for evaluating agent output” that states outright what a correct diagnosis should conclude (visible to both the Analyst producing a diagnosis and the Auditor checking it).</w:t>
      </w:r>
    </w:p>
    <w:p>
      <w:pPr>
        <w:spacing w:after="200" w:line="276"/>
      </w:pPr>
      <w:r>
        <w:rPr>
          <w:rFonts w:ascii="Calibri" w:cs="Calibri" w:eastAsia="Calibri" w:hAnsi="Calibri"/>
          <w:sz w:val="22"/>
          <w:szCs w:val="22"/>
        </w:rPr>
        <w:t xml:space="preserve">This has a specific and limited impact on the results reported in Section 6. The Auditor's ranking-fabrication check does not depend on any of the leaked material — none of it contains ranking percentages — so every instance of a caught fabrication reported in Section 6.4 remains a genuine finding. The trigger-versus-root-cause results reported throughout Section 6, however, do </w:t>
      </w:r>
      <w:r>
        <w:rPr>
          <w:rFonts w:ascii="Calibri" w:cs="Calibri" w:eastAsia="Calibri" w:hAnsi="Calibri"/>
          <w:i/>
          <w:iCs/>
          <w:sz w:val="22"/>
          <w:szCs w:val="22"/>
        </w:rPr>
        <w:t xml:space="preserve">not</w:t>
      </w:r>
      <w:r>
        <w:rPr>
          <w:rFonts w:ascii="Calibri" w:cs="Calibri" w:eastAsia="Calibri" w:hAnsi="Calibri"/>
          <w:sz w:val="22"/>
          <w:szCs w:val="22"/>
        </w:rPr>
        <w:t xml:space="preserve"> hold up under this scrutiny as evidence of blind diagnostic reasoning: they demonstrate that the system could correctly restate a distinction it had already been given, not that it derived the distinction independently. This is a material qualification, applying retroactively to every trigger/root-cause result reported prior to this correction, not a footnote.</w:t>
      </w:r>
    </w:p>
    <w:p>
      <w:pPr>
        <w:spacing w:after="200" w:line="276"/>
      </w:pPr>
      <w:r>
        <w:rPr>
          <w:rFonts w:ascii="Calibri" w:cs="Calibri" w:eastAsia="Calibri" w:hAnsi="Calibri"/>
          <w:sz w:val="22"/>
          <w:szCs w:val="22"/>
        </w:rPr>
        <w:t xml:space="preserve">The corrective measure separates each case file into two parts at load time: a diagnostic input (problem statement, background, and supporting data only) that is the sole material shown to any agent, and a reference material set (the frameworks metadata, documented findings, resolution, and ground-truth summary) reserved exclusively for scoring output after it has been generated. The separation was verified programmatically across all three cases, confirming the absence of any withheld material from the diagnostic input and its presence in the reference material. Every subsequent result in this document, from Section 8 onward, was produced under this corrected condition.</w:t>
      </w:r>
    </w:p>
    <w:p>
      <w:pPr>
        <w:pStyle w:val="Heading1"/>
        <w:spacing w:after="160" w:before="360"/>
      </w:pPr>
      <w:r>
        <w:t xml:space="preserve">8. The Ablation Study: Pipeline versus Baseline</w:t>
      </w:r>
    </w:p>
    <w:p>
      <w:pPr>
        <w:pStyle w:val="Heading2"/>
        <w:spacing w:after="120" w:before="280"/>
      </w:pPr>
      <w:r>
        <w:t xml:space="preserve">8.1 A Second Confound</w:t>
      </w:r>
    </w:p>
    <w:p>
      <w:pPr>
        <w:spacing w:after="200" w:line="276"/>
      </w:pPr>
      <w:r>
        <w:rPr>
          <w:rFonts w:ascii="Calibri" w:cs="Calibri" w:eastAsia="Calibri" w:hAnsi="Calibri"/>
          <w:sz w:val="22"/>
          <w:szCs w:val="22"/>
        </w:rPr>
        <w:t xml:space="preserve">Correcting the input leak described in Section 7 does not fully resolve the underlying concern that motivated it. All three cases in the corpus were deliberately selected, in Section 4, for being real and heavily documented — which also makes each of them the kind of event a large language model is likely to have encountered repeatedly during pretraining. Reviewing a baseline output for the Southwest Airlines case, the model named the crew-scheduling software specifically (“SkySolver”) — a detail present nowhere in the diagnostic input. Verification against public reporting confirmed the name is accurate, not invented, meaning it was recalled from the model's own training data rather than derived from the given facts.</w:t>
      </w:r>
    </w:p>
    <w:p>
      <w:pPr>
        <w:spacing w:after="200" w:line="276"/>
      </w:pPr>
      <w:r>
        <w:rPr>
          <w:rFonts w:ascii="Calibri" w:cs="Calibri" w:eastAsia="Calibri" w:hAnsi="Calibri"/>
          <w:sz w:val="22"/>
          <w:szCs w:val="22"/>
        </w:rPr>
        <w:t xml:space="preserve">This confound is symmetric: the pipeline and the baseline described below use an identical underlying model, so neither is unfairly advantaged. It does, however, mean that whether an output matches the documented ground truth is weaker evidence than it appears for these three specific cases, since a correct-looking answer could reflect genuine reasoning from the given facts or recall of a widely reported story, and the two cannot be distinguished from the output text alone. Results that depend on process rather than on matching a possibly memorised outcome are unaffected: the retrieval ablation in Section 5 and the fabrication-catching results in Section 6 do not depend on whether the model already “knows” the real story.</w:t>
      </w:r>
    </w:p>
    <w:p>
      <w:pPr>
        <w:pStyle w:val="Heading2"/>
        <w:spacing w:after="120" w:before="280"/>
      </w:pPr>
      <w:r>
        <w:t xml:space="preserve">8.2 Baseline and Comparison Methodology</w:t>
      </w:r>
    </w:p>
    <w:p>
      <w:pPr>
        <w:spacing w:after="200" w:line="276"/>
      </w:pPr>
      <w:r>
        <w:rPr>
          <w:rFonts w:ascii="Calibri" w:cs="Calibri" w:eastAsia="Calibri" w:hAnsi="Calibri"/>
          <w:sz w:val="22"/>
          <w:szCs w:val="22"/>
        </w:rPr>
        <w:t xml:space="preserve">A baseline was implemented as a single, unscaffolded call to the identical underlying model, given the identical diagnostic input, with a realistic but unscaffolded instruction: diagnose the root cause, apply relevant frameworks, and quantify the financial impact. It uses no retrieval, no forced reformulation step, no anti-fabrication instruction, and no audit or revision. This isolates the single variable of interest — whether the pipeline's scaffolding adds value over the same model prompted directly — rather than comparing across models or prompt styles.</w:t>
      </w:r>
    </w:p>
    <w:p>
      <w:pPr>
        <w:pStyle w:val="Heading2"/>
        <w:spacing w:after="120" w:before="280"/>
      </w:pPr>
      <w:r>
        <w:t xml:space="preserve">8.3 Results: Tied and Inconclusive Dimensions</w:t>
      </w:r>
    </w:p>
    <w:p>
      <w:pPr>
        <w:spacing w:after="200" w:line="276"/>
      </w:pPr>
      <w:r>
        <w:rPr>
          <w:rFonts w:ascii="Calibri" w:cs="Calibri" w:eastAsia="Calibri" w:hAnsi="Calibri"/>
          <w:sz w:val="22"/>
          <w:szCs w:val="22"/>
        </w:rPr>
        <w:t xml:space="preserve">On direct comparison across all three cases, the pipeline and the baseline were tied on two dimensions: both correctly and clearly separated trigger from root cause on every case, and both were arithmetically accurate throughout, including, in one case, the baseline correctly deriving an unstated figure as the difference between two case-provided totals. Neither result discriminates between the two conditions.</w:t>
      </w:r>
    </w:p>
    <w:p>
      <w:pPr>
        <w:spacing w:after="200" w:line="276"/>
      </w:pPr>
      <w:r>
        <w:rPr>
          <w:rFonts w:ascii="Calibri" w:cs="Calibri" w:eastAsia="Calibri" w:hAnsi="Calibri"/>
          <w:sz w:val="22"/>
          <w:szCs w:val="22"/>
        </w:rPr>
        <w:t xml:space="preserve">A third dimension was inconclusive rather than tied: the baseline did not attempt a Pareto-style ranking on any of the three cases when given the open instruction to “apply relevant frameworks,” so it never placed itself in the position where the project's central failure mode — a fabricated ranking — could be observed. The comparison, as first run, demonstrated only that the pipeline's discipline held; it said nothing about what the baseline would have done under equivalent pressure.</w:t>
      </w:r>
    </w:p>
    <w:p>
      <w:pPr>
        <w:pStyle w:val="Heading2"/>
        <w:spacing w:after="120" w:before="280"/>
      </w:pPr>
      <w:r>
        <w:t xml:space="preserve">8.4 A Consistent Difference: Framework Breadth</w:t>
      </w:r>
    </w:p>
    <w:p>
      <w:pPr>
        <w:spacing w:after="200" w:line="276"/>
      </w:pPr>
      <w:r>
        <w:rPr>
          <w:rFonts w:ascii="Calibri" w:cs="Calibri" w:eastAsia="Calibri" w:hAnsi="Calibri"/>
          <w:sz w:val="22"/>
          <w:szCs w:val="22"/>
        </w:rPr>
        <w:t xml:space="preserve">One difference was clear and consistent across all three cases: the pipeline applied a broader set of frameworks, including some the baseline never attempted — a SWOT analysis for the Boeing case, a Decision Tree comparing the realised path against a counterfactual for the Peloton case, and an explicit Return on Investment analysis for Peloton that stated why an exact figure could not be computed. The baseline converged on the same narrow pair (Five Whys and a Fishbone diagram) plus a financial summary on every case, and did not attempt frameworks it could not fully execute rather than attempting them and stating the limitation. This is attributed to the pipeline's Researcher retrieving candidates from a curated framework knowledge base via genuine search — confirmed to still function without the metadata hint removed in Section 7 — rather than the baseline relying on whichever frameworks the model reaches for unprompted.</w:t>
      </w:r>
    </w:p>
    <w:p>
      <w:pPr>
        <w:pStyle w:val="Heading2"/>
        <w:spacing w:after="120" w:before="280"/>
      </w:pPr>
      <w:r>
        <w:t xml:space="preserve">8.5 The Decisive Test: A Forced Ranking</w:t>
      </w:r>
    </w:p>
    <w:p>
      <w:pPr>
        <w:spacing w:after="200" w:line="276"/>
      </w:pPr>
      <w:r>
        <w:rPr>
          <w:rFonts w:ascii="Calibri" w:cs="Calibri" w:eastAsia="Calibri" w:hAnsi="Calibri"/>
          <w:sz w:val="22"/>
          <w:szCs w:val="22"/>
        </w:rPr>
        <w:t xml:space="preserve">To resolve the inconclusive result in Section 8.3, a second baseline variant was constructed, identical in every respect except that it explicitly required a Pareto-style ranked breakdown of causes by impact — removing the option the first baseline exercised, on all three cases, to avoid the framework altogether. This is a realistic elevation in difficulty, not an artificial one: asking which cause mattered most, and by how much, is an ordinary request a business reader might make.</w:t>
      </w:r>
    </w:p>
    <w:p>
      <w:pPr>
        <w:spacing w:after="200" w:line="276"/>
      </w:pPr>
      <w:r>
        <w:rPr>
          <w:rFonts w:ascii="Calibri" w:cs="Calibri" w:eastAsia="Calibri" w:hAnsi="Calibri"/>
          <w:sz w:val="22"/>
          <w:szCs w:val="22"/>
        </w:rPr>
        <w:t xml:space="preserve">Forced to answer, the baseline fabricated a ranking on all three cases — and did so with an unexpectedly precise pattern. The </w:t>
      </w:r>
      <w:r>
        <w:rPr>
          <w:rFonts w:ascii="Calibri" w:cs="Calibri" w:eastAsia="Calibri" w:hAnsi="Calibri"/>
          <w:b/>
          <w:bCs/>
          <w:sz w:val="22"/>
          <w:szCs w:val="22"/>
        </w:rPr>
        <w:t xml:space="preserve">same percentage distribution, 60/25/10/5, in the same rank order</w:t>
      </w:r>
      <w:r>
        <w:rPr>
          <w:rFonts w:ascii="Calibri" w:cs="Calibri" w:eastAsia="Calibri" w:hAnsi="Calibri"/>
          <w:sz w:val="22"/>
          <w:szCs w:val="22"/>
        </w:rPr>
        <w:t xml:space="preserve"> (the largest company-controllable cause first, the external trigger last and smallest), was produced for Southwest, Boeing, and Peloton: three cases with entirely different underlying dynamics. None of the three cases' supporting data contains any per-cause breakdown that could justify assigning a percentage to anything; every given figure is an aggregate total. The repetition of an identical distribution shape across unrelated cases is stronger evidence against genuine case-specific reasoning than three different fabricated numbers would have been, since it indicates the model completing a generic pattern for “an 80/20 breakdown” rather than deriving anything from the case in front of it. The fabricated output presented all three breakdowns with full confidence and no hedging, in a formatted table complete with a rationale column reading as derived analysis.</w:t>
      </w:r>
    </w:p>
    <w:p>
      <w:pPr>
        <w:spacing w:after="200" w:line="276"/>
      </w:pPr>
      <w:r>
        <w:rPr>
          <w:rFonts w:ascii="Calibri" w:cs="Calibri" w:eastAsia="Calibri" w:hAnsi="Calibri"/>
          <w:sz w:val="22"/>
          <w:szCs w:val="22"/>
        </w:rPr>
        <w:t xml:space="preserve">This result is not subject to the memorisation confound described in Section 8.1: no public account of any of these three events reports a Pareto-style percentage attribution across causes, so there is no real distribution for the model to have recalled for any of them.</w:t>
      </w:r>
    </w:p>
    <w:p>
      <w:pPr>
        <w:pStyle w:val="Heading2"/>
        <w:spacing w:after="120" w:before="280"/>
      </w:pPr>
      <w:r>
        <w:t xml:space="preserve">8.6 Closing the Loop: The Auditor Catches Its Own Target</w:t>
      </w:r>
    </w:p>
    <w:p>
      <w:pPr>
        <w:spacing w:after="200" w:line="276"/>
      </w:pPr>
      <w:r>
        <w:rPr>
          <w:rFonts w:ascii="Calibri" w:cs="Calibri" w:eastAsia="Calibri" w:hAnsi="Calibri"/>
          <w:sz w:val="22"/>
          <w:szCs w:val="22"/>
        </w:rPr>
        <w:t xml:space="preserve">To confirm the ablation study's central claim is fully self-contained, the three fabricated outputs obtained in Section 8.5 were fed directly to the Auditor — not a hand-constructed example, as used to validate the check in Section 6.4, but the Auditor's actual real target: the exact fabricated text the unaudited process produced.</w:t>
      </w:r>
    </w:p>
    <w:p>
      <w:pPr>
        <w:spacing w:after="200" w:line="276"/>
      </w:pPr>
      <w:r>
        <w:rPr>
          <w:rFonts w:ascii="Calibri" w:cs="Calibri" w:eastAsia="Calibri" w:hAnsi="Calibri"/>
          <w:sz w:val="22"/>
          <w:szCs w:val="22"/>
        </w:rPr>
        <w:t xml:space="preserve">All three were correctly identified as failing. Check 1 passed correctly in every case, confirming the trigger-versus-root-cause separation was genuine in these outputs as well, and Check 2 failed correctly with case-specific reasoning that cited the actual figures given in each case and explained precisely why no derivation supports the invented percentages. In the Southwest case, the Auditor independently identified </w:t>
      </w:r>
      <w:r>
        <w:rPr>
          <w:rFonts w:ascii="Calibri" w:cs="Calibri" w:eastAsia="Calibri" w:hAnsi="Calibri"/>
          <w:b/>
          <w:bCs/>
          <w:sz w:val="22"/>
          <w:szCs w:val="22"/>
        </w:rPr>
        <w:t xml:space="preserve">two</w:t>
      </w:r>
      <w:r>
        <w:rPr>
          <w:rFonts w:ascii="Calibri" w:cs="Calibri" w:eastAsia="Calibri" w:hAnsi="Calibri"/>
          <w:sz w:val="22"/>
          <w:szCs w:val="22"/>
        </w:rPr>
        <w:t xml:space="preserve"> separate instances of the violation within the same output — the ranking table itself, and a separate sentence framing the same invented breakdown as accounting for “100% of the impact” — rather than stopping at the first one found.</w:t>
      </w:r>
    </w:p>
    <w:p>
      <w:pPr>
        <w:spacing w:after="200" w:line="276"/>
      </w:pPr>
      <w:r>
        <w:rPr>
          <w:rFonts w:ascii="Calibri" w:cs="Calibri" w:eastAsia="Calibri" w:hAnsi="Calibri"/>
          <w:sz w:val="22"/>
          <w:szCs w:val="22"/>
        </w:rPr>
        <w:t xml:space="preserve">This closes the three-part chain the ablation study was designed to establish: the unaudited process fabricates under realistic pressure (Section 8.5); the audited process does not, under the identical pressure (Sections 6.4, 8.3); and the Auditor, presented with the unaudited process's own actual fabricated output, correctly identifies it as such. No part of this chain relies on a constructed or hypothetical example.</w:t>
      </w:r>
    </w:p>
    <w:p>
      <w:pPr>
        <w:pStyle w:val="Heading2"/>
        <w:spacing w:after="120" w:before="280"/>
      </w:pPr>
      <w:r>
        <w:t xml:space="preserve">8.7 Repeated Trials: Confirming and Refining the Forced-Ranking Result (n = 9)</w:t>
      </w:r>
    </w:p>
    <w:p>
      <w:pPr>
        <w:spacing w:after="200" w:line="276"/>
      </w:pPr>
      <w:r>
        <w:rPr>
          <w:rFonts w:ascii="Calibri" w:cs="Calibri" w:eastAsia="Calibri" w:hAnsi="Calibri"/>
          <w:sz w:val="22"/>
          <w:szCs w:val="22"/>
        </w:rPr>
        <w:t xml:space="preserve">The result reported in Section 8.5 was drawn from a single run per case, a limitation stated explicitly when it was first reported. To establish whether it reflects a stable property of the process rather than one fortunate or unfortunate draw, the forced-ranking baseline was re-run three times per case, for nine independent runs in total. </w:t>
      </w:r>
      <w:r>
        <w:rPr>
          <w:rFonts w:ascii="Calibri" w:cs="Calibri" w:eastAsia="Calibri" w:hAnsi="Calibri"/>
          <w:b/>
          <w:bCs/>
          <w:sz w:val="22"/>
          <w:szCs w:val="22"/>
        </w:rPr>
        <w:t xml:space="preserve">Table 1</w:t>
      </w:r>
      <w:r>
        <w:rPr>
          <w:rFonts w:ascii="Calibri" w:cs="Calibri" w:eastAsia="Calibri" w:hAnsi="Calibri"/>
          <w:sz w:val="22"/>
          <w:szCs w:val="22"/>
        </w:rPr>
        <w:t xml:space="preserve"> below reports the fabricated percentage breakdown and rank order returned by every run.</w:t>
      </w:r>
    </w:p>
    <w:p>
      <w:pPr>
        <w:spacing w:after="240"/>
      </w:pPr>
      <w:r>
        <w:rPr>
          <w:rFonts w:ascii="Calibri" w:cs="Calibri" w:eastAsia="Calibri" w:hAnsi="Calibri"/>
          <w:i/>
          <w:iCs/>
          <w:color w:val="555555"/>
          <w:sz w:val="18"/>
          <w:szCs w:val="18"/>
        </w:rPr>
        <w:t xml:space="preserve">Table 1. Percentage breakdown and rank order returned by each of nine independent forced-ranking runs, three per case.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70"/>
        <w:gridCol w:w="823"/>
        <w:gridCol w:w="1481"/>
        <w:gridCol w:w="1235"/>
        <w:gridCol w:w="4691"/>
      </w:tblGrid>
      <w:tr>
        <w:trPr>
          <w:tblHeader/>
        </w:trPr>
        <w:tc>
          <w:tcPr>
            <w:tcW w:type="dxa" w:w="1070"/>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Case</w:t>
            </w:r>
          </w:p>
        </w:tc>
        <w:tc>
          <w:tcPr>
            <w:tcW w:type="dxa" w:w="823"/>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Run</w:t>
            </w:r>
          </w:p>
        </w:tc>
        <w:tc>
          <w:tcPr>
            <w:tcW w:type="dxa" w:w="1481"/>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Percentages (rank order)</w:t>
            </w:r>
          </w:p>
        </w:tc>
        <w:tc>
          <w:tcPr>
            <w:tcW w:type="dxa" w:w="1235"/>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Matches 60/25/10/5?</w:t>
            </w:r>
          </w:p>
        </w:tc>
        <w:tc>
          <w:tcPr>
            <w:tcW w:type="dxa" w:w="4691"/>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Notes</w:t>
            </w:r>
          </w:p>
        </w:tc>
      </w:tr>
      <w:tr>
        <w:tc>
          <w:tcPr>
            <w:tcW w:type="dxa" w:w="1070"/>
            <w:tcMar>
              <w:top w:type="dxa" w:w="80"/>
              <w:left w:type="dxa" w:w="100"/>
              <w:bottom w:type="dxa" w:w="80"/>
              <w:right w:type="dxa" w:w="100"/>
            </w:tcMar>
          </w:tcPr>
          <w:p>
            <w:r>
              <w:rPr>
                <w:rFonts w:ascii="Calibri" w:cs="Calibri" w:eastAsia="Calibri" w:hAnsi="Calibri"/>
                <w:b w:val="false"/>
                <w:bCs w:val="false"/>
                <w:color w:val="000000"/>
                <w:sz w:val="19"/>
                <w:szCs w:val="19"/>
              </w:rPr>
              <w:t xml:space="preserve">Southwest</w:t>
            </w:r>
          </w:p>
        </w:tc>
        <w:tc>
          <w:tcPr>
            <w:tcW w:type="dxa" w:w="823"/>
            <w:tcMar>
              <w:top w:type="dxa" w:w="80"/>
              <w:left w:type="dxa" w:w="100"/>
              <w:bottom w:type="dxa" w:w="80"/>
              <w:right w:type="dxa" w:w="100"/>
            </w:tcMar>
          </w:tcPr>
          <w:p>
            <w:r>
              <w:rPr>
                <w:rFonts w:ascii="Calibri" w:cs="Calibri" w:eastAsia="Calibri" w:hAnsi="Calibri"/>
                <w:b w:val="false"/>
                <w:bCs w:val="false"/>
                <w:color w:val="000000"/>
                <w:sz w:val="19"/>
                <w:szCs w:val="19"/>
              </w:rPr>
              <w:t xml:space="preserve">1</w:t>
            </w:r>
          </w:p>
        </w:tc>
        <w:tc>
          <w:tcPr>
            <w:tcW w:type="dxa" w:w="1481"/>
            <w:tcMar>
              <w:top w:type="dxa" w:w="80"/>
              <w:left w:type="dxa" w:w="100"/>
              <w:bottom w:type="dxa" w:w="80"/>
              <w:right w:type="dxa" w:w="100"/>
            </w:tcMar>
          </w:tcPr>
          <w:p>
            <w:r>
              <w:rPr>
                <w:rFonts w:ascii="Calibri" w:cs="Calibri" w:eastAsia="Calibri" w:hAnsi="Calibri"/>
                <w:b w:val="false"/>
                <w:bCs w:val="false"/>
                <w:color w:val="000000"/>
                <w:sz w:val="19"/>
                <w:szCs w:val="19"/>
              </w:rPr>
              <w:t xml:space="preserve">70 / 15 / 10 / 5</w:t>
            </w:r>
          </w:p>
        </w:tc>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c>
          <w:tcPr>
            <w:tcW w:type="dxa" w:w="4691"/>
            <w:tcMar>
              <w:top w:type="dxa" w:w="80"/>
              <w:left w:type="dxa" w:w="100"/>
              <w:bottom w:type="dxa" w:w="80"/>
              <w:right w:type="dxa" w:w="100"/>
            </w:tcMar>
          </w:tcPr>
          <w:p>
            <w:r>
              <w:rPr>
                <w:rFonts w:ascii="Calibri" w:cs="Calibri" w:eastAsia="Calibri" w:hAnsi="Calibri"/>
                <w:b w:val="false"/>
                <w:bCs w:val="false"/>
                <w:color w:val="000000"/>
                <w:sz w:val="19"/>
                <w:szCs w:val="19"/>
              </w:rPr>
              <w:t xml:space="preserve">Four-tier; external cause (storm) last, at 5%.</w:t>
            </w:r>
          </w:p>
        </w:tc>
      </w:tr>
      <w:tr>
        <w:tc>
          <w:tcPr>
            <w:tcW w:type="dxa" w:w="1070"/>
            <w:tcMar>
              <w:top w:type="dxa" w:w="80"/>
              <w:left w:type="dxa" w:w="100"/>
              <w:bottom w:type="dxa" w:w="80"/>
              <w:right w:type="dxa" w:w="100"/>
            </w:tcMar>
          </w:tcPr>
          <w:p>
            <w:r>
              <w:rPr>
                <w:rFonts w:ascii="Calibri" w:cs="Calibri" w:eastAsia="Calibri" w:hAnsi="Calibri"/>
                <w:b w:val="false"/>
                <w:bCs w:val="false"/>
                <w:color w:val="000000"/>
                <w:sz w:val="19"/>
                <w:szCs w:val="19"/>
              </w:rPr>
              <w:t xml:space="preserve">Southwest</w:t>
            </w:r>
          </w:p>
        </w:tc>
        <w:tc>
          <w:tcPr>
            <w:tcW w:type="dxa" w:w="823"/>
            <w:tcMar>
              <w:top w:type="dxa" w:w="80"/>
              <w:left w:type="dxa" w:w="100"/>
              <w:bottom w:type="dxa" w:w="80"/>
              <w:right w:type="dxa" w:w="100"/>
            </w:tcMar>
          </w:tcPr>
          <w:p>
            <w:r>
              <w:rPr>
                <w:rFonts w:ascii="Calibri" w:cs="Calibri" w:eastAsia="Calibri" w:hAnsi="Calibri"/>
                <w:b w:val="false"/>
                <w:bCs w:val="false"/>
                <w:color w:val="000000"/>
                <w:sz w:val="19"/>
                <w:szCs w:val="19"/>
              </w:rPr>
              <w:t xml:space="preserve">2</w:t>
            </w:r>
          </w:p>
        </w:tc>
        <w:tc>
          <w:tcPr>
            <w:tcW w:type="dxa" w:w="1481"/>
            <w:tcMar>
              <w:top w:type="dxa" w:w="80"/>
              <w:left w:type="dxa" w:w="100"/>
              <w:bottom w:type="dxa" w:w="80"/>
              <w:right w:type="dxa" w:w="100"/>
            </w:tcMar>
          </w:tcPr>
          <w:p>
            <w:r>
              <w:rPr>
                <w:rFonts w:ascii="Calibri" w:cs="Calibri" w:eastAsia="Calibri" w:hAnsi="Calibri"/>
                <w:b w:val="false"/>
                <w:bCs w:val="false"/>
                <w:color w:val="000000"/>
                <w:sz w:val="19"/>
                <w:szCs w:val="19"/>
              </w:rPr>
              <w:t xml:space="preserve">70 / 15 / 10 / 5</w:t>
            </w:r>
          </w:p>
        </w:tc>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c>
          <w:tcPr>
            <w:tcW w:type="dxa" w:w="4691"/>
            <w:tcMar>
              <w:top w:type="dxa" w:w="80"/>
              <w:left w:type="dxa" w:w="100"/>
              <w:bottom w:type="dxa" w:w="80"/>
              <w:right w:type="dxa" w:w="100"/>
            </w:tcMar>
          </w:tcPr>
          <w:p>
            <w:r>
              <w:rPr>
                <w:rFonts w:ascii="Calibri" w:cs="Calibri" w:eastAsia="Calibri" w:hAnsi="Calibri"/>
                <w:b w:val="false"/>
                <w:bCs w:val="false"/>
                <w:color w:val="000000"/>
                <w:sz w:val="19"/>
                <w:szCs w:val="19"/>
              </w:rPr>
              <w:t xml:space="preserve">Four-tier; identical to Run 1.</w:t>
            </w:r>
          </w:p>
        </w:tc>
      </w:tr>
      <w:tr>
        <w:tc>
          <w:tcPr>
            <w:tcW w:type="dxa" w:w="1070"/>
            <w:tcMar>
              <w:top w:type="dxa" w:w="80"/>
              <w:left w:type="dxa" w:w="100"/>
              <w:bottom w:type="dxa" w:w="80"/>
              <w:right w:type="dxa" w:w="100"/>
            </w:tcMar>
          </w:tcPr>
          <w:p>
            <w:r>
              <w:rPr>
                <w:rFonts w:ascii="Calibri" w:cs="Calibri" w:eastAsia="Calibri" w:hAnsi="Calibri"/>
                <w:b w:val="false"/>
                <w:bCs w:val="false"/>
                <w:color w:val="000000"/>
                <w:sz w:val="19"/>
                <w:szCs w:val="19"/>
              </w:rPr>
              <w:t xml:space="preserve">Southwest</w:t>
            </w:r>
          </w:p>
        </w:tc>
        <w:tc>
          <w:tcPr>
            <w:tcW w:type="dxa" w:w="823"/>
            <w:tcMar>
              <w:top w:type="dxa" w:w="80"/>
              <w:left w:type="dxa" w:w="100"/>
              <w:bottom w:type="dxa" w:w="80"/>
              <w:right w:type="dxa" w:w="100"/>
            </w:tcMar>
          </w:tcPr>
          <w:p>
            <w:r>
              <w:rPr>
                <w:rFonts w:ascii="Calibri" w:cs="Calibri" w:eastAsia="Calibri" w:hAnsi="Calibri"/>
                <w:b w:val="false"/>
                <w:bCs w:val="false"/>
                <w:color w:val="000000"/>
                <w:sz w:val="19"/>
                <w:szCs w:val="19"/>
              </w:rPr>
              <w:t xml:space="preserve">3</w:t>
            </w:r>
          </w:p>
        </w:tc>
        <w:tc>
          <w:tcPr>
            <w:tcW w:type="dxa" w:w="1481"/>
            <w:tcMar>
              <w:top w:type="dxa" w:w="80"/>
              <w:left w:type="dxa" w:w="100"/>
              <w:bottom w:type="dxa" w:w="80"/>
              <w:right w:type="dxa" w:w="100"/>
            </w:tcMar>
          </w:tcPr>
          <w:p>
            <w:r>
              <w:rPr>
                <w:rFonts w:ascii="Calibri" w:cs="Calibri" w:eastAsia="Calibri" w:hAnsi="Calibri"/>
                <w:b w:val="false"/>
                <w:bCs w:val="false"/>
                <w:color w:val="000000"/>
                <w:sz w:val="19"/>
                <w:szCs w:val="19"/>
              </w:rPr>
              <w:t xml:space="preserve">70 / 20 / 10</w:t>
            </w:r>
          </w:p>
        </w:tc>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c>
          <w:tcPr>
            <w:tcW w:type="dxa" w:w="4691"/>
            <w:tcMar>
              <w:top w:type="dxa" w:w="80"/>
              <w:left w:type="dxa" w:w="100"/>
              <w:bottom w:type="dxa" w:w="80"/>
              <w:right w:type="dxa" w:w="100"/>
            </w:tcMar>
          </w:tcPr>
          <w:p>
            <w:r>
              <w:rPr>
                <w:rFonts w:ascii="Calibri" w:cs="Calibri" w:eastAsia="Calibri" w:hAnsi="Calibri"/>
                <w:b w:val="false"/>
                <w:bCs w:val="false"/>
                <w:color w:val="000000"/>
                <w:sz w:val="19"/>
                <w:szCs w:val="19"/>
              </w:rPr>
              <w:t xml:space="preserve">Only three tiers; external cause omitted from the ranking entirely, not merely assigned 5%.</w:t>
            </w:r>
          </w:p>
        </w:tc>
      </w:tr>
      <w:tr>
        <w:tc>
          <w:tcPr>
            <w:tcW w:type="dxa" w:w="1070"/>
            <w:tcMar>
              <w:top w:type="dxa" w:w="80"/>
              <w:left w:type="dxa" w:w="100"/>
              <w:bottom w:type="dxa" w:w="80"/>
              <w:right w:type="dxa" w:w="100"/>
            </w:tcMar>
          </w:tcPr>
          <w:p>
            <w:r>
              <w:rPr>
                <w:rFonts w:ascii="Calibri" w:cs="Calibri" w:eastAsia="Calibri" w:hAnsi="Calibri"/>
                <w:b w:val="false"/>
                <w:bCs w:val="false"/>
                <w:color w:val="000000"/>
                <w:sz w:val="19"/>
                <w:szCs w:val="19"/>
              </w:rPr>
              <w:t xml:space="preserve">Boeing</w:t>
            </w:r>
          </w:p>
        </w:tc>
        <w:tc>
          <w:tcPr>
            <w:tcW w:type="dxa" w:w="823"/>
            <w:tcMar>
              <w:top w:type="dxa" w:w="80"/>
              <w:left w:type="dxa" w:w="100"/>
              <w:bottom w:type="dxa" w:w="80"/>
              <w:right w:type="dxa" w:w="100"/>
            </w:tcMar>
          </w:tcPr>
          <w:p>
            <w:r>
              <w:rPr>
                <w:rFonts w:ascii="Calibri" w:cs="Calibri" w:eastAsia="Calibri" w:hAnsi="Calibri"/>
                <w:b w:val="false"/>
                <w:bCs w:val="false"/>
                <w:color w:val="000000"/>
                <w:sz w:val="19"/>
                <w:szCs w:val="19"/>
              </w:rPr>
              <w:t xml:space="preserve">1</w:t>
            </w:r>
          </w:p>
        </w:tc>
        <w:tc>
          <w:tcPr>
            <w:tcW w:type="dxa" w:w="1481"/>
            <w:tcMar>
              <w:top w:type="dxa" w:w="80"/>
              <w:left w:type="dxa" w:w="100"/>
              <w:bottom w:type="dxa" w:w="80"/>
              <w:right w:type="dxa" w:w="100"/>
            </w:tcMar>
          </w:tcPr>
          <w:p>
            <w:r>
              <w:rPr>
                <w:rFonts w:ascii="Calibri" w:cs="Calibri" w:eastAsia="Calibri" w:hAnsi="Calibri"/>
                <w:b w:val="false"/>
                <w:bCs w:val="false"/>
                <w:color w:val="000000"/>
                <w:sz w:val="19"/>
                <w:szCs w:val="19"/>
              </w:rPr>
              <w:t xml:space="preserve">60 / 25 / 10 / 5</w:t>
            </w:r>
          </w:p>
        </w:tc>
        <w:tc>
          <w:tcPr>
            <w:tcW w:type="dxa" w:w="1235"/>
            <w:tcMar>
              <w:top w:type="dxa" w:w="80"/>
              <w:left w:type="dxa" w:w="100"/>
              <w:bottom w:type="dxa" w:w="80"/>
              <w:right w:type="dxa" w:w="100"/>
            </w:tcMar>
          </w:tcPr>
          <w:p>
            <w:r>
              <w:rPr>
                <w:rFonts w:ascii="Calibri" w:cs="Calibri" w:eastAsia="Calibri" w:hAnsi="Calibri"/>
                <w:b/>
                <w:bCs/>
                <w:color w:val="000000"/>
                <w:sz w:val="19"/>
                <w:szCs w:val="19"/>
              </w:rPr>
              <w:t xml:space="preserve">Yes</w:t>
            </w:r>
          </w:p>
        </w:tc>
        <w:tc>
          <w:tcPr>
            <w:tcW w:type="dxa" w:w="4691"/>
            <w:tcMar>
              <w:top w:type="dxa" w:w="80"/>
              <w:left w:type="dxa" w:w="100"/>
              <w:bottom w:type="dxa" w:w="80"/>
              <w:right w:type="dxa" w:w="100"/>
            </w:tcMar>
          </w:tcPr>
          <w:p>
            <w:r>
              <w:rPr>
                <w:rFonts w:ascii="Calibri" w:cs="Calibri" w:eastAsia="Calibri" w:hAnsi="Calibri"/>
                <w:b w:val="false"/>
                <w:bCs w:val="false"/>
                <w:color w:val="000000"/>
                <w:sz w:val="19"/>
                <w:szCs w:val="19"/>
              </w:rPr>
              <w:t xml:space="preserve">Exact match to Section 8.5.</w:t>
            </w:r>
          </w:p>
        </w:tc>
      </w:tr>
      <w:tr>
        <w:tc>
          <w:tcPr>
            <w:tcW w:type="dxa" w:w="1070"/>
            <w:tcMar>
              <w:top w:type="dxa" w:w="80"/>
              <w:left w:type="dxa" w:w="100"/>
              <w:bottom w:type="dxa" w:w="80"/>
              <w:right w:type="dxa" w:w="100"/>
            </w:tcMar>
          </w:tcPr>
          <w:p>
            <w:r>
              <w:rPr>
                <w:rFonts w:ascii="Calibri" w:cs="Calibri" w:eastAsia="Calibri" w:hAnsi="Calibri"/>
                <w:b w:val="false"/>
                <w:bCs w:val="false"/>
                <w:color w:val="000000"/>
                <w:sz w:val="19"/>
                <w:szCs w:val="19"/>
              </w:rPr>
              <w:t xml:space="preserve">Boeing</w:t>
            </w:r>
          </w:p>
        </w:tc>
        <w:tc>
          <w:tcPr>
            <w:tcW w:type="dxa" w:w="823"/>
            <w:tcMar>
              <w:top w:type="dxa" w:w="80"/>
              <w:left w:type="dxa" w:w="100"/>
              <w:bottom w:type="dxa" w:w="80"/>
              <w:right w:type="dxa" w:w="100"/>
            </w:tcMar>
          </w:tcPr>
          <w:p>
            <w:r>
              <w:rPr>
                <w:rFonts w:ascii="Calibri" w:cs="Calibri" w:eastAsia="Calibri" w:hAnsi="Calibri"/>
                <w:b w:val="false"/>
                <w:bCs w:val="false"/>
                <w:color w:val="000000"/>
                <w:sz w:val="19"/>
                <w:szCs w:val="19"/>
              </w:rPr>
              <w:t xml:space="preserve">2</w:t>
            </w:r>
          </w:p>
        </w:tc>
        <w:tc>
          <w:tcPr>
            <w:tcW w:type="dxa" w:w="1481"/>
            <w:tcMar>
              <w:top w:type="dxa" w:w="80"/>
              <w:left w:type="dxa" w:w="100"/>
              <w:bottom w:type="dxa" w:w="80"/>
              <w:right w:type="dxa" w:w="100"/>
            </w:tcMar>
          </w:tcPr>
          <w:p>
            <w:r>
              <w:rPr>
                <w:rFonts w:ascii="Calibri" w:cs="Calibri" w:eastAsia="Calibri" w:hAnsi="Calibri"/>
                <w:b w:val="false"/>
                <w:bCs w:val="false"/>
                <w:color w:val="000000"/>
                <w:sz w:val="19"/>
                <w:szCs w:val="19"/>
              </w:rPr>
              <w:t xml:space="preserve">50 / 30 / 15 / 5</w:t>
            </w:r>
          </w:p>
        </w:tc>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c>
          <w:tcPr>
            <w:tcW w:type="dxa" w:w="4691"/>
            <w:tcMar>
              <w:top w:type="dxa" w:w="80"/>
              <w:left w:type="dxa" w:w="100"/>
              <w:bottom w:type="dxa" w:w="80"/>
              <w:right w:type="dxa" w:w="100"/>
            </w:tcMar>
          </w:tcPr>
          <w:p>
            <w:r>
              <w:rPr>
                <w:rFonts w:ascii="Calibri" w:cs="Calibri" w:eastAsia="Calibri" w:hAnsi="Calibri"/>
                <w:b w:val="false"/>
                <w:bCs w:val="false"/>
                <w:color w:val="000000"/>
                <w:sz w:val="19"/>
                <w:szCs w:val="19"/>
              </w:rPr>
              <w:t xml:space="preserve">Four-tier; same structure, shifted weights.</w:t>
            </w:r>
          </w:p>
        </w:tc>
      </w:tr>
      <w:tr>
        <w:tc>
          <w:tcPr>
            <w:tcW w:type="dxa" w:w="1070"/>
            <w:tcMar>
              <w:top w:type="dxa" w:w="80"/>
              <w:left w:type="dxa" w:w="100"/>
              <w:bottom w:type="dxa" w:w="80"/>
              <w:right w:type="dxa" w:w="100"/>
            </w:tcMar>
          </w:tcPr>
          <w:p>
            <w:r>
              <w:rPr>
                <w:rFonts w:ascii="Calibri" w:cs="Calibri" w:eastAsia="Calibri" w:hAnsi="Calibri"/>
                <w:b w:val="false"/>
                <w:bCs w:val="false"/>
                <w:color w:val="000000"/>
                <w:sz w:val="19"/>
                <w:szCs w:val="19"/>
              </w:rPr>
              <w:t xml:space="preserve">Boeing</w:t>
            </w:r>
          </w:p>
        </w:tc>
        <w:tc>
          <w:tcPr>
            <w:tcW w:type="dxa" w:w="823"/>
            <w:tcMar>
              <w:top w:type="dxa" w:w="80"/>
              <w:left w:type="dxa" w:w="100"/>
              <w:bottom w:type="dxa" w:w="80"/>
              <w:right w:type="dxa" w:w="100"/>
            </w:tcMar>
          </w:tcPr>
          <w:p>
            <w:r>
              <w:rPr>
                <w:rFonts w:ascii="Calibri" w:cs="Calibri" w:eastAsia="Calibri" w:hAnsi="Calibri"/>
                <w:b w:val="false"/>
                <w:bCs w:val="false"/>
                <w:color w:val="000000"/>
                <w:sz w:val="19"/>
                <w:szCs w:val="19"/>
              </w:rPr>
              <w:t xml:space="preserve">3</w:t>
            </w:r>
          </w:p>
        </w:tc>
        <w:tc>
          <w:tcPr>
            <w:tcW w:type="dxa" w:w="1481"/>
            <w:tcMar>
              <w:top w:type="dxa" w:w="80"/>
              <w:left w:type="dxa" w:w="100"/>
              <w:bottom w:type="dxa" w:w="80"/>
              <w:right w:type="dxa" w:w="100"/>
            </w:tcMar>
          </w:tcPr>
          <w:p>
            <w:r>
              <w:rPr>
                <w:rFonts w:ascii="Calibri" w:cs="Calibri" w:eastAsia="Calibri" w:hAnsi="Calibri"/>
                <w:b w:val="false"/>
                <w:bCs w:val="false"/>
                <w:color w:val="000000"/>
                <w:sz w:val="19"/>
                <w:szCs w:val="19"/>
              </w:rPr>
              <w:t xml:space="preserve">60 / 25 / 10 / 5</w:t>
            </w:r>
          </w:p>
        </w:tc>
        <w:tc>
          <w:tcPr>
            <w:tcW w:type="dxa" w:w="1235"/>
            <w:tcMar>
              <w:top w:type="dxa" w:w="80"/>
              <w:left w:type="dxa" w:w="100"/>
              <w:bottom w:type="dxa" w:w="80"/>
              <w:right w:type="dxa" w:w="100"/>
            </w:tcMar>
          </w:tcPr>
          <w:p>
            <w:r>
              <w:rPr>
                <w:rFonts w:ascii="Calibri" w:cs="Calibri" w:eastAsia="Calibri" w:hAnsi="Calibri"/>
                <w:b/>
                <w:bCs/>
                <w:color w:val="000000"/>
                <w:sz w:val="19"/>
                <w:szCs w:val="19"/>
              </w:rPr>
              <w:t xml:space="preserve">Yes</w:t>
            </w:r>
          </w:p>
        </w:tc>
        <w:tc>
          <w:tcPr>
            <w:tcW w:type="dxa" w:w="4691"/>
            <w:tcMar>
              <w:top w:type="dxa" w:w="80"/>
              <w:left w:type="dxa" w:w="100"/>
              <w:bottom w:type="dxa" w:w="80"/>
              <w:right w:type="dxa" w:w="100"/>
            </w:tcMar>
          </w:tcPr>
          <w:p>
            <w:r>
              <w:rPr>
                <w:rFonts w:ascii="Calibri" w:cs="Calibri" w:eastAsia="Calibri" w:hAnsi="Calibri"/>
                <w:b w:val="false"/>
                <w:bCs w:val="false"/>
                <w:color w:val="000000"/>
                <w:sz w:val="19"/>
                <w:szCs w:val="19"/>
              </w:rPr>
              <w:t xml:space="preserve">Exact match to Section 8.5.</w:t>
            </w:r>
          </w:p>
        </w:tc>
      </w:tr>
      <w:tr>
        <w:tc>
          <w:tcPr>
            <w:tcW w:type="dxa" w:w="1070"/>
            <w:tcMar>
              <w:top w:type="dxa" w:w="80"/>
              <w:left w:type="dxa" w:w="100"/>
              <w:bottom w:type="dxa" w:w="80"/>
              <w:right w:type="dxa" w:w="100"/>
            </w:tcMar>
          </w:tcPr>
          <w:p>
            <w:r>
              <w:rPr>
                <w:rFonts w:ascii="Calibri" w:cs="Calibri" w:eastAsia="Calibri" w:hAnsi="Calibri"/>
                <w:b w:val="false"/>
                <w:bCs w:val="false"/>
                <w:color w:val="000000"/>
                <w:sz w:val="19"/>
                <w:szCs w:val="19"/>
              </w:rPr>
              <w:t xml:space="preserve">Peloton</w:t>
            </w:r>
          </w:p>
        </w:tc>
        <w:tc>
          <w:tcPr>
            <w:tcW w:type="dxa" w:w="823"/>
            <w:tcMar>
              <w:top w:type="dxa" w:w="80"/>
              <w:left w:type="dxa" w:w="100"/>
              <w:bottom w:type="dxa" w:w="80"/>
              <w:right w:type="dxa" w:w="100"/>
            </w:tcMar>
          </w:tcPr>
          <w:p>
            <w:r>
              <w:rPr>
                <w:rFonts w:ascii="Calibri" w:cs="Calibri" w:eastAsia="Calibri" w:hAnsi="Calibri"/>
                <w:b w:val="false"/>
                <w:bCs w:val="false"/>
                <w:color w:val="000000"/>
                <w:sz w:val="19"/>
                <w:szCs w:val="19"/>
              </w:rPr>
              <w:t xml:space="preserve">1</w:t>
            </w:r>
          </w:p>
        </w:tc>
        <w:tc>
          <w:tcPr>
            <w:tcW w:type="dxa" w:w="1481"/>
            <w:tcMar>
              <w:top w:type="dxa" w:w="80"/>
              <w:left w:type="dxa" w:w="100"/>
              <w:bottom w:type="dxa" w:w="80"/>
              <w:right w:type="dxa" w:w="100"/>
            </w:tcMar>
          </w:tcPr>
          <w:p>
            <w:r>
              <w:rPr>
                <w:rFonts w:ascii="Calibri" w:cs="Calibri" w:eastAsia="Calibri" w:hAnsi="Calibri"/>
                <w:b w:val="false"/>
                <w:bCs w:val="false"/>
                <w:color w:val="000000"/>
                <w:sz w:val="19"/>
                <w:szCs w:val="19"/>
              </w:rPr>
              <w:t xml:space="preserve">60 / 25 / 10 / 5</w:t>
            </w:r>
          </w:p>
        </w:tc>
        <w:tc>
          <w:tcPr>
            <w:tcW w:type="dxa" w:w="1235"/>
            <w:tcMar>
              <w:top w:type="dxa" w:w="80"/>
              <w:left w:type="dxa" w:w="100"/>
              <w:bottom w:type="dxa" w:w="80"/>
              <w:right w:type="dxa" w:w="100"/>
            </w:tcMar>
          </w:tcPr>
          <w:p>
            <w:r>
              <w:rPr>
                <w:rFonts w:ascii="Calibri" w:cs="Calibri" w:eastAsia="Calibri" w:hAnsi="Calibri"/>
                <w:b/>
                <w:bCs/>
                <w:color w:val="000000"/>
                <w:sz w:val="19"/>
                <w:szCs w:val="19"/>
              </w:rPr>
              <w:t xml:space="preserve">Yes</w:t>
            </w:r>
          </w:p>
        </w:tc>
        <w:tc>
          <w:tcPr>
            <w:tcW w:type="dxa" w:w="4691"/>
            <w:tcMar>
              <w:top w:type="dxa" w:w="80"/>
              <w:left w:type="dxa" w:w="100"/>
              <w:bottom w:type="dxa" w:w="80"/>
              <w:right w:type="dxa" w:w="100"/>
            </w:tcMar>
          </w:tcPr>
          <w:p>
            <w:r>
              <w:rPr>
                <w:rFonts w:ascii="Calibri" w:cs="Calibri" w:eastAsia="Calibri" w:hAnsi="Calibri"/>
                <w:b w:val="false"/>
                <w:bCs w:val="false"/>
                <w:color w:val="000000"/>
                <w:sz w:val="19"/>
                <w:szCs w:val="19"/>
              </w:rPr>
              <w:t xml:space="preserve">Exact match to Section 8.5.</w:t>
            </w:r>
          </w:p>
        </w:tc>
      </w:tr>
      <w:tr>
        <w:tc>
          <w:tcPr>
            <w:tcW w:type="dxa" w:w="1070"/>
            <w:tcMar>
              <w:top w:type="dxa" w:w="80"/>
              <w:left w:type="dxa" w:w="100"/>
              <w:bottom w:type="dxa" w:w="80"/>
              <w:right w:type="dxa" w:w="100"/>
            </w:tcMar>
          </w:tcPr>
          <w:p>
            <w:r>
              <w:rPr>
                <w:rFonts w:ascii="Calibri" w:cs="Calibri" w:eastAsia="Calibri" w:hAnsi="Calibri"/>
                <w:b w:val="false"/>
                <w:bCs w:val="false"/>
                <w:color w:val="000000"/>
                <w:sz w:val="19"/>
                <w:szCs w:val="19"/>
              </w:rPr>
              <w:t xml:space="preserve">Peloton</w:t>
            </w:r>
          </w:p>
        </w:tc>
        <w:tc>
          <w:tcPr>
            <w:tcW w:type="dxa" w:w="823"/>
            <w:tcMar>
              <w:top w:type="dxa" w:w="80"/>
              <w:left w:type="dxa" w:w="100"/>
              <w:bottom w:type="dxa" w:w="80"/>
              <w:right w:type="dxa" w:w="100"/>
            </w:tcMar>
          </w:tcPr>
          <w:p>
            <w:r>
              <w:rPr>
                <w:rFonts w:ascii="Calibri" w:cs="Calibri" w:eastAsia="Calibri" w:hAnsi="Calibri"/>
                <w:b w:val="false"/>
                <w:bCs w:val="false"/>
                <w:color w:val="000000"/>
                <w:sz w:val="19"/>
                <w:szCs w:val="19"/>
              </w:rPr>
              <w:t xml:space="preserve">2</w:t>
            </w:r>
          </w:p>
        </w:tc>
        <w:tc>
          <w:tcPr>
            <w:tcW w:type="dxa" w:w="1481"/>
            <w:tcMar>
              <w:top w:type="dxa" w:w="80"/>
              <w:left w:type="dxa" w:w="100"/>
              <w:bottom w:type="dxa" w:w="80"/>
              <w:right w:type="dxa" w:w="100"/>
            </w:tcMar>
          </w:tcPr>
          <w:p>
            <w:r>
              <w:rPr>
                <w:rFonts w:ascii="Calibri" w:cs="Calibri" w:eastAsia="Calibri" w:hAnsi="Calibri"/>
                <w:b w:val="false"/>
                <w:bCs w:val="false"/>
                <w:color w:val="000000"/>
                <w:sz w:val="19"/>
                <w:szCs w:val="19"/>
              </w:rPr>
              <w:t xml:space="preserve">60 / 25 / 10 / 5</w:t>
            </w:r>
          </w:p>
        </w:tc>
        <w:tc>
          <w:tcPr>
            <w:tcW w:type="dxa" w:w="1235"/>
            <w:tcMar>
              <w:top w:type="dxa" w:w="80"/>
              <w:left w:type="dxa" w:w="100"/>
              <w:bottom w:type="dxa" w:w="80"/>
              <w:right w:type="dxa" w:w="100"/>
            </w:tcMar>
          </w:tcPr>
          <w:p>
            <w:r>
              <w:rPr>
                <w:rFonts w:ascii="Calibri" w:cs="Calibri" w:eastAsia="Calibri" w:hAnsi="Calibri"/>
                <w:b/>
                <w:bCs/>
                <w:color w:val="000000"/>
                <w:sz w:val="19"/>
                <w:szCs w:val="19"/>
              </w:rPr>
              <w:t xml:space="preserve">Yes</w:t>
            </w:r>
          </w:p>
        </w:tc>
        <w:tc>
          <w:tcPr>
            <w:tcW w:type="dxa" w:w="4691"/>
            <w:tcMar>
              <w:top w:type="dxa" w:w="80"/>
              <w:left w:type="dxa" w:w="100"/>
              <w:bottom w:type="dxa" w:w="80"/>
              <w:right w:type="dxa" w:w="100"/>
            </w:tcMar>
          </w:tcPr>
          <w:p>
            <w:r>
              <w:rPr>
                <w:rFonts w:ascii="Calibri" w:cs="Calibri" w:eastAsia="Calibri" w:hAnsi="Calibri"/>
                <w:b w:val="false"/>
                <w:bCs w:val="false"/>
                <w:color w:val="000000"/>
                <w:sz w:val="19"/>
                <w:szCs w:val="19"/>
              </w:rPr>
              <w:t xml:space="preserve">Exact match to Section 8.5.</w:t>
            </w:r>
          </w:p>
        </w:tc>
      </w:tr>
      <w:tr>
        <w:tc>
          <w:tcPr>
            <w:tcW w:type="dxa" w:w="1070"/>
            <w:tcMar>
              <w:top w:type="dxa" w:w="80"/>
              <w:left w:type="dxa" w:w="100"/>
              <w:bottom w:type="dxa" w:w="80"/>
              <w:right w:type="dxa" w:w="100"/>
            </w:tcMar>
          </w:tcPr>
          <w:p>
            <w:r>
              <w:rPr>
                <w:rFonts w:ascii="Calibri" w:cs="Calibri" w:eastAsia="Calibri" w:hAnsi="Calibri"/>
                <w:b w:val="false"/>
                <w:bCs w:val="false"/>
                <w:color w:val="000000"/>
                <w:sz w:val="19"/>
                <w:szCs w:val="19"/>
              </w:rPr>
              <w:t xml:space="preserve">Peloton</w:t>
            </w:r>
          </w:p>
        </w:tc>
        <w:tc>
          <w:tcPr>
            <w:tcW w:type="dxa" w:w="823"/>
            <w:tcMar>
              <w:top w:type="dxa" w:w="80"/>
              <w:left w:type="dxa" w:w="100"/>
              <w:bottom w:type="dxa" w:w="80"/>
              <w:right w:type="dxa" w:w="100"/>
            </w:tcMar>
          </w:tcPr>
          <w:p>
            <w:r>
              <w:rPr>
                <w:rFonts w:ascii="Calibri" w:cs="Calibri" w:eastAsia="Calibri" w:hAnsi="Calibri"/>
                <w:b w:val="false"/>
                <w:bCs w:val="false"/>
                <w:color w:val="000000"/>
                <w:sz w:val="19"/>
                <w:szCs w:val="19"/>
              </w:rPr>
              <w:t xml:space="preserve">3</w:t>
            </w:r>
          </w:p>
        </w:tc>
        <w:tc>
          <w:tcPr>
            <w:tcW w:type="dxa" w:w="1481"/>
            <w:tcMar>
              <w:top w:type="dxa" w:w="80"/>
              <w:left w:type="dxa" w:w="100"/>
              <w:bottom w:type="dxa" w:w="80"/>
              <w:right w:type="dxa" w:w="100"/>
            </w:tcMar>
          </w:tcPr>
          <w:p>
            <w:r>
              <w:rPr>
                <w:rFonts w:ascii="Calibri" w:cs="Calibri" w:eastAsia="Calibri" w:hAnsi="Calibri"/>
                <w:b w:val="false"/>
                <w:bCs w:val="false"/>
                <w:color w:val="000000"/>
                <w:sz w:val="19"/>
                <w:szCs w:val="19"/>
              </w:rPr>
              <w:t xml:space="preserve">50 / 30 / 15 / 5</w:t>
            </w:r>
          </w:p>
        </w:tc>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c>
          <w:tcPr>
            <w:tcW w:type="dxa" w:w="4691"/>
            <w:tcMar>
              <w:top w:type="dxa" w:w="80"/>
              <w:left w:type="dxa" w:w="100"/>
              <w:bottom w:type="dxa" w:w="80"/>
              <w:right w:type="dxa" w:w="100"/>
            </w:tcMar>
          </w:tcPr>
          <w:p>
            <w:r>
              <w:rPr>
                <w:rFonts w:ascii="Calibri" w:cs="Calibri" w:eastAsia="Calibri" w:hAnsi="Calibri"/>
                <w:b w:val="false"/>
                <w:bCs w:val="false"/>
                <w:color w:val="000000"/>
                <w:sz w:val="19"/>
                <w:szCs w:val="19"/>
              </w:rPr>
              <w:t xml:space="preserve">Four-tier; same structure, shifted weights.</w:t>
            </w:r>
          </w:p>
        </w:tc>
      </w:tr>
    </w:tbl>
    <w:p>
      <w:pPr>
        <w:spacing w:after="240"/>
      </w:pPr>
    </w:p>
    <w:p>
      <w:pPr>
        <w:spacing w:after="200" w:line="276"/>
      </w:pPr>
      <w:r>
        <w:rPr>
          <w:rFonts w:ascii="Calibri" w:cs="Calibri" w:eastAsia="Calibri" w:hAnsi="Calibri"/>
          <w:sz w:val="22"/>
          <w:szCs w:val="22"/>
        </w:rPr>
        <w:t xml:space="preserve">All nine runs fabricated a percentage-based ranking; none declined the exercise or omitted it. This confirms the central finding of Section 8.5 at a larger sample than was previously available: the fabrication is a repeatable property of the unaudited process on this task, not an artefact of a single call.</w:t>
      </w:r>
    </w:p>
    <w:p>
      <w:pPr>
        <w:spacing w:after="200" w:line="276"/>
      </w:pPr>
      <w:r>
        <w:rPr>
          <w:rFonts w:ascii="Calibri" w:cs="Calibri" w:eastAsia="Calibri" w:hAnsi="Calibri"/>
          <w:sz w:val="22"/>
          <w:szCs w:val="22"/>
        </w:rPr>
        <w:t xml:space="preserve">The exact distribution reported in Section 8.5, however, requires a more precise restatement in light of these results. Only four of the nine runs reproduced </w:t>
      </w:r>
      <w:r>
        <w:rPr>
          <w:rFonts w:ascii="Calibri" w:cs="Calibri" w:eastAsia="Calibri" w:hAnsi="Calibri"/>
          <w:b/>
          <w:bCs/>
          <w:sz w:val="22"/>
          <w:szCs w:val="22"/>
        </w:rPr>
        <w:t xml:space="preserve">60/25/10/5</w:t>
      </w:r>
      <w:r>
        <w:rPr>
          <w:rFonts w:ascii="Calibri" w:cs="Calibri" w:eastAsia="Calibri" w:hAnsi="Calibri"/>
          <w:sz w:val="22"/>
          <w:szCs w:val="22"/>
        </w:rPr>
        <w:t xml:space="preserve"> exactly. Two further distributions recur across unrelated cases — </w:t>
      </w:r>
      <w:r>
        <w:rPr>
          <w:rFonts w:ascii="Calibri" w:cs="Calibri" w:eastAsia="Calibri" w:hAnsi="Calibri"/>
          <w:b/>
          <w:bCs/>
          <w:sz w:val="22"/>
          <w:szCs w:val="22"/>
        </w:rPr>
        <w:t xml:space="preserve">70/15/10/5</w:t>
      </w:r>
      <w:r>
        <w:rPr>
          <w:rFonts w:ascii="Calibri" w:cs="Calibri" w:eastAsia="Calibri" w:hAnsi="Calibri"/>
          <w:sz w:val="22"/>
          <w:szCs w:val="22"/>
        </w:rPr>
        <w:t xml:space="preserve"> (both Southwest runs) and </w:t>
      </w:r>
      <w:r>
        <w:rPr>
          <w:rFonts w:ascii="Calibri" w:cs="Calibri" w:eastAsia="Calibri" w:hAnsi="Calibri"/>
          <w:b/>
          <w:bCs/>
          <w:sz w:val="22"/>
          <w:szCs w:val="22"/>
        </w:rPr>
        <w:t xml:space="preserve">50/30/15/5</w:t>
      </w:r>
      <w:r>
        <w:rPr>
          <w:rFonts w:ascii="Calibri" w:cs="Calibri" w:eastAsia="Calibri" w:hAnsi="Calibri"/>
          <w:sz w:val="22"/>
          <w:szCs w:val="22"/>
        </w:rPr>
        <w:t xml:space="preserve"> (one Boeing run, one Peloton run) — each preserving the same four-tier structure and rank order as the original, with the top two tiers trading approximately ten percentage points against each other. What is stable across all nine runs is not a fixed numeric output but a consistent </w:t>
      </w:r>
      <w:r>
        <w:rPr>
          <w:rFonts w:ascii="Calibri" w:cs="Calibri" w:eastAsia="Calibri" w:hAnsi="Calibri"/>
          <w:b/>
          <w:bCs/>
          <w:sz w:val="22"/>
          <w:szCs w:val="22"/>
        </w:rPr>
        <w:t xml:space="preserve">structural template</w:t>
      </w:r>
      <w:r>
        <w:rPr>
          <w:rFonts w:ascii="Calibri" w:cs="Calibri" w:eastAsia="Calibri" w:hAnsi="Calibri"/>
          <w:sz w:val="22"/>
          <w:szCs w:val="22"/>
        </w:rPr>
        <w:t xml:space="preserve">: one dominant, company-controllable cause (50–70 per cent), a second, smaller controllable cause (15–30 per cent), a third smaller still (10–15 per cent), and the external triggering cause last and smallest (5 per cent), holding in eight of the nine runs.</w:t>
      </w:r>
    </w:p>
    <w:p>
      <w:pPr>
        <w:spacing w:after="200" w:line="276"/>
      </w:pPr>
      <w:r>
        <w:rPr>
          <w:rFonts w:ascii="Calibri" w:cs="Calibri" w:eastAsia="Calibri" w:hAnsi="Calibri"/>
          <w:sz w:val="22"/>
          <w:szCs w:val="22"/>
        </w:rPr>
        <w:t xml:space="preserve">This is, if anything, stronger evidence for the mechanism proposed in Section 8.5 than exact repetition would have been. Literal memorisation of a constant would produce no variance at all; genuine case-specific reasoning would be expected to produce different structures, not merely different numbers, across three unrelated business failures. A consistent shape populated with numeric noise is closest to what would be expected from pattern completion on the abstract concept of an 80/20 breakdown, rather than either alternative.</w:t>
      </w:r>
    </w:p>
    <w:p>
      <w:pPr>
        <w:spacing w:after="200" w:line="276"/>
      </w:pPr>
      <w:r>
        <w:rPr>
          <w:rFonts w:ascii="Calibri" w:cs="Calibri" w:eastAsia="Calibri" w:hAnsi="Calibri"/>
          <w:sz w:val="22"/>
          <w:szCs w:val="22"/>
        </w:rPr>
        <w:t xml:space="preserve">The one run that departs from this structural pattern, </w:t>
      </w:r>
      <w:r>
        <w:rPr>
          <w:rFonts w:ascii="Calibri" w:cs="Calibri" w:eastAsia="Calibri" w:hAnsi="Calibri"/>
          <w:b/>
          <w:bCs/>
          <w:sz w:val="22"/>
          <w:szCs w:val="22"/>
        </w:rPr>
        <w:t xml:space="preserve">Southwest Run 3</w:t>
      </w:r>
      <w:r>
        <w:rPr>
          <w:rFonts w:ascii="Calibri" w:cs="Calibri" w:eastAsia="Calibri" w:hAnsi="Calibri"/>
          <w:sz w:val="22"/>
          <w:szCs w:val="22"/>
        </w:rPr>
        <w:t xml:space="preserve">, is the more informative anomaly. Where every other run assigned the external trigger a fabricated 5 per cent, this run collapsed to a three-tier table and omitted Winter Storm Elliott from the ranking entirely — while its accompanying prose diagnosis continued to name the storm as “the trigger.” The document becomes internally inconsistent as a result: a reader relying on the ranking table alone, the natural way to read a Pareto analysis, would not learn that an external cause was involved at all. This is a structurally different failure from a fabricated number, and is addressed directly in Section 8.8.</w:t>
      </w:r>
    </w:p>
    <w:p>
      <w:pPr>
        <w:pStyle w:val="Heading2"/>
        <w:spacing w:after="120" w:before="280"/>
      </w:pPr>
      <w:r>
        <w:t xml:space="preserve">8.8 Auditor Coverage at Scale, and an Identified Limitation</w:t>
      </w:r>
    </w:p>
    <w:p>
      <w:pPr>
        <w:spacing w:after="200" w:line="276"/>
      </w:pPr>
      <w:r>
        <w:rPr>
          <w:rFonts w:ascii="Calibri" w:cs="Calibri" w:eastAsia="Calibri" w:hAnsi="Calibri"/>
          <w:sz w:val="22"/>
          <w:szCs w:val="22"/>
        </w:rPr>
        <w:t xml:space="preserve">Section 8.6 established that the Auditor correctly identifies the unaudited process’s own fabricated output as such, on the three original runs from Section 8.5. To confirm this holds at the larger sample obtained in Section 8.7, and specifically to test whether the Auditor’s existing checks extend to the structural anomaly identified in Southwest Run 3, all nine outputs from Section 8.7 were fed directly to the Auditor.</w:t>
      </w:r>
    </w:p>
    <w:p>
      <w:pPr>
        <w:spacing w:after="200" w:line="276"/>
      </w:pPr>
      <w:r>
        <w:rPr>
          <w:rFonts w:ascii="Calibri" w:cs="Calibri" w:eastAsia="Calibri" w:hAnsi="Calibri"/>
          <w:sz w:val="22"/>
          <w:szCs w:val="22"/>
        </w:rPr>
        <w:t xml:space="preserve">All nine received an overall failing verdict. Check 1 passed correctly on every run, including Southwest Run 3, confirming that the trigger-versus-root-cause distinction remained genuine even in the one run whose ranking table was structurally anomalous. Check 2 failed correctly on every run, including both of the alternative distributions identified in Section 8.7 (70/15/10/5 and 50/30/15/5): the Auditor’s check generalises to the numeric variance documented there, not only to the exact 60/25/10/5 split it was originally validated against.</w:t>
      </w:r>
    </w:p>
    <w:p>
      <w:pPr>
        <w:spacing w:after="200" w:line="276"/>
      </w:pPr>
      <w:r>
        <w:rPr>
          <w:rFonts w:ascii="Calibri" w:cs="Calibri" w:eastAsia="Calibri" w:hAnsi="Calibri"/>
          <w:sz w:val="22"/>
          <w:szCs w:val="22"/>
        </w:rPr>
        <w:t xml:space="preserve">The result for Southwest Run 3 requires closer reading than a pass/fail count provides. The Auditor’s stated reasoning for that run addresses two things specifically: the three-row ranking table itself, correctly identified as an unsupported fabrication of the 70/20/10 percentages it contains, and a single sentence of prose naming a “primary” cause outside the table, which the Auditor correctly judged to be a narrative conclusion rather than a formal ranking claim, and passed accordingly. </w:t>
      </w:r>
      <w:r>
        <w:rPr>
          <w:rFonts w:ascii="Calibri" w:cs="Calibri" w:eastAsia="Calibri" w:hAnsi="Calibri"/>
          <w:b/>
          <w:bCs/>
          <w:sz w:val="22"/>
          <w:szCs w:val="22"/>
        </w:rPr>
        <w:t xml:space="preserve">At no point does the Auditor’s reasoning note that a fourth cause — the external trigger — is missing from the table entirely.</w:t>
      </w:r>
      <w:r>
        <w:rPr>
          <w:rFonts w:ascii="Calibri" w:cs="Calibri" w:eastAsia="Calibri" w:hAnsi="Calibri"/>
          <w:sz w:val="22"/>
          <w:szCs w:val="22"/>
        </w:rPr>
        <w:t xml:space="preserve"> The run’s overall failing verdict is fully accounted for by the fabricated percentages attached to the three causes it does rank; the omission of the fourth is neither flagged nor mentioned.</w:t>
      </w:r>
    </w:p>
    <w:p>
      <w:pPr>
        <w:spacing w:after="200" w:line="276"/>
      </w:pPr>
      <w:r>
        <w:rPr>
          <w:rFonts w:ascii="Calibri" w:cs="Calibri" w:eastAsia="Calibri" w:hAnsi="Calibri"/>
          <w:sz w:val="22"/>
          <w:szCs w:val="22"/>
        </w:rPr>
        <w:t xml:space="preserve">Practically, nothing was missed in this instance: the run failed regardless. But the reason it failed is informative. Check 2, as currently specified, is designed to detect an invented number attached to a cause that is present in the analysis; it has no evident mechanism for detecting a cause’s complete absence from a ranking that claims to be comprehensive. A hypothetical output that omitted a cause while reporting entirely accurate figures for the causes it retained — no fabricated number anywhere in the document — would, on this evidence, have no clear reason to be caught by Check 2 as it is currently worded. This inference is drawn from the Auditor’s reasoning on the one such case available, not from a constructed test that isolates omission from numeric fabrication directly; that controlled test is identified as remaining work in Section 10.3.</w:t>
      </w:r>
    </w:p>
    <w:p>
      <w:pPr>
        <w:pStyle w:val="Heading2"/>
        <w:spacing w:after="120" w:before="280"/>
      </w:pPr>
      <w:r>
        <w:t xml:space="preserve">8.9 Confirming the Gap Directly: A Controlled Omission-Isolation Test</w:t>
      </w:r>
    </w:p>
    <w:p>
      <w:pPr>
        <w:spacing w:after="200" w:line="276"/>
      </w:pPr>
      <w:r>
        <w:rPr>
          <w:rFonts w:ascii="Calibri" w:cs="Calibri" w:eastAsia="Calibri" w:hAnsi="Calibri"/>
          <w:sz w:val="22"/>
          <w:szCs w:val="22"/>
        </w:rPr>
        <w:t xml:space="preserve">The limitation identified in Section 8.8 was inferred from a single real output (Southwest Run 3) that happened to contain both an omission and unrelated numeric fabrication, which left open whether the omission itself would be caught in isolation. This was tested directly. Three outputs were constructed, one per case, each taking the real Section 8.7 Run 3 diagnosis, 5-Whys, and financial sections verbatim and replacing only the ranking section with a purely </w:t>
      </w:r>
      <w:r>
        <w:rPr>
          <w:rFonts w:ascii="Calibri" w:cs="Calibri" w:eastAsia="Calibri" w:hAnsi="Calibri"/>
          <w:b/>
          <w:bCs/>
          <w:sz w:val="22"/>
          <w:szCs w:val="22"/>
        </w:rPr>
        <w:t xml:space="preserve">ordinal</w:t>
      </w:r>
      <w:r>
        <w:rPr>
          <w:rFonts w:ascii="Calibri" w:cs="Calibri" w:eastAsia="Calibri" w:hAnsi="Calibri"/>
          <w:sz w:val="22"/>
          <w:szCs w:val="22"/>
        </w:rPr>
        <w:t xml:space="preserve"> ranking — primary, secondary, and tertiary cause, stated in prose, with no numbers anywhere — that drops the fourth, smallest cause from the real ranking entirely. This isolates omission from numeric fabrication as cleanly as the corpus allows: unlike the original framing of this follow-up, which called for “accurate, case-grounded figures” for the retained causes, no case in this corpus provides a real per-cause percentage for anything to be accurate to, so the corrected construction removes numbers rather than attempting to sanitise them.</w:t>
      </w:r>
    </w:p>
    <w:p>
      <w:pPr>
        <w:spacing w:after="200" w:line="276"/>
      </w:pPr>
      <w:r>
        <w:rPr>
          <w:rFonts w:ascii="Calibri" w:cs="Calibri" w:eastAsia="Calibri" w:hAnsi="Calibri"/>
          <w:sz w:val="22"/>
          <w:szCs w:val="22"/>
        </w:rPr>
        <w:t xml:space="preserve">Two of the three constructions were failed by Check 2 (Southwest, Boeing); one passed in full (Peloton). Read as a score, this looks like a partial catch. It is not: in </w:t>
      </w:r>
      <w:r>
        <w:rPr>
          <w:rFonts w:ascii="Calibri" w:cs="Calibri" w:eastAsia="Calibri" w:hAnsi="Calibri"/>
          <w:b/>
          <w:bCs/>
          <w:sz w:val="22"/>
          <w:szCs w:val="22"/>
        </w:rPr>
        <w:t xml:space="preserve">none of the three</w:t>
      </w:r>
      <w:r>
        <w:rPr>
          <w:rFonts w:ascii="Calibri" w:cs="Calibri" w:eastAsia="Calibri" w:hAnsi="Calibri"/>
          <w:sz w:val="22"/>
          <w:szCs w:val="22"/>
        </w:rPr>
        <w:t xml:space="preserve"> cases, including both failures, does the Auditor's reasoning mention that a cause is missing from the ranking. The two failures were driven entirely by an unrelated property of the text.</w:t>
      </w:r>
    </w:p>
    <w:p>
      <w:pPr>
        <w:spacing w:after="200" w:line="276"/>
      </w:pPr>
      <w:r>
        <w:rPr>
          <w:rFonts w:ascii="Calibri" w:cs="Calibri" w:eastAsia="Calibri" w:hAnsi="Calibri"/>
          <w:sz w:val="22"/>
          <w:szCs w:val="22"/>
        </w:rPr>
        <w:t xml:space="preserve">The Southwest and Boeing constructions were failed for asserting a bare ordinal hierarchy — “the most significant driver... a secondary contributing factor... a third, smaller factor” — with no stated derivation for that order. The Auditor's own reasoning: for Southwest, that the analyst had “invented a hierarchy of impact... not supported by the provided numerical evidence,” and that presenting the claim in prose “does not exempt” it from requiring support; for Boeing, that declaring one cause “primary” and another “third, smaller” was “a subjective fabrication of a Pareto-style hierarchy presented as an analytical conclusion.” Both verdicts are entirely about the unsupported ordinal claim; neither addresses the fourth, absent cause.</w:t>
      </w:r>
    </w:p>
    <w:p>
      <w:pPr>
        <w:spacing w:after="200" w:line="276"/>
      </w:pPr>
      <w:r>
        <w:rPr>
          <w:rFonts w:ascii="Calibri" w:cs="Calibri" w:eastAsia="Calibri" w:hAnsi="Calibri"/>
          <w:sz w:val="22"/>
          <w:szCs w:val="22"/>
        </w:rPr>
        <w:t xml:space="preserve">The Peloton construction differed from the other two in exactly one respect: it included a single additional sentence giving an explicit causal derivation for its ordering (“If the forecast had been accurate, the fixed-cost and capital-allocation decisions that followed from it would have been unnecessary”). The Auditor's reasoning treats this as “a structural dependency argument rather than an invented Pareto percentage” and passes it accordingly — and, like the other two, never mentions the missing fourth cause.</w:t>
      </w:r>
    </w:p>
    <w:p>
      <w:pPr>
        <w:spacing w:after="200" w:line="276"/>
      </w:pPr>
      <w:r>
        <w:rPr>
          <w:rFonts w:ascii="Calibri" w:cs="Calibri" w:eastAsia="Calibri" w:hAnsi="Calibri"/>
          <w:sz w:val="22"/>
          <w:szCs w:val="22"/>
        </w:rPr>
        <w:t xml:space="preserve">This sharpens, rather than contradicts, the description of Check 2 in Section 6.4. What the three verdicts together suggest is that the check's real discriminator is not numeric-versus-prose, and not comparative-language-versus-not, but closer to </w:t>
      </w:r>
      <w:r>
        <w:rPr>
          <w:rFonts w:ascii="Calibri" w:cs="Calibri" w:eastAsia="Calibri" w:hAnsi="Calibri"/>
          <w:b/>
          <w:bCs/>
          <w:sz w:val="22"/>
          <w:szCs w:val="22"/>
        </w:rPr>
        <w:t xml:space="preserve">whether an explicit derivation is given for an asserted ordering</w:t>
      </w:r>
      <w:r>
        <w:rPr>
          <w:rFonts w:ascii="Calibri" w:cs="Calibri" w:eastAsia="Calibri" w:hAnsi="Calibri"/>
          <w:sz w:val="22"/>
          <w:szCs w:val="22"/>
        </w:rPr>
        <w:t xml:space="preserve">: a bare label reads as an unsupported ranking claim in the same family as a fabricated percentage, while a stated if-then justification reads as reasoning rather than assertion. This is offered as an observation grounded in the Auditor's own stated reasoning across three cases, not a statistically established property of the check — each condition here is still a single run, the same caveat that applies throughout this document's qualitative findings.</w:t>
      </w:r>
    </w:p>
    <w:p>
      <w:pPr>
        <w:spacing w:after="200" w:line="276"/>
      </w:pPr>
      <w:r>
        <w:rPr>
          <w:rFonts w:ascii="Calibri" w:cs="Calibri" w:eastAsia="Calibri" w:hAnsi="Calibri"/>
          <w:sz w:val="22"/>
          <w:szCs w:val="22"/>
        </w:rPr>
        <w:t xml:space="preserve">The finding this test was built to establish is confirmed directly rather than inferred: across three minimal, single-variable constructions, each silently omitting one cause from a ranking that presents itself as covering “the contributing factors” comprehensively, the Auditor's reasoning addresses that omission in zero of three cases, independent of whether the overall verdict was PASS or FAIL. Peloton is the clean demonstration — a document that omits a quarter of the causal picture, asserts no unsupported claim of any kind, and receives a full PASS with no objection raised anywhere. The Auditor's current checks evaluate whether the claims an analysis makes are supported; they do not evaluate whether the set of causes presented is complete. Closing that gap, if it is judged worth closing, is a distinct addition — a Check 3 for ranking completeness — rather than a correction to Check 2, which is behaving as designed for the claims it is scoped to evaluate.</w:t>
      </w:r>
    </w:p>
    <w:p>
      <w:pPr>
        <w:pStyle w:val="Heading2"/>
        <w:spacing w:after="120" w:before="280"/>
      </w:pPr>
      <w:r>
        <w:t xml:space="preserve">8.10 A Second Confirmed Gap: Fabricated Specificity Under a Stated Data Absence</w:t>
      </w:r>
    </w:p>
    <w:p>
      <w:pPr>
        <w:spacing w:after="200" w:line="276"/>
      </w:pPr>
      <w:r>
        <w:rPr>
          <w:rFonts w:ascii="Calibri" w:cs="Calibri" w:eastAsia="Calibri" w:hAnsi="Calibri"/>
          <w:sz w:val="22"/>
          <w:szCs w:val="22"/>
        </w:rPr>
        <w:t xml:space="preserve">The omission gap confirmed in Section 8.9 concerns what the Auditor's checks fail to notice is missing. A related but distinct question, raised initially by an unplanned demo run on a case outside the validated corpus, is what the pipeline does when the input itself states that a specific cause is not yet known — whether the diagnosis preserves that stated uncertainty or resolves it by inventing a plausible-sounding specific.</w:t>
      </w:r>
    </w:p>
    <w:p>
      <w:pPr>
        <w:spacing w:after="200" w:line="276"/>
      </w:pPr>
      <w:r>
        <w:rPr>
          <w:rFonts w:ascii="Calibri" w:cs="Calibri" w:eastAsia="Calibri" w:hAnsi="Calibri"/>
          <w:sz w:val="22"/>
          <w:szCs w:val="22"/>
        </w:rPr>
        <w:t xml:space="preserve">The initial observation was a single trial: a synthetic case describing a point-of-sale integration failure whose input stated plainly that the vendor and internal IT were still investigating and gave no technical explanation. The resulting 5 Whys nonetheless stated as fact that the system “could not maintain persistent, low-latency connectivity” under load — a specific mechanism absent from the input, presented with no hedge. This single instance did not meet the evidentiary standard held elsewhere in this document (Section 8.7's n=9, Section 8.9's controlled isolation), and was tested directly.</w:t>
      </w:r>
    </w:p>
    <w:p>
      <w:pPr>
        <w:spacing w:after="200" w:line="276"/>
      </w:pPr>
      <w:r>
        <w:rPr>
          <w:rFonts w:ascii="Calibri" w:cs="Calibri" w:eastAsia="Calibri" w:hAnsi="Calibri"/>
          <w:sz w:val="22"/>
          <w:szCs w:val="22"/>
        </w:rPr>
        <w:t xml:space="preserve">Three fixtures were constructed, each in a domain distinct from the validated case corpus and from one another (a restaurant chain's point-of-sale rollout, a small-appliance thermal failure, and a grocery chain's refrigeration collapse), each containing an explicit, quoted statement that the underlying cause was unknown and under active investigation. Each fixture was run through the full intake-to-audit pipeline nine times, at the same scale as Section 8.7's repeated trials, and every resulting diagnosis was read against its fixture's stated unknown-cause claim.</w:t>
      </w:r>
    </w:p>
    <w:p>
      <w:pPr>
        <w:spacing w:after="200" w:line="276"/>
      </w:pPr>
      <w:r>
        <w:rPr>
          <w:rFonts w:ascii="Calibri" w:cs="Calibri" w:eastAsia="Calibri" w:hAnsi="Calibri"/>
          <w:sz w:val="22"/>
          <w:szCs w:val="22"/>
        </w:rPr>
        <w:t xml:space="preserve">Two of the three fixtures fabricated a specific mechanism in the clear majority of trials — eight of nine for the point-of-sale case, and eight of nine for the refrigeration case, where the invented explanations included a “centralised, non-isolated remote management interface” and a firmware update that had “narrowed the compressors' voltage tolerance thresholds,” stated as the confirmed root cause with no hedge in seven of those eight trials; the eighth added an explicit disclaimer that the conclusion was “highly dependent on the ‘demand response’ theory” and required verification before use. The third fixture, describing the appliance failure, showed a more qualified pattern: no trial confirmed the specific component the input had flagged as an unconfirmed engineering guess, but most trials instead invented an unstated process-level cause — a supplier change, a bypassed quality-control sign-off — one level removed from the component but still unsupported by the input.</w:t>
      </w:r>
    </w:p>
    <w:p>
      <w:pPr>
        <w:spacing w:after="200" w:line="276"/>
      </w:pPr>
      <w:r>
        <w:rPr>
          <w:rFonts w:ascii="Calibri" w:cs="Calibri" w:eastAsia="Calibri" w:hAnsi="Calibri"/>
          <w:sz w:val="22"/>
          <w:szCs w:val="22"/>
        </w:rPr>
        <w:t xml:space="preserve">Reading the two clearest fixtures against their own Auditor verdicts surfaces the same structural distinction Section 8.9 draws for Check 2, applied here to Check 1. The refrigeration fixture's invented mechanisms passed Check 1 cleanly on the first attempt in all nine trials: the diagnosis correctly identified the heat wave in each input as a genuine external event, correctly separated it from an internal root cause, and Check 1's own logic never extends to asking whether that root cause's content is itself supported. The point-of-sale fixture shows the same blindness from the opposite outcome: seven of its eight fabricated trials failed audit, and in every failure the Auditor's stated reason was Check 1 Part B — a genuinely external factor mislabelled as the trigger for a crisis that had begun two months earlier — never once citing the fabricated technical mechanism sitting in the same diagnosis, including on the second, revised attempt. The two fixtures differ sharply in audit-pass rate for reasons unrelated to their near-identical fabrication rate: Check 1 evaluates whether a trigger is correctly categorised as external or internal, not whether the content filling the root-cause slot is grounded in the input, and that is true independent of whether the categorisation itself succeeds or fails.</w:t>
      </w:r>
    </w:p>
    <w:p>
      <w:pPr>
        <w:spacing w:after="200" w:line="276"/>
      </w:pPr>
      <w:r>
        <w:rPr>
          <w:rFonts w:ascii="Calibri" w:cs="Calibri" w:eastAsia="Calibri" w:hAnsi="Calibri"/>
          <w:sz w:val="22"/>
          <w:szCs w:val="22"/>
        </w:rPr>
        <w:t xml:space="preserve">This is reported as a second, distinct limitation alongside Section 8.9's, not a restatement of it. Section 8.9 concerns a check (Check 2) failing to notice something absent from a ranking; this concerns a check (Check 1) that was never designed to evaluate the factual grounding of the content it categorises in the first place. Closing this gap, as with Section 8.9's, is scoped here as a distinct addition — either a further check targeting declarative causal claims made against a stated data absence, or an instruction-level change asking the Analyst to preserve rather than resolve stated uncertainty — rather than a correction to Check 1, which behaves as designed for the narrower categorisation question it was built to answer. Either direction raises a question this document does not resolve: whether an Analyst that preserves “cause unknown” rather than inventing a mechanism would cause the resulting diagnosis to fail Check 1 more often, since it would no longer offer a concrete internal candidate to contrast against the trigger, is untested.</w:t>
      </w:r>
    </w:p>
    <w:p>
      <w:pPr>
        <w:pStyle w:val="Heading2"/>
        <w:spacing w:after="120" w:before="280"/>
      </w:pPr>
      <w:r>
        <w:t xml:space="preserve">8.11 Closing the Second Gap: A Third Check, Four Rounds of Refinement, and Confirmatory Validation</w:t>
      </w:r>
    </w:p>
    <w:p>
      <w:pPr>
        <w:spacing w:after="200" w:line="276"/>
      </w:pPr>
      <w:r>
        <w:rPr>
          <w:rFonts w:ascii="Calibri" w:cs="Calibri" w:eastAsia="Calibri" w:hAnsi="Calibri"/>
          <w:sz w:val="22"/>
          <w:szCs w:val="22"/>
        </w:rPr>
        <w:t xml:space="preserve">Section 8.10 identified a gap in the Auditor's coverage but did not close it: Check 1 evaluates whether a trigger is correctly categorised, not whether the content filling the root-cause slot is itself grounded in the input. This section documents designing, refining, and confirming a third check built specifically to close that gap, following the same iterative process Check 2 required in Section 6.4 and the fidelity check required in Section 6.7 — each round targeting a precisely characterised failure rather than a general tightening or loosening of the check's wording.</w:t>
      </w:r>
    </w:p>
    <w:p>
      <w:pPr>
        <w:spacing w:after="200" w:line="276"/>
      </w:pPr>
      <w:r>
        <w:rPr>
          <w:rFonts w:ascii="Calibri" w:cs="Calibri" w:eastAsia="Calibri" w:hAnsi="Calibri"/>
          <w:sz w:val="22"/>
          <w:szCs w:val="22"/>
        </w:rPr>
        <w:t xml:space="preserve">Check 3 (Unresolved-Cause Fabrication Scan) was added to the Auditor's instructions, scoped to fire only where the case input explicitly states a specific cause is unknown or under investigation, and to flag any point in the diagnosis's reasoning where a specific, previously-unstated fact is presented as the resolved explanation without a hedge. Its first test was against real trials containing a known, unhedged fabrication — the same evidentiary standard as Section 8.6's confirmation that the Auditor catches the unaudited process's real output, not only a hand-constructed case. Check 3 caught seven of nine such trials, with an eighth catch obscured by a separate defect described below; it produced no false positive across the other two fixtures tested. The two remaining trials, both in the same fixture, surfaced two distinct problems: Check 3 never once referenced Fishbone content in its findings despite being instructed to, and in one trial it excused an invented technical mechanism as a “characterisation” of a stated symptom rather than flagging it.</w:t>
      </w:r>
    </w:p>
    <w:p>
      <w:pPr>
        <w:spacing w:after="200" w:line="276"/>
      </w:pPr>
      <w:r>
        <w:rPr>
          <w:rFonts w:ascii="Calibri" w:cs="Calibri" w:eastAsia="Calibri" w:hAnsi="Calibri"/>
          <w:sz w:val="22"/>
          <w:szCs w:val="22"/>
        </w:rPr>
        <w:t xml:space="preserve">One of these trials also surfaced a defect unrelated to Check 3's own judgement: the model wrote a complete PASS verdict, visibly caught its own error, and wrote a corrected FAIL verdict in the same response — violating the Auditor's own instruction against visible self-correction. The verdict-parsing logic used elsewhere in this project (crewai_pipeline.py, and structurally identically in the fidelity check's three components, Section 6.7) took the first verdict found in a response, which would have silently recorded the wrong, pre-correction answer. A retroactive audit of every saved output the project has produced — 103 files, 18 explicitly confirmed to contain no verdict text rather than assumed clean — found this exact pattern in only the one trial that surfaced it; no historical result was affected. Both parsers were then changed to take the model's final verdict when more than one appears in a response, with the correction surfaced via a warning rather than silently absorbed, and validated against a frozen copy of the original implementation to confirm identical behaviour on the ordinary, single-verdict case.</w:t>
      </w:r>
    </w:p>
    <w:p>
      <w:pPr>
        <w:spacing w:after="200" w:line="276"/>
      </w:pPr>
      <w:r>
        <w:rPr>
          <w:rFonts w:ascii="Calibri" w:cs="Calibri" w:eastAsia="Calibri" w:hAnsi="Calibri"/>
          <w:sz w:val="22"/>
          <w:szCs w:val="22"/>
        </w:rPr>
        <w:t xml:space="preserve">Two fixes addressed the true-positive test's findings: an explicit requirement that Check 3 name every framework section it examined, mirroring the itemised-instance requirement already used for Check 2, and a discriminator distinguishing specific technical vocabulary from the general topic a claim relates to. The first held cleanly on retest. The second closed the known false negative but introduced a new false positive: a real fixture that had previously passed cleanly now failed, because the vocabulary-based framing made the check suspicious of any technical-sounding phrasing, including direct paraphrase of the input's own words.</w:t>
      </w:r>
    </w:p>
    <w:p>
      <w:pPr>
        <w:spacing w:after="200" w:line="276"/>
      </w:pPr>
      <w:r>
        <w:rPr>
          <w:rFonts w:ascii="Calibri" w:cs="Calibri" w:eastAsia="Calibri" w:hAnsi="Calibri"/>
          <w:sz w:val="22"/>
          <w:szCs w:val="22"/>
        </w:rPr>
        <w:t xml:space="preserve">The discriminator was rewritten around a sharper distinction: restating or relabelling what a symptom is, however technical-sounding, is not a violation; asserting why or how it occurred by introducing a mechanism, component, or parameter the input does not provide, is. Retesting the same cases unchanged confirmed this closed the false positive with no regression on either previously-fixed issue — the model's own reasoning in the corrected case explicitly used the why/how distinction, not just the intended output.</w:t>
      </w:r>
    </w:p>
    <w:p>
      <w:pPr>
        <w:spacing w:after="200" w:line="276"/>
      </w:pPr>
      <w:r>
        <w:rPr>
          <w:rFonts w:ascii="Calibri" w:cs="Calibri" w:eastAsia="Calibri" w:hAnsi="Calibri"/>
          <w:sz w:val="22"/>
          <w:szCs w:val="22"/>
        </w:rPr>
        <w:t xml:space="preserve">A full confirmatory replication then repeated Section 8.10's original methodology unchanged — the same three fixtures, at n=9 each, through the complete pipeline rather than isolated Auditor calls — against the fixed production code. Hedge preservation reached twenty-seven of twenty-seven, up from one of nine, nine of nine at the component level only, and one of nine across the three fixtures respectively. Check 3 was correct in twenty-five of the twenty-seven trials, with two false positives, both in the same fixture, both a single, precisely characterised pattern: conflating a legitimate process- or governance-level root-cause claim with the specific technical question the check is scoped to protect. This replication also answered a question Section 8.10 identified but did not test: whether removing fabricated technical content would make Check 1 fail more often, for lack of a concrete internal candidate to contrast against the trigger. It did not; audit pass rates rose substantially wherever there was room to rise (two of nine to six of nine; three of nine to nine of nine), most plausibly a spillover effect of the same Analyst instruction rather than any change to Check 1 itself, though this was not isolated by a dedicated test.</w:t>
      </w:r>
    </w:p>
    <w:p>
      <w:pPr>
        <w:spacing w:after="200" w:line="276"/>
      </w:pPr>
      <w:r>
        <w:rPr>
          <w:rFonts w:ascii="Calibri" w:cs="Calibri" w:eastAsia="Calibri" w:hAnsi="Calibri"/>
          <w:sz w:val="22"/>
          <w:szCs w:val="22"/>
        </w:rPr>
        <w:t xml:space="preserve">A fourth revision added an explicit scope limit: the check protects the specific technical question the input leaves unresolved, not every causal claim that happens to sit near it, and a process- or governance-level conclusion remains permitted even within the same Fishbone bullet or sentence as the unresolved technical question, unless that same claim also introduces a new, unstated technical detail. Validated against both false positives (fixed, with no regression on either sanity check) and a deliberately constructed stress test smuggling a fabricated technical detail inside process-labelled framing — which the check correctly caught, isolating the violation to the smuggled clause specifically rather than failing the legitimate process language sharing the same sentence.</w:t>
      </w:r>
    </w:p>
    <w:p>
      <w:pPr>
        <w:spacing w:after="200" w:line="276"/>
      </w:pPr>
      <w:r>
        <w:rPr>
          <w:rFonts w:ascii="Calibri" w:cs="Calibri" w:eastAsia="Calibri" w:hAnsi="Calibri"/>
          <w:sz w:val="22"/>
          <w:szCs w:val="22"/>
        </w:rPr>
        <w:t xml:space="preserve">Because the fourth revision's literal wording did not repeat the qualifier its own worked examples relied on — that an exempted process fact must already be stated in the input — a further test checked whether the exemption had accidentally been broadened to cover any process-level claim regardless of whether it was invented. It had not: against a constructed case pairing a correctly hedged technical mechanism with one wholly invented, non-technical process fact, the check failed the invented claim in every trial, reasoning from the exemption's actual condition rather than its most permissive possible reading.</w:t>
      </w:r>
    </w:p>
    <w:p>
      <w:pPr>
        <w:spacing w:after="200" w:line="276"/>
      </w:pPr>
      <w:r>
        <w:rPr>
          <w:rFonts w:ascii="Calibri" w:cs="Calibri" w:eastAsia="Calibri" w:hAnsi="Calibri"/>
          <w:sz w:val="22"/>
          <w:szCs w:val="22"/>
        </w:rPr>
        <w:t xml:space="preserve">Check 3 reached this state across four wording revisions plus a full confirmatory replication and two dedicated stress tests — comparable in depth to Check 2's own four-round refinement and the fidelity check's five, and reached the same way: each round targeting one precisely characterised failure. This closes the second gap identified in Section 8.10 with a validated fix rather than leaving it as documented future work, and does so alongside two further, related findings — the verdict-parsing defect and its retroactive audit, and the resolution of a previously open question about Check 1's own pass rate — that emerged from the validation process itself rather than from the fix's original design.</w:t>
      </w:r>
    </w:p>
    <w:p>
      <w:pPr>
        <w:pStyle w:val="Heading2"/>
        <w:spacing w:after="120" w:before="280"/>
      </w:pPr>
      <w:r>
        <w:t xml:space="preserve">8.12 Interpretation</w:t>
      </w:r>
    </w:p>
    <w:p>
      <w:pPr>
        <w:spacing w:after="200" w:line="276"/>
      </w:pPr>
      <w:r>
        <w:rPr>
          <w:rFonts w:ascii="Calibri" w:cs="Calibri" w:eastAsia="Calibri" w:hAnsi="Calibri"/>
          <w:sz w:val="22"/>
          <w:szCs w:val="22"/>
        </w:rPr>
        <w:t xml:space="preserve">Taken together, Sections 8.4 through 8.11 support the project’s central architectural claim with the same underlying model held constant throughout, and at a larger sample than the project’s earlier results relied on. Given identical facts and an identical realistic question, the unaudited process fabricates a confident, well-formatted, and incorrect answer under pressure, reliably across nine independent trials; the audited process avoids this consistently; and the Auditor, given the unaudited process’s own actual output, correctly identifies the fabrication as such in every case tested, including under the numeric variance documented in Section 8.7. Two limitations the architecture did not originally cover have since been isolated and confirmed directly rather than left as an inference: completeness of a ranking, as opposed to the support behind it (Section 8.9), and whether a claim's content is itself grounded in the input, as opposed to how that content is categorised (Section 8.10). The second of these has since been closed with a validated fix (Section 8.11); the first remains documented as open work rather than assumed resolved by the same process, since no equivalent check for ranking completeness has been built or tested. </w:t>
      </w:r>
      <w:r>
        <w:rPr>
          <w:rFonts w:ascii="Calibri" w:cs="Calibri" w:eastAsia="Calibri" w:hAnsi="Calibri"/>
          <w:b/>
          <w:bCs/>
          <w:sz w:val="22"/>
          <w:szCs w:val="22"/>
        </w:rPr>
        <w:t xml:space="preserve">The Section 8.3 comparisons that were tied or inconclusive are reported as such rather than omitted, and the two limitations identified in Sections 8.8 through 8.10 — that the Auditor’s demonstrated coverage is of whether claims are supported and correctly categorised, not of whether a ranking is complete or a categorised claim’s content is itself grounded in the input — are reported for the same reason, one now closed and one still open.</w:t>
      </w:r>
      <w:r>
        <w:rPr>
          <w:rFonts w:ascii="Calibri" w:cs="Calibri" w:eastAsia="Calibri" w:hAnsi="Calibri"/>
          <w:sz w:val="22"/>
          <w:szCs w:val="22"/>
        </w:rPr>
        <w:t xml:space="preserve"> The value the architecture adds is concentrated specifically in the failure mode it was designed to catch, and has now been shown, at scale, to catch reliably; it is not claimed to extend, without further evidence, to failure modes the Auditor was not designed or tested against.</w:t>
      </w:r>
    </w:p>
    <w:p>
      <w:pPr>
        <w:pStyle w:val="Heading2"/>
        <w:spacing w:after="120" w:before="280"/>
      </w:pPr>
      <w:r>
        <w:t xml:space="preserve">8.13 A Further Round on Check 1 Part B: The Ohio Warehouse Fixture (n=9 combined)</w:t>
      </w:r>
    </w:p>
    <w:p>
      <w:pPr>
        <w:spacing w:after="200" w:line="276"/>
      </w:pPr>
      <w:r>
        <w:rPr>
          <w:rFonts w:ascii="Calibri" w:cs="Calibri" w:eastAsia="Calibri" w:hAnsi="Calibri"/>
          <w:sz w:val="22"/>
          <w:szCs w:val="22"/>
        </w:rPr>
        <w:t xml:space="preserve">Section 8.10 introduced Check 1 Part B as the Auditor's test for whether a claimed trigger is genuinely, correctly external, and reported one manifestation of it in the point-of-sale fixture. A separate, earlier-constructed synthetic fixture — Ohio Warehouse, a shipping-failure scenario with an entirely internally-caused root cause (a company-elected software migration) and no independent external event of any kind — tests the same check's other direction: whether an internal decision, reworded to sound like an external event, is still correctly rejected. An initial construction of this fixture returned three independently-worded framings of the same internal decision across three attempts — “Internal Process Change,” “notification of shipment error reports,” and “unexpected operational volatility following go-live” — all three correctly rejected as internal decisions in disguise, regardless of phrasing.</w:t>
      </w:r>
    </w:p>
    <w:p>
      <w:pPr>
        <w:spacing w:after="200" w:line="276"/>
      </w:pPr>
      <w:r>
        <w:rPr>
          <w:rFonts w:ascii="Calibri" w:cs="Calibri" w:eastAsia="Calibri" w:hAnsi="Calibri"/>
          <w:sz w:val="22"/>
          <w:szCs w:val="22"/>
        </w:rPr>
        <w:t xml:space="preserve">A further round, conducted later in development, ran the same fixture through six additional independent trials specifically to test a working hypothesis that had emerged informally: that a trigger framed around a symptom (e.g. a spike in customer complaints) might evade Check 1 Part B where a trigger framed around the underlying decision would not. Check 1 Part B correctly rejected the internally-caused trigger in five of the six trials. The hypothesis did not survive the round intact: the one miss did not correspond to symptom-framing specifically, and a separate symptom-phrased trial in the same round was caught cleanly. No reproducible link between phrasing style and outcome was found.</w:t>
      </w:r>
    </w:p>
    <w:p>
      <w:pPr>
        <w:spacing w:after="200" w:line="276"/>
      </w:pPr>
      <w:r>
        <w:rPr>
          <w:rFonts w:ascii="Calibri" w:cs="Calibri" w:eastAsia="Calibri" w:hAnsi="Calibri"/>
          <w:sz w:val="22"/>
          <w:szCs w:val="22"/>
        </w:rPr>
        <w:t xml:space="preserve">Combined with the three earlier, independently-worded framings of the same internally-caused fixture (all three correctly rejected, described above), Check 1 Part B has now been exercised against this specific fixture across nine total attempts, correctly rejecting the internal decision in eight. This reaches the same nine-trial scale used elsewhere in this document for the Auditor's checks (Section 8.7, Section 8.11), though it should be read with a caveat the earlier, single-hypothesis round did not carry: the nine trials are not nine identical repetitions of one framing but three of one kind and six of a later, different kind, and the one miss is not yet explained by any identified factor, including the phrasing hypothesis it was specifically designed to test.</w:t>
      </w:r>
    </w:p>
    <w:p>
      <w:pPr>
        <w:spacing w:after="200" w:line="276"/>
      </w:pPr>
      <w:r>
        <w:rPr>
          <w:rFonts w:ascii="Calibri" w:cs="Calibri" w:eastAsia="Calibri" w:hAnsi="Calibri"/>
          <w:sz w:val="22"/>
          <w:szCs w:val="22"/>
        </w:rPr>
        <w:t xml:space="preserve">This is reported at exactly the scale it was tested — eight of nine, roughly 89 per cent, with no established failure pattern for the one miss — rather than rounded up to a stronger claim or treated as fully equivalent to the controlled, single-hypothesis n=9 rounds used for Check 1's and Check 2's own established checks (Section 8.7) and for Check 3's confirmatory replication (Section 8.11). A further round using a fresh set of paraphrase framings, rather than extending the existing six, is identified as remaining work in Section 10.3.</w:t>
      </w:r>
    </w:p>
    <w:p>
      <w:pPr>
        <w:pStyle w:val="Heading2"/>
        <w:spacing w:after="120" w:before="280"/>
      </w:pPr>
      <w:r>
        <w:t xml:space="preserve">8.14 Extending the Forced-Ranking Result to Two Cases Outside the Original Corpus</w:t>
      </w:r>
    </w:p>
    <w:p>
      <w:pPr>
        <w:spacing w:after="200" w:line="276"/>
      </w:pPr>
      <w:r>
        <w:rPr>
          <w:rFonts w:ascii="Calibri" w:cs="Calibri" w:eastAsia="Calibri" w:hAnsi="Calibri"/>
          <w:sz w:val="22"/>
          <w:szCs w:val="22"/>
        </w:rPr>
        <w:t xml:space="preserve">Sections 8.5 through 8.11 established the forced-ranking fabrication result, and the Auditor's detection of it, on the three original cases (Southwest, Boeing, Peloton). This section extends both results to the two cases added in Section 4.2 (PIA, Airlift), at three trials per case — the same per-case count Section 8.5 originally reported before Section 8.7 scaled it to nine — rather than yet at that larger scale.</w:t>
      </w:r>
    </w:p>
    <w:p>
      <w:pPr>
        <w:spacing w:after="200" w:line="276"/>
      </w:pPr>
      <w:r>
        <w:rPr>
          <w:rFonts w:ascii="Calibri" w:cs="Calibri" w:eastAsia="Calibri" w:hAnsi="Calibri"/>
          <w:i/>
          <w:iCs/>
          <w:sz w:val="22"/>
          <w:szCs w:val="22"/>
        </w:rPr>
        <w:t xml:space="preserve">Table 3. Percentage breakdown returned by each of six forced-ranking runs on the two cases outside the original corpus, and whether the stated external cause appears in the ranking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200"/>
        <w:gridCol w:w="1560"/>
        <w:gridCol w:w="3200"/>
      </w:tblGrid>
      <w:tr>
        <w:trPr>
          <w:tblHeader/>
        </w:trPr>
        <w:tc>
          <w:tcPr>
            <w:tcW w:type="dxa" w:w="1000"/>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Case</w:t>
            </w:r>
          </w:p>
        </w:tc>
        <w:tc>
          <w:tcPr>
            <w:tcW w:type="dxa" w:w="2400"/>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Run</w:t>
            </w:r>
          </w:p>
        </w:tc>
        <w:tc>
          <w:tcPr>
            <w:tcW w:type="dxa" w:w="1200"/>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Percentages</w:t>
            </w:r>
          </w:p>
        </w:tc>
        <w:tc>
          <w:tcPr>
            <w:tcW w:type="dxa" w:w="1560"/>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External row?</w:t>
            </w:r>
          </w:p>
        </w:tc>
        <w:tc>
          <w:tcPr>
            <w:tcW w:type="dxa" w:w="3200"/>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Notes</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PIA</w:t>
            </w:r>
          </w:p>
        </w:tc>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60 / 25 / 15</w:t>
            </w:r>
          </w:p>
        </w:tc>
        <w:tc>
          <w:tcPr>
            <w:tcW w:type="dxa" w:w="1560"/>
            <w:tcMar>
              <w:top w:type="dxa" w:w="80"/>
              <w:left w:type="dxa" w:w="100"/>
              <w:bottom w:type="dxa" w:w="80"/>
              <w:right w:type="dxa" w:w="100"/>
            </w:tcMar>
          </w:tcPr>
          <w:p>
            <w:r>
              <w:rPr>
                <w:rFonts w:ascii="Calibri" w:cs="Calibri" w:eastAsia="Calibri" w:hAnsi="Calibri"/>
                <w:b w:val="false"/>
                <w:bCs w:val="false"/>
                <w:color w:val="000000"/>
                <w:sz w:val="19"/>
                <w:szCs w:val="19"/>
              </w:rPr>
              <w:t xml:space="preserve">Absent</w:t>
            </w:r>
          </w:p>
        </w:tc>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Three-tier only; the stated external trigger (the crash) never appears in the table at all, despite being named clearly in prose.</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PIA</w:t>
            </w:r>
          </w:p>
        </w:tc>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2</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60 / 20 / 15 / 5</w:t>
            </w:r>
          </w:p>
        </w:tc>
        <w:tc>
          <w:tcPr>
            <w:tcW w:type="dxa" w:w="1560"/>
            <w:tcMar>
              <w:top w:type="dxa" w:w="80"/>
              <w:left w:type="dxa" w:w="100"/>
              <w:bottom w:type="dxa" w:w="80"/>
              <w:right w:type="dxa" w:w="100"/>
            </w:tcMar>
          </w:tcPr>
          <w:p>
            <w:r>
              <w:rPr>
                <w:rFonts w:ascii="Calibri" w:cs="Calibri" w:eastAsia="Calibri" w:hAnsi="Calibri"/>
                <w:b w:val="false"/>
                <w:bCs w:val="false"/>
                <w:color w:val="000000"/>
                <w:sz w:val="19"/>
                <w:szCs w:val="19"/>
              </w:rPr>
              <w:t xml:space="preserve">Absent</w:t>
            </w:r>
          </w:p>
        </w:tc>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Four-tier, but the last row (“Human Error”, 5%) is a proximate symptom, not the stated external trigger; the crash itself is not ranked.</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PIA</w:t>
            </w:r>
          </w:p>
        </w:tc>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3</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60 / 25 / 10 / 5</w:t>
            </w:r>
          </w:p>
        </w:tc>
        <w:tc>
          <w:tcPr>
            <w:tcW w:type="dxa" w:w="1560"/>
            <w:tcMar>
              <w:top w:type="dxa" w:w="80"/>
              <w:left w:type="dxa" w:w="100"/>
              <w:bottom w:type="dxa" w:w="80"/>
              <w:right w:type="dxa" w:w="100"/>
            </w:tcMar>
          </w:tcPr>
          <w:p>
            <w:r>
              <w:rPr>
                <w:rFonts w:ascii="Calibri" w:cs="Calibri" w:eastAsia="Calibri" w:hAnsi="Calibri"/>
                <w:b w:val="false"/>
                <w:bCs w:val="false"/>
                <w:color w:val="000000"/>
                <w:sz w:val="19"/>
                <w:szCs w:val="19"/>
              </w:rPr>
              <w:t xml:space="preserve">Last (5%)</w:t>
            </w:r>
          </w:p>
        </w:tc>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Matches the original four-tier template exactly, external cause last and smallest.</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Airlift</w:t>
            </w:r>
          </w:p>
        </w:tc>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50 / 30 / 15 / 5</w:t>
            </w:r>
          </w:p>
        </w:tc>
        <w:tc>
          <w:tcPr>
            <w:tcW w:type="dxa" w:w="1560"/>
            <w:tcMar>
              <w:top w:type="dxa" w:w="80"/>
              <w:left w:type="dxa" w:w="100"/>
              <w:bottom w:type="dxa" w:w="80"/>
              <w:right w:type="dxa" w:w="100"/>
            </w:tcMar>
          </w:tcPr>
          <w:p>
            <w:r>
              <w:rPr>
                <w:rFonts w:ascii="Calibri" w:cs="Calibri" w:eastAsia="Calibri" w:hAnsi="Calibri"/>
                <w:b w:val="false"/>
                <w:bCs w:val="false"/>
                <w:color w:val="000000"/>
                <w:sz w:val="19"/>
                <w:szCs w:val="19"/>
              </w:rPr>
              <w:t xml:space="preserve">3rd (15%)</w:t>
            </w:r>
          </w:p>
        </w:tc>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External cause present but not last or smallest.</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Airlift</w:t>
            </w:r>
          </w:p>
        </w:tc>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2</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60 / 25 / 10 / 5</w:t>
            </w:r>
          </w:p>
        </w:tc>
        <w:tc>
          <w:tcPr>
            <w:tcW w:type="dxa" w:w="1560"/>
            <w:tcMar>
              <w:top w:type="dxa" w:w="80"/>
              <w:left w:type="dxa" w:w="100"/>
              <w:bottom w:type="dxa" w:w="80"/>
              <w:right w:type="dxa" w:w="100"/>
            </w:tcMar>
          </w:tcPr>
          <w:p>
            <w:r>
              <w:rPr>
                <w:rFonts w:ascii="Calibri" w:cs="Calibri" w:eastAsia="Calibri" w:hAnsi="Calibri"/>
                <w:b w:val="false"/>
                <w:bCs w:val="false"/>
                <w:color w:val="000000"/>
                <w:sz w:val="19"/>
                <w:szCs w:val="19"/>
              </w:rPr>
              <w:t xml:space="preserve">3rd (10%)</w:t>
            </w:r>
          </w:p>
        </w:tc>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External cause present but not last or smallest.</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9"/>
                <w:szCs w:val="19"/>
              </w:rPr>
              <w:t xml:space="preserve">Airlift</w:t>
            </w:r>
          </w:p>
        </w:tc>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3</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60 / 25 / 10 / 5</w:t>
            </w:r>
          </w:p>
        </w:tc>
        <w:tc>
          <w:tcPr>
            <w:tcW w:type="dxa" w:w="1560"/>
            <w:tcMar>
              <w:top w:type="dxa" w:w="80"/>
              <w:left w:type="dxa" w:w="100"/>
              <w:bottom w:type="dxa" w:w="80"/>
              <w:right w:type="dxa" w:w="100"/>
            </w:tcMar>
          </w:tcPr>
          <w:p>
            <w:r>
              <w:rPr>
                <w:rFonts w:ascii="Calibri" w:cs="Calibri" w:eastAsia="Calibri" w:hAnsi="Calibri"/>
                <w:b w:val="false"/>
                <w:bCs w:val="false"/>
                <w:color w:val="000000"/>
                <w:sz w:val="19"/>
                <w:szCs w:val="19"/>
              </w:rPr>
              <w:t xml:space="preserve">Last (5%)</w:t>
            </w:r>
          </w:p>
        </w:tc>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Matches the original four-tier template exactly, external cause last and smallest.</w:t>
            </w:r>
          </w:p>
        </w:tc>
      </w:tr>
    </w:tbl>
    <w:p>
      <w:pPr>
        <w:spacing w:after="200" w:line="276"/>
      </w:pPr>
      <w:r>
        <w:rPr>
          <w:rFonts w:ascii="Calibri" w:cs="Calibri" w:eastAsia="Calibri" w:hAnsi="Calibri"/>
          <w:sz w:val="22"/>
          <w:szCs w:val="22"/>
        </w:rPr>
        <w:t xml:space="preserve">All six runs fabricated a percentage-based ranking; none declined the exercise. Fed to the Auditor, all six were correctly flagged: Check 1 passed cleanly on every run, both parts, extending its validated set beyond the two cases reported in Section 8.7 and Section 10.2 to four real cases. Check 2 failed correctly on every run, quoting the fabricated percentages directly and reasoning, in each case, that the case data supplies no basis for weighting the causes shown. Check 3 correctly returned not applicable on all six, since neither case's input states that a specific cause is unresolved.</w:t>
      </w:r>
    </w:p>
    <w:p>
      <w:pPr>
        <w:spacing w:after="200" w:line="276"/>
      </w:pPr>
      <w:r>
        <w:rPr>
          <w:rFonts w:ascii="Calibri" w:cs="Calibri" w:eastAsia="Calibri" w:hAnsi="Calibri"/>
          <w:sz w:val="22"/>
          <w:szCs w:val="22"/>
        </w:rPr>
        <w:t xml:space="preserve">Two of the six runs reproduce, without being constructed to, the omission-blindness gap identified in Section 8.8 and confirmed under controlled conditions in Section 8.9. PIA run 1's table ranks three internal causes (60/25/15) and never includes the crash — the diagnosis's own stated external trigger — anywhere in the ranking, despite naming it clearly in prose immediately above the table. PIA run 2's table includes a fourth row, “Human Error (Specific Pilot Actions)” at 5 per cent, occupying the position the external cause held in the original template, but this is a proximate symptom of the crash, not the crash itself; the actual stated external trigger is, again, absent from the ranking. In both cases, the Auditor's Check 2 reasoning addresses only the fabricated percentages and does not note the omission, exactly the same shape of finding Section 8.8 reported for Southwest Run 3 — but this is not a repetition of that single case. It is the same predicted gap appearing, unprompted, on two more real runs in a case domain (Pakistani aviation and state-enterprise governance) with nothing in common with the original corpus.</w:t>
      </w:r>
    </w:p>
    <w:p>
      <w:pPr>
        <w:spacing w:after="200" w:line="276"/>
      </w:pPr>
      <w:r>
        <w:rPr>
          <w:rFonts w:ascii="Calibri" w:cs="Calibri" w:eastAsia="Calibri" w:hAnsi="Calibri"/>
          <w:sz w:val="22"/>
          <w:szCs w:val="22"/>
        </w:rPr>
        <w:t xml:space="preserve">Where the external cause does appear in the ranking, its position is less fixed than the original nine runs suggested. PIA run 3 and Airlift run 3 place it last and smallest, matching the original template exactly. Airlift run 1 and run 2 place it third, at 15 and 10 per cent respectively — present, but neither last nor smallest. This is consistent with Section 8.7's own interpretation of the original result: what is stable is a general structural tendency toward pattern completion, not a rigid, fixed-position template.</w:t>
      </w:r>
    </w:p>
    <w:p>
      <w:pPr>
        <w:spacing w:after="200" w:line="276"/>
      </w:pPr>
      <w:r>
        <w:rPr>
          <w:rFonts w:ascii="Calibri" w:cs="Calibri" w:eastAsia="Calibri" w:hAnsi="Calibri"/>
          <w:sz w:val="22"/>
          <w:szCs w:val="22"/>
        </w:rPr>
        <w:t xml:space="preserve">This extension was reported at exactly the scale it was run: three trials per case, not the nine used to characterise the original corpus, and was offered as corroborating evidence on two new, real cases rather than as an independent replication at the same statistical weight as Section 8.7. The same nine-trial protocol has since been run on both cases (Section 8.16).</w:t>
      </w:r>
    </w:p>
    <w:p>
      <w:pPr>
        <w:pStyle w:val="Heading2"/>
        <w:spacing w:after="120" w:before="280"/>
      </w:pPr>
      <w:r>
        <w:t xml:space="preserve">8.15 Round 3 on Check 1 Part B: A Reproducible Mechanism Behind the Ohio Warehouse Misses</w:t>
      </w:r>
    </w:p>
    <w:p>
      <w:pPr>
        <w:spacing w:after="200" w:line="276"/>
      </w:pPr>
      <w:r>
        <w:rPr>
          <w:rFonts w:ascii="Calibri" w:cs="Calibri" w:eastAsia="Calibri" w:hAnsi="Calibri"/>
          <w:sz w:val="22"/>
          <w:szCs w:val="22"/>
        </w:rPr>
        <w:t xml:space="preserve">Section 8.13 left the Ohio Warehouse fixture at eight of nine correctly rejected, pooled across two rounds of differing methodology, with the one miss unexplained by any identified factor, and flagged a further round using a fresh set of independently-worded framings as remaining work (Section 10.3). This section reports that round.</w:t>
      </w:r>
    </w:p>
    <w:p>
      <w:pPr>
        <w:spacing w:after="200" w:line="276"/>
      </w:pPr>
      <w:r>
        <w:rPr>
          <w:rFonts w:ascii="Calibri" w:cs="Calibri" w:eastAsia="Calibri" w:hAnsi="Calibri"/>
          <w:sz w:val="22"/>
          <w:szCs w:val="22"/>
        </w:rPr>
        <w:t xml:space="preserve">The case text and the diagnosis's Root Cause statement were held fixed and byte-identical across all nine trials; the only variable was the Triggering Event line, changed once per trial by mechanical string replacement, the same single-variable discipline used throughout this document's Auditor tests. Rather than nine variations on a single theme, the nine framings were deliberately designed to span nine distinct evasion strategies: direct decision-naming (a floor case), vendor-externalising, pure symptom-as-trigger, an agentless passive-voice construction, an event-dated construction structurally mimicking how a genuine external trigger reads elsewhere in this document, a vague “operational instability” framing, a downstream-consequence-as-trigger framing, a mechanical/technical-failure register, and a hedged-uncertainty framing. Every trial's full diagnosis and raw, unfiltered Auditor output were saved to disk before any result was tallied.</w:t>
      </w:r>
    </w:p>
    <w:p>
      <w:pPr>
        <w:spacing w:after="200" w:line="276"/>
      </w:pPr>
      <w:r>
        <w:rPr>
          <w:rFonts w:ascii="Calibri" w:cs="Calibri" w:eastAsia="Calibri" w:hAnsi="Calibri"/>
          <w:sz w:val="22"/>
          <w:szCs w:val="22"/>
        </w:rPr>
        <w:t xml:space="preserve">Four of nine were correctly rejected — a sharp drop from the earlier rounds' three of three and five of six — but the miss is no longer unexplained. Reading the Auditor's own PASS reasoning on the five misses shows a consistent substitution: the check asks whether explicit decision language is present in the trigger sentence, rather than whether the company actually controlled the underlying event. The vendor-externalising framing was passed as “an external technical occurrence resulting from a vendor/system mismatch,” disregarding that the company chose the vendor and the rollout. The symptom framing was passed as “the external-facing operational reality the company had to react to,” treating a direct effect of the company's own system as something that happened to it rather than because of it. The event-dated framing's own reasoning explicitly conceded that “the decision to switch is internal,” then passed the trigger anyway on the grounds that the cutover served merely as “the temporal marker for the start of the systemic failure, which is acceptable practice.” The mechanical-failure framing was passed as “correctly identified as an external/objective event,” conflating objective (factually occurred) with external (outside the company's control). The hedged-uncertainty framing was passed on the reasoning that it “is not the company's internal decision-making process” — treating the absence of decision language as evidence of externality, rather than as merely the absence of a label. By contrast, all four framings that were correctly rejected kept an internal actor, action, or transition nameable inside the trigger sentence itself, even when hedged (“had not been fully validated”) or softened (“a period of instability that emerged following the transition”).</w:t>
      </w:r>
    </w:p>
    <w:p>
      <w:pPr>
        <w:spacing w:after="200" w:line="276"/>
      </w:pPr>
      <w:r>
        <w:rPr>
          <w:rFonts w:ascii="Calibri" w:cs="Calibri" w:eastAsia="Calibri" w:hAnsi="Calibri"/>
          <w:sz w:val="22"/>
          <w:szCs w:val="22"/>
        </w:rPr>
        <w:t xml:space="preserve">One trial (the downstream-consequence framing) also failed Check 3, despite the diagnosis body — the Fishbone, 5 Whys, and Financial Impact sections — being byte-identical to the other eight trials, which passed Check 3 clean. This is a same-input, different-verdict result on a check unrelated to Part B, reported here as a non-determinism data point rather than folded into this section's finding, which concerns Part B specifically.</w:t>
      </w:r>
    </w:p>
    <w:p>
      <w:pPr>
        <w:spacing w:after="200" w:line="276"/>
      </w:pPr>
      <w:r>
        <w:rPr>
          <w:rFonts w:ascii="Calibri" w:cs="Calibri" w:eastAsia="Calibri" w:hAnsi="Calibri"/>
          <w:sz w:val="22"/>
          <w:szCs w:val="22"/>
        </w:rPr>
        <w:t xml:space="preserve">This round's result is reported at its own scale — four of nine — rather than pooled with the two earlier rounds' three of three and five of six into a single combined ratio; a pooled figure would flatten a genuinely bimodal pattern these nine framings were deliberately built to surface. Check 1 Part B's behaviour is now characterised rather than merely observed: the check is robust to reframing that keeps an internal actor or action nameable in the trigger sentence, and vulnerable to reframing that routes around that naming through a third party, a symptom, a bare dated event, an “objective” register, or an epistemic hedge. A wording fix targeting this specific substitution was subsequently attempted and found to make the problem worse, not better; it was reverted (Section 8.17).</w:t>
      </w:r>
    </w:p>
    <w:p>
      <w:pPr>
        <w:pStyle w:val="Heading2"/>
        <w:spacing w:after="120" w:before="280"/>
      </w:pPr>
      <w:r>
        <w:t xml:space="preserve">8.16 PIA/Airlift Forced-Ranking Extended to n=9: A Domain-Dependent Refinement of the Omission-Blindness Finding</w:t>
      </w:r>
    </w:p>
    <w:p>
      <w:pPr>
        <w:spacing w:after="200" w:line="276"/>
      </w:pPr>
      <w:r>
        <w:rPr>
          <w:rFonts w:ascii="Calibri" w:cs="Calibri" w:eastAsia="Calibri" w:hAnsi="Calibri"/>
          <w:sz w:val="22"/>
          <w:szCs w:val="22"/>
        </w:rPr>
        <w:t xml:space="preserve">Section 8.14 reported PIA and Airlift at n=3 per case, explicitly as corroborating evidence rather than a replication at the same statistical weight as the original three cases. This section reports the same protocol extended to n=9 per case, generating and auditing only the 6 new runs per case and combining them with the 3 real runs already on file from Section 8.14 — 18 real runs total, none re-derived.</w:t>
      </w:r>
    </w:p>
    <w:p>
      <w:pPr>
        <w:spacing w:after="200" w:line="276"/>
      </w:pPr>
      <w:r>
        <w:rPr>
          <w:rFonts w:ascii="Calibri" w:cs="Calibri" w:eastAsia="Calibri" w:hAnsi="Calibri"/>
          <w:sz w:val="22"/>
          <w:szCs w:val="22"/>
        </w:rPr>
        <w:t xml:space="preserve">All 6 new runs per case fabricated a percentage-based ranking, and all 12 were correctly caught by the Auditor. Combined with the original 3 per case, both PIA and Airlift now stand at a clean 9 of 9 fabricated and 9 of 9 caught. Check 1 (both parts) passed cleanly across all 18 real trials now on file for these two cases, extending Check 1's validated-at-n=9 set from two cases (Southwest, Peloton, Section 8.7) to four.</w:t>
      </w:r>
    </w:p>
    <w:p>
      <w:pPr>
        <w:spacing w:after="200" w:line="276"/>
      </w:pPr>
      <w:r>
        <w:rPr>
          <w:rFonts w:ascii="Calibri" w:cs="Calibri" w:eastAsia="Calibri" w:hAnsi="Calibri"/>
          <w:sz w:val="22"/>
          <w:szCs w:val="22"/>
        </w:rPr>
        <w:t xml:space="preserve">A secondary observation emerged from reading the new Pareto tables against each case's own stated trigger — not something this round was built to test for, in the same way Section 8.9's controlled test grew out of a pattern first noticed by reading text rather than counting verdicts. The omission-blindness gap (Section 8.8) recurs with a sharper, domain-dependent pattern than the original n=3 could show. All 6 new PIA runs omit the stated external trigger (the PK8303 crash) from the ranking table entirely, each time substituting a generic catch-all category (“External Economic/Global Factors,” “Miscellaneous (Macro Factors),” “External Regulatory Sanctions (The ‘Effect’)”) at a uniform 5 per cent — combined with the original 3, the crash is omitted in 8 of 9 PIA trials on file. Airlift shows the opposite pattern: its stated trigger (the venture-capital funding winter) appears as its own explicit row in all 6 new runs, twice labelled literally “(The Trigger)” in parentheses, at varying positions and weights (10 to 25 per cent) — combined with the original 3, present in 9 of 9 Airlift trials on file.</w:t>
      </w:r>
    </w:p>
    <w:p>
      <w:pPr>
        <w:spacing w:after="200" w:line="276"/>
      </w:pPr>
      <w:r>
        <w:rPr>
          <w:rFonts w:ascii="Calibri" w:cs="Calibri" w:eastAsia="Calibri" w:hAnsi="Calibri"/>
          <w:sz w:val="22"/>
          <w:szCs w:val="22"/>
        </w:rPr>
        <w:t xml:space="preserve">The leading, unconfirmed hypothesis is that a discrete, singular event — a plane crash — does not fit naturally into a percentage-weighted structural-cause breakdown and gets abstracted into a generic bucket, while a diffuse macro-environmental condition — a funding winter — reads naturally as one contributing factor among several and keeps its own line. As throughout this document, this is read from the actual generated text rather than inferred from a pass/fail count: the Auditor's own Check 2 reasoning in all 12 new trials addresses only the fabricated percentages and never once mentions the omission, the same blind spot established in Sections 8.8 and 8.9.</w:t>
      </w:r>
    </w:p>
    <w:p>
      <w:pPr>
        <w:spacing w:after="200" w:line="276"/>
      </w:pPr>
      <w:r>
        <w:rPr>
          <w:rFonts w:ascii="Calibri" w:cs="Calibri" w:eastAsia="Calibri" w:hAnsi="Calibri"/>
          <w:sz w:val="22"/>
          <w:szCs w:val="22"/>
        </w:rPr>
        <w:t xml:space="preserve">This is reported as corroboration and refinement of an existing, already-scoped limitation (Section 10.2), not a new open item — the candidate ranking-completeness check already identified as remaining work (Section 10.3) is the same mechanism that would address it, if built.</w:t>
      </w:r>
    </w:p>
    <w:p>
      <w:pPr>
        <w:pStyle w:val="Heading2"/>
        <w:spacing w:after="120" w:before="280"/>
      </w:pPr>
      <w:r>
        <w:t xml:space="preserve">8.17 A Wording Fix for Check 1 Part B Was Attempted and Reverted: Longer Instructions Made the Target Problem Worse</w:t>
      </w:r>
    </w:p>
    <w:p>
      <w:pPr>
        <w:spacing w:after="200" w:line="276"/>
      </w:pPr>
      <w:r>
        <w:rPr>
          <w:rFonts w:ascii="Calibri" w:cs="Calibri" w:eastAsia="Calibri" w:hAnsi="Calibri"/>
          <w:sz w:val="22"/>
          <w:szCs w:val="22"/>
        </w:rPr>
        <w:t xml:space="preserve">Section 8.15 characterised a specific substitution mechanism behind Check 1 Part B's 4 of 9 catch rate and identified a targeted wording fix as remaining work, to be validated at the same n=9 scale before being treated as closing the gap. This section reports that attempt.</w:t>
      </w:r>
    </w:p>
    <w:p>
      <w:pPr>
        <w:spacing w:after="200" w:line="276"/>
      </w:pPr>
      <w:r>
        <w:rPr>
          <w:rFonts w:ascii="Calibri" w:cs="Calibri" w:eastAsia="Calibri" w:hAnsi="Calibri"/>
          <w:sz w:val="22"/>
          <w:szCs w:val="22"/>
        </w:rPr>
        <w:t xml:space="preserve">The revised wording stated explicitly that the test is control, not vocabulary, and named five exclusions matching each of Section 8.15's evasion categories — vendor-attribution, symptom-naming, bare-dated-events, an “objective” register, and hedged-uncertainty — each with a one-line reason it is still internal. Validating it surfaced an unrelated defect in the original target-fixture script: its trial loop ran at module level rather than behind a name-guard, so importing its fixtures unchanged — as the validation script did, deliberately, to avoid re-typing them — silently re-executed the entire original nine-trial run a second time. This produced an accidental second, independent replication under the new wording, at the cost of nine unplanned calls that then rate-limited two of the intended run's own trials.</w:t>
      </w:r>
    </w:p>
    <w:p>
      <w:pPr>
        <w:spacing w:after="200" w:line="276"/>
      </w:pPr>
      <w:r>
        <w:rPr>
          <w:rFonts w:ascii="Calibri" w:cs="Calibri" w:eastAsia="Calibri" w:hAnsi="Calibri"/>
          <w:sz w:val="22"/>
          <w:szCs w:val="22"/>
        </w:rPr>
        <w:t xml:space="preserve">Pooling the accidental replication with the seven valid trials from the intended run — sixteen total, the same fixture and wording throughout — the new wording caught only two of sixteen, both the one framing explicitly named in its own exclusion list (vendor-externalising). Every other framing, including the direct decision-naming floor case that had never failed under any prior wording, now passed incorrectly. This is worse than the Section 8.15 baseline of four of nine (44 per cent), not an improvement on it. Five existing regression fixtures (the restaurant cases, Southwest, and a new Boeing fixture) all held correctly, so the damage was confined entirely to the subtle framings the fix was built to catch.</w:t>
      </w:r>
    </w:p>
    <w:p>
      <w:pPr>
        <w:spacing w:after="200" w:line="276"/>
      </w:pPr>
      <w:r>
        <w:rPr>
          <w:rFonts w:ascii="Calibri" w:cs="Calibri" w:eastAsia="Calibri" w:hAnsi="Calibri"/>
          <w:sz w:val="22"/>
          <w:szCs w:val="22"/>
        </w:rPr>
        <w:t xml:space="preserve">Reading the Auditor's own reasoning across the incorrect verdicts shows why. The longer wording appears to have caused the check to substitute Part A's distinctness test — is the trigger textually separate from the root cause — for Part B's actual control test. The floor-case trial's own reasoning is the starkest instance: it quotes the rule correctly (“the instructions state a company decision is not a valid trigger”) and then reasons past it to a PASS verdict regardless. Enumerating specific evasion patterns by example appears to have taught the check a closed list to compare against rather than reinforcing the general principle behind it, so a framing that did not match one of the five named examples defaulted to a more lenient reading than the original, shorter wording produced.</w:t>
      </w:r>
    </w:p>
    <w:p>
      <w:pPr>
        <w:spacing w:after="200" w:line="276"/>
      </w:pPr>
      <w:r>
        <w:rPr>
          <w:rFonts w:ascii="Calibri" w:cs="Calibri" w:eastAsia="Calibri" w:hAnsi="Calibri"/>
          <w:sz w:val="22"/>
          <w:szCs w:val="22"/>
        </w:rPr>
        <w:t xml:space="preserve">The wording change was reverted in full — confirmed byte-identical to the last committed version — and the script defect fixed separately. This is not pursued into a third wording attempt, consistent with this project's practice elsewhere (Section 6.8) of treating a limitation that does not respond to a second, more precise wording attempt as a genuine plateau rather than a wording problem still waiting to be solved. Section 8.15's characterisation stands as the accurate, current description of Check 1 Part B's behaviour; a structural rather than wording-only approach is identified as remaining work in Section 10.3.</w:t>
      </w:r>
    </w:p>
    <w:p>
      <w:pPr>
        <w:pStyle w:val="Heading2"/>
        <w:spacing w:after="120" w:before="280"/>
      </w:pPr>
      <w:r>
        <w:t xml:space="preserve">8.18 A Structural Fix for Check 1 Part B Was Also Attempted and Reverted: A Correctly-Identified Actor Did Not Bind the Verdict</w:t>
      </w:r>
    </w:p>
    <w:p>
      <w:pPr>
        <w:spacing w:after="200" w:line="276"/>
      </w:pPr>
      <w:r>
        <w:rPr>
          <w:rFonts w:ascii="Calibri" w:cs="Calibri" w:eastAsia="Calibri" w:hAnsi="Calibri"/>
          <w:sz w:val="22"/>
          <w:szCs w:val="22"/>
        </w:rPr>
        <w:t xml:space="preserve">Section 8.17 reverted a wording-only fix to Check 1 Part B and identified a structural, non-wording approach as remaining work in Section 10.3 — specifically, requiring the Auditor to state who chose, performed, or could have prevented the named trigger before deciding a verdict, rather than reasoning to a verdict through free-form justification. This section reports that attempt.</w:t>
      </w:r>
    </w:p>
    <w:p>
      <w:pPr>
        <w:spacing w:after="200" w:line="276"/>
      </w:pPr>
      <w:r>
        <w:rPr>
          <w:rFonts w:ascii="Calibri" w:cs="Calibri" w:eastAsia="Calibri" w:hAnsi="Calibri"/>
          <w:sz w:val="22"/>
          <w:szCs w:val="22"/>
        </w:rPr>
        <w:t xml:space="preserve">The Auditor's required output format for Part B was changed so a Controlling Actor line must be written before the PASS/FAIL verdict line, naming the specific actor responsible for the triggering event, with the verdict specified to follow directly from that answer rather than from a separate judgment call. No individual evasion pattern was named anywhere in the new wording, deliberately avoiding the closed-checklist effect diagnosed in Section 8.17. The same nine Ohio Warehouse framings and the same five regression fixtures used in Section 8.17 — the restaurant cases, Southwest, and Boeing — were re-run unchanged against the new format.</w:t>
      </w:r>
    </w:p>
    <w:p>
      <w:pPr>
        <w:spacing w:after="200" w:line="276"/>
      </w:pPr>
      <w:r>
        <w:rPr>
          <w:rFonts w:ascii="Calibri" w:cs="Calibri" w:eastAsia="Calibri" w:hAnsi="Calibri"/>
          <w:sz w:val="22"/>
          <w:szCs w:val="22"/>
        </w:rPr>
        <w:t xml:space="preserve">Two of nine target framings were correctly rejected, below the Section 8.15 baseline of four of nine, while all five regression fixtures held correctly.</w:t>
      </w:r>
    </w:p>
    <w:p>
      <w:pPr>
        <w:spacing w:after="200" w:line="276"/>
      </w:pPr>
      <w:r>
        <w:rPr>
          <w:rFonts w:ascii="Calibri" w:cs="Calibri" w:eastAsia="Calibri" w:hAnsi="Calibri"/>
          <w:sz w:val="22"/>
          <w:szCs w:val="22"/>
        </w:rPr>
        <w:t xml:space="preserve">Reading the Auditor's own reasoning across all seven misses shows the actor-identification step working exactly as designed: in every case, it correctly named the controlling actor as internal — the company, its leadership, or its IT department — never once mislabelling an internal actor as external. The break is in what followed. Having correctly stated that the actor was internal, the check still returned PASS, applying a different, unrelated test in its stated reasoning: that the diagnosis “correctly identifies the root cause as the company's own management choices, thus satisfying the audit criteria for avoiding conflation,” or that it “does not attempt to blame an external actor for the trigger.” Both are restatements of Part A's distinctness and honest-attribution test, not Part B's control test, mirroring the exact substitution mechanism Section 8.17 diagnosed — but this time surviving even with a correctly-answered intermediate field placed immediately before the verdict it was meant to constrain.</w:t>
      </w:r>
    </w:p>
    <w:p>
      <w:pPr>
        <w:spacing w:after="200" w:line="276"/>
      </w:pPr>
      <w:r>
        <w:rPr>
          <w:rFonts w:ascii="Calibri" w:cs="Calibri" w:eastAsia="Calibri" w:hAnsi="Calibri"/>
          <w:sz w:val="22"/>
          <w:szCs w:val="22"/>
        </w:rPr>
        <w:t xml:space="preserve">The change was reverted in full — confirmed byte-identical to the last committed version — and the new validation script and its outputs kept as evidence rather than discarded. This is a more specific negative result than Section 8.17's: an explicit, correctly-completed intermediate field did not, by itself, bind the verdict it was instructed to follow from mechanically, showing that a prose instruction describing a dependency between two parts of a required output is not enforced by the model treating it as mechanical. Two prompt-level attempts at this limitation — one wording-only, one requiring a structured intermediate field — have now both made the target result worse than the original wording; this is reported as a second negative result rather than pursued into a third prompt-only attempt, with Section 8.15's characterisation continuing to stand as Check 1 Part B's accurate, current behaviour. The only remaining path identified is moving the actor-to-verdict classification out of the model's own free-form judgment entirely and into deterministic code, which is a more substantial change than a further prompt iteration and is identified as remaining work in Section 10.3 rather than attempted here.</w:t>
      </w:r>
    </w:p>
    <w:p>
      <w:pPr>
        <w:pStyle w:val="Heading2"/>
        <w:spacing w:after="120" w:before="280"/>
      </w:pPr>
      <w:r>
        <w:t xml:space="preserve">8.19 The Boeing Externality Open Question, Resolved: Check 1 Part B’s Correctness Depends on Whether the Root Cause States a Motive</w:t>
      </w:r>
    </w:p>
    <w:p>
      <w:pPr>
        <w:spacing w:after="200" w:line="276"/>
      </w:pPr>
      <w:r>
        <w:rPr>
          <w:rFonts w:ascii="Calibri" w:cs="Calibri" w:eastAsia="Calibri" w:hAnsi="Calibri"/>
          <w:sz w:val="22"/>
          <w:szCs w:val="22"/>
        </w:rPr>
        <w:t xml:space="preserve">Section 6.7 raised an open question resting on a single real data point: whether Check 1 Part B correctly rejects Boeing’s only trigger candidate — a specific technical malfunction closely tied to the diagnosed design flaw — as internal, or whether Part B’s definition of “external” is too narrow for this category of case. This section reports three controlled n=9 rounds that resolve it.</w:t>
      </w:r>
    </w:p>
    <w:p>
      <w:pPr>
        <w:spacing w:after="200" w:line="276"/>
      </w:pPr>
      <w:r>
        <w:rPr>
          <w:rFonts w:ascii="Calibri" w:cs="Calibri" w:eastAsia="Calibri" w:hAnsi="Calibri"/>
          <w:sz w:val="22"/>
          <w:szCs w:val="22"/>
        </w:rPr>
        <w:t xml:space="preserve">The same trigger framing was held fixed throughout — Section 6.7’s original “erroneous data provided by a single AOA sensor” phrasing — with the root cause varied by round. The first round paired that trigger with a root cause naming the single-sensor design decision and an explicit motive for it (“in order to minimize pilot retraining costs and preserve the 737 MAX’s classification as a variant...”). Eight of nine trials completed (one lost to a transient API error); five of eight correctly rejected the trigger, three passed it — directly overturning Section 6.7’s assumption that Part B applied itself consistently on this case, which had rested on a single trial. The five rejections each traced the sensor error back to the company-controlled design choice that made it possible; the three passes evaluated the sensor event in isolation, in near-identical language across trials, without making that connection. However, the motive clause used a specific regulatory-classification phrase not stated in those exact terms in the case packet, and was correctly flagged by Check 3 in each passing trial — a genuine confound, confirmed by direct comparison against the case text, that left the split impossible to attribute to Part B alone.</w:t>
      </w:r>
    </w:p>
    <w:p>
      <w:pPr>
        <w:spacing w:after="200" w:line="276"/>
      </w:pPr>
      <w:r>
        <w:rPr>
          <w:rFonts w:ascii="Calibri" w:cs="Calibri" w:eastAsia="Calibri" w:hAnsi="Calibri"/>
          <w:sz w:val="22"/>
          <w:szCs w:val="22"/>
        </w:rPr>
        <w:t xml:space="preserve">A second round removed the motive claim, but in doing so restructured the root cause into three items joined by an explicit list (“combined with... and...”): the single-sensor design, the optional safety features, and minimized pilot training. All nine trials passed the trigger as external. But Check 2 failed seven of the nine, each time reading the bundled list itself as an unweighted, Pareto-style ranking of three causes — trading one confound for another, and leaving open whether the reversal reflected Part B’s real behaviour or the new sentence structure.</w:t>
      </w:r>
    </w:p>
    <w:p>
      <w:pPr>
        <w:spacing w:after="200" w:line="276"/>
      </w:pPr>
      <w:r>
        <w:rPr>
          <w:rFonts w:ascii="Calibri" w:cs="Calibri" w:eastAsia="Calibri" w:hAnsi="Calibri"/>
          <w:sz w:val="22"/>
          <w:szCs w:val="22"/>
        </w:rPr>
        <w:t xml:space="preserve">A third round reduced the root cause to a single decision — the same single-sensor design — plus one directly connected supporting fact (that Boeing’s own engineers raised concerns about it internally as early as 2015–2016 without the design being changed), phrased as one continuous clause with no bundling and no stated motive; both facts were confirmed directly against the case packet before the fixture was written. All nine trials passed the trigger as external again, with uniform reasoning across every trial — none traced the malfunction back to the design decision despite that decision appearing one clause away.</w:t>
      </w:r>
    </w:p>
    <w:p>
      <w:pPr>
        <w:spacing w:after="200" w:line="276"/>
      </w:pPr>
      <w:r>
        <w:rPr>
          <w:rFonts w:ascii="Calibri" w:cs="Calibri" w:eastAsia="Calibri" w:hAnsi="Calibri"/>
          <w:sz w:val="22"/>
          <w:szCs w:val="22"/>
        </w:rPr>
        <w:t xml:space="preserve">Read together, the one variable present in the round that produced rejections and absent from both rounds that did not is a stated motive: WHY the company made the decision, not just WHAT the decision was. With a motive stated, Part B correctly connects the malfunction to the decision in five of eight trials; without one — independently, twice, at nine of nine each time — it treats the same malfunction as free-floating and external despite the causal decision remaining present in the text. This resolves Section 6.7’s question as neither of its two proposed readings: not that Part B’s definition of “external” is too narrow, and not that Boeing consistently and correctly lacks a clean trigger. It is a third, more specific finding — the same underlying shape already characterised for a different fixture in Sections 8.15, 8.17, and 8.18: Part B responds to a textual cue rather than independently reasoning about foreseeability or control, here demonstrated on the real case that first raised the question rather than a synthetic one.</w:t>
      </w:r>
    </w:p>
    <w:p>
      <w:pPr>
        <w:pStyle w:val="Heading2"/>
        <w:spacing w:after="120" w:before="280"/>
      </w:pPr>
      <w:r>
        <w:t xml:space="preserve">8.20 A Correction to Section 6.9’s Peloton / Check C Finding: Two Genuine Violations, Not Four, and Three Distinct Failure Mechanisms</w:t>
      </w:r>
    </w:p>
    <w:p>
      <w:pPr>
        <w:spacing w:after="200" w:line="276"/>
      </w:pPr>
      <w:r>
        <w:rPr>
          <w:rFonts w:ascii="Calibri" w:cs="Calibri" w:eastAsia="Calibri" w:hAnsi="Calibri"/>
          <w:sz w:val="22"/>
          <w:szCs w:val="22"/>
        </w:rPr>
        <w:t xml:space="preserve">Section 6.9 reported Check C catching the real Peloton report’s dropped qualifiers in only one of nine trials, and characterised that one catch as naming four distinct dropped qualifiers, “confirming the violations are real and detectable in principle.” Before designing any new experiment to explain the other eight misses, the nine already-saved raw trial outputs were re-read directly against `peloton_real/report.txt` and `diagnosis.txt` — zero new LLM calls. This corrects the finding rather than merely extending it.</w:t>
      </w:r>
    </w:p>
    <w:p>
      <w:pPr>
        <w:spacing w:after="200" w:line="276"/>
      </w:pPr>
      <w:r>
        <w:rPr>
          <w:rFonts w:ascii="Calibri" w:cs="Calibri" w:eastAsia="Calibri" w:hAnsi="Calibri"/>
          <w:sz w:val="22"/>
          <w:szCs w:val="22"/>
        </w:rPr>
        <w:t xml:space="preserve">Checking the one catching trial’s four claims against the actual report text: the “(storage, insurance, obsolescence)” composition genuinely never appears in the report — confirmed by direct search — a real, clean catch. The “into expansion” scope genuinely never appears attached to the 55% figure either; “expansion” occurs exactly once elsewhere in the report, in an unrelated SWOT sentence about a strategic pivot — also a real, clean catch. The “(Precor + Factory)” / $400M+$400M composition called dropped is, however, present verbatim in the report — just in an earlier “Path Taken” narrative section rather than the same sentence as the $800M figure being checked, a genuine, unresolved ambiguity about whether Check C’s rule requires same-instance or document-wide preservation, not a clean violation. And the “80% Decline” qualifier called dropped is present in the report’s very next clause — “...experienced an 80% decline, resulting in a loss of over $40 billion...” is one contiguous sentence — the trial quoted only the back half of it, and its claim is factually incorrect. The fixture has two clean, unambiguous violations, not four.</w:t>
      </w:r>
    </w:p>
    <w:p>
      <w:pPr>
        <w:spacing w:after="200" w:line="276"/>
      </w:pPr>
      <w:r>
        <w:rPr>
          <w:rFonts w:ascii="Calibri" w:cs="Calibri" w:eastAsia="Calibri" w:hAnsi="Calibri"/>
          <w:sz w:val="22"/>
          <w:szCs w:val="22"/>
        </w:rPr>
        <w:t xml:space="preserve">Checking the eight missing trials specifically against those two real violations surfaces three distinct failure mechanisms, not one generic “failed to notice.” Outright hallucination: two trials explicitly assert the report contains “storage, insurance, obsolescence” or a link to “expansion” that a direct search of the report text confirms is absent. Explicit-but-wrong equivalence judgment: four trials correctly quote the report’s actual, generic phrasing (“annual carrying cost,” “annual overhead”) immediately next to the diagnosis’s specific composition, then explicitly rule it “synonymous” or scope-preserving anyway. Silent incomplete coverage: six of the eight miss trials never check the “into expansion” qualifier at all, addressing other figures instead and concluding “None found” from an incomplete sweep.</w:t>
      </w:r>
    </w:p>
    <w:p>
      <w:pPr>
        <w:spacing w:after="200" w:line="276"/>
      </w:pPr>
      <w:r>
        <w:rPr>
          <w:rFonts w:ascii="Calibri" w:cs="Calibri" w:eastAsia="Calibri" w:hAnsi="Calibri"/>
          <w:sz w:val="22"/>
          <w:szCs w:val="22"/>
        </w:rPr>
        <w:t xml:space="preserve">This does not change the underlying 1-of-9 tally reported in Section 6.9 — that metric is accurate, since Check C did correctly return FAIL in one of nine trials regardless of one flawed claim within its reasoning. What changes is the qualitative story built on top of that number: the fixture is a cleaner test than previously reported, at two clean violations rather than four, and the eight misses are no longer an unexplained reliability gap with model-behaviour drift as the leading hypothesis. They are three specific, evidenced mechanisms, obtained at zero additional cost by comparing already-saved evidence against files already in this repository.</w:t>
      </w:r>
    </w:p>
    <w:p>
      <w:pPr>
        <w:pStyle w:val="Heading1"/>
        <w:spacing w:after="160" w:before="360"/>
      </w:pPr>
      <w:r>
        <w:t xml:space="preserve">9. Engineering Challenges</w:t>
      </w:r>
    </w:p>
    <w:p>
      <w:pPr>
        <w:spacing w:after="200" w:line="276"/>
      </w:pPr>
      <w:r>
        <w:rPr>
          <w:rFonts w:ascii="Calibri" w:cs="Calibri" w:eastAsia="Calibri" w:hAnsi="Calibri"/>
          <w:sz w:val="22"/>
          <w:szCs w:val="22"/>
        </w:rPr>
        <w:t xml:space="preserve">A substantial share of development time was spent on environment, tooling, and infrastructure issues rather than on the system's core logic. These are summarised thematically in Table 2 below, and are reported here on the view that the process of diagnosing and resolving them — generally through direct evidence (full tracebacks, live API queries, controlled rebuilds) rather than trial-and-error guessing — is itself part of the engineering record.</w:t>
      </w:r>
    </w:p>
    <w:p>
      <w:pPr>
        <w:spacing w:after="240"/>
      </w:pPr>
      <w:r>
        <w:rPr>
          <w:rFonts w:ascii="Calibri" w:cs="Calibri" w:eastAsia="Calibri" w:hAnsi="Calibri"/>
          <w:i/>
          <w:iCs/>
          <w:color w:val="555555"/>
          <w:sz w:val="18"/>
          <w:szCs w:val="18"/>
        </w:rPr>
        <w:t xml:space="preserve">Table 2. Summary of major technical issues encountered and their resolution.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35"/>
        <w:gridCol w:w="2634"/>
        <w:gridCol w:w="2634"/>
        <w:gridCol w:w="2797"/>
      </w:tblGrid>
      <w:tr>
        <w:trPr>
          <w:tblHeader/>
        </w:trPr>
        <w:tc>
          <w:tcPr>
            <w:tcW w:type="dxa" w:w="1235"/>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Phase</w:t>
            </w:r>
          </w:p>
        </w:tc>
        <w:tc>
          <w:tcPr>
            <w:tcW w:type="dxa" w:w="2634"/>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Issue</w:t>
            </w:r>
          </w:p>
        </w:tc>
        <w:tc>
          <w:tcPr>
            <w:tcW w:type="dxa" w:w="2634"/>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Root Cause</w:t>
            </w:r>
          </w:p>
        </w:tc>
        <w:tc>
          <w:tcPr>
            <w:tcW w:type="dxa" w:w="2797"/>
            <w:shd w:fill="2F5496" w:val="clear"/>
            <w:tcMar>
              <w:top w:type="dxa" w:w="80"/>
              <w:left w:type="dxa" w:w="100"/>
              <w:bottom w:type="dxa" w:w="80"/>
              <w:right w:type="dxa" w:w="100"/>
            </w:tcMar>
          </w:tcPr>
          <w:p>
            <w:r>
              <w:rPr>
                <w:rFonts w:ascii="Calibri" w:cs="Calibri" w:eastAsia="Calibri" w:hAnsi="Calibri"/>
                <w:b/>
                <w:bCs/>
                <w:color w:val="FFFFFF"/>
                <w:sz w:val="19"/>
                <w:szCs w:val="19"/>
              </w:rPr>
              <w:t xml:space="preserve">Resolution</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RAG Retrieval</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Framework chunks never retrieved for case queries (0.00 recall, 3 retrievers)</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Case narrative and framework definitions share almost no vocabulary</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Query reformulation into diagnostic-technique language before retrieval — proven with a controlled experiment</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Environment</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Filename casing/hyphen mismatches broke imports intermittently</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macOS filesystem is case-insensitive; Python imports are not</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Standardised naming, added grep-verification step after renames</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Environment</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crewai failed to install under Python 3.14</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tiktoken had no prebuilt wheel for 3.14</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Created a separate Python 3.12 virtual environment</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LLM Provider</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New API key format, model 404s, and a 20-requests/day quota on a preview model</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New account restricted to newer model generation; preview models are deliberately throttled</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Queried the live model list directly; selected an established, non-preview model with verified quota</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Agent Framework</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Two independent OPENAI_API_KEY errors despite an all-Gemini project</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CrewAI Agents default to an OpenAI model when llm= is not explicitly set</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Root-caused via full traceback; added a standing grep-based verification step after every Agent edit</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Agent Framework</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Native process crash (malloc/SIGABRT) on parallel tool calls</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Race conditions in lazy retriever initialisation and unsynchronised concurrent queries</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Build retriever at import time; wrap queries in a threading.Lock()</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Pipeline Output</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Analyst output silently overwrote prior Researcher-only output under the same filename</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Static filenames tied to pipeline stage, not updated when the pipeline changed</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Timestamp-based filenames generated automatically per run</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UI Integration</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Check 3 findings never appeared in the demo UI, even when Check 3 correctly failed</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simplify_audit_feedback() only parsed Check 1 and Check 2’s output format</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Added a Check 3 extraction block; validated against 65 real saved verdict files (zero new API calls), fixing five distinct parsing bugs found through iteration against real data</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RAG Integrity</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RAG indexing did not apply the same ground-truth filter as the direct diagnostic input path</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case_loader.py and rag_pipeline_starter.py enforced the same safety property via two independently maintained section lists</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chunk_case_file() now imports the single INPUT_SECTIONS filter directly from case_loader.py; rebuilt corpus confirmed 9/9 case chunks leak-free</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Dependency Management</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The pipeline's Gemini provider and the MCP server's ChromaDB version could not safely share one environment or one persist directory</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crewai 1.15.17 requires the google-genai extra to avoid a silent langchain/tiktoken fallback; the two environments' ChromaDB native bindings cannot read each other's on-disk schema</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Pinned crewai[google-genai]==1.15.17 exactly; made the ChromaDB persist directory configurable per environment via CHROMA_PERSIST_DIR, giving each its own index</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MCP Integration</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Qoder's MCP host showed the retrieval server as disconnected even though it worked correctly once running</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Qoder treats any stderr emitted during a server's startup window as a connection failure; the server's eager embedding-model load emits a Hugging Face warning and a progress bar to stderr</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Redirected stdout/stderr to devnull specifically during the model-load import window, restored immediately after</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UI Integration</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A FLAGGED_FOR_REVIEW result froze the demo UI on its loading screen with no error surfaced</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classList.add('') throws a DOMException on an empty string; the FLAGGED_FOR_REVIEW rendering path passed an empty class name where the other two outcomes passed a real one</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Passed a real, unstyled class name instead of an empty string</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UI Integration</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The fidelity check's demo-facing feedback silently dropped every violation beyond the first, or showed a passing instance's text as the stated reason</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simplify_fidelity_feedback() took only the first line after “Instances found:” per check, with no check for whether that instance was itself a PASS or a FAIL</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Split “Instances found:” into per-instance chunks, kept only FAIL-marked chunks, surfaced up to three full instances per check</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UI Integration</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Check 3's real fabrication findings were sometimes mislabelled as Check 2 ranking issues in the demo UI</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An unbounded Check 2 section-match regex captured through to the end of the document, including Check 3's own numbered findings</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Bounded the Check 2 match to stop at the next section heading, identical to the pattern already used for Check 3</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UI Integration</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Downloaded PDF reports were sometimes cut off mid-page, and a result's verdict stamp was sometimes invisible in the PDF despite being visible on screen</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html2canvas captures based on current scroll position rather than the full target element; CSS animations restart from their initial, invisible frame on the cloned element html2canvas rasterizes</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Reset scroll to the top and set explicit capture dimensions before generating the PDF; froze the stamp to its settled end-state via inline style immediately before capture</w:t>
            </w:r>
          </w:p>
        </w:tc>
      </w:tr>
      <w:tr>
        <w:tc>
          <w:tcPr>
            <w:tcW w:type="dxa" w:w="1235"/>
            <w:tcMar>
              <w:top w:type="dxa" w:w="80"/>
              <w:left w:type="dxa" w:w="100"/>
              <w:bottom w:type="dxa" w:w="80"/>
              <w:right w:type="dxa" w:w="100"/>
            </w:tcMar>
          </w:tcPr>
          <w:p>
            <w:r>
              <w:rPr>
                <w:rFonts w:ascii="Calibri" w:cs="Calibri" w:eastAsia="Calibri" w:hAnsi="Calibri"/>
                <w:b w:val="false"/>
                <w:bCs w:val="false"/>
                <w:color w:val="000000"/>
                <w:sz w:val="19"/>
                <w:szCs w:val="19"/>
              </w:rPr>
              <w:t xml:space="preserve">UI Integration</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A FLAGGED_FOR_REVIEW result's best-effort draft rendered as an empty label, on the live page and in the PDF</w:t>
            </w:r>
          </w:p>
        </w:tc>
        <w:tc>
          <w:tcPr>
            <w:tcW w:type="dxa" w:w="2634"/>
            <w:tcMar>
              <w:top w:type="dxa" w:w="80"/>
              <w:left w:type="dxa" w:w="100"/>
              <w:bottom w:type="dxa" w:w="80"/>
              <w:right w:type="dxa" w:w="100"/>
            </w:tcMar>
          </w:tcPr>
          <w:p>
            <w:r>
              <w:rPr>
                <w:rFonts w:ascii="Calibri" w:cs="Calibri" w:eastAsia="Calibri" w:hAnsi="Calibri"/>
                <w:b w:val="false"/>
                <w:bCs w:val="false"/>
                <w:color w:val="000000"/>
                <w:sz w:val="19"/>
                <w:szCs w:val="19"/>
              </w:rPr>
              <w:t xml:space="preserve">The newer real-time polling endpoint (Section 9.1) duplicated the original endpoint's response logic without carrying over its per-status branch for which field the draft comes from</w:t>
            </w:r>
          </w:p>
        </w:tc>
        <w:tc>
          <w:tcPr>
            <w:tcW w:type="dxa" w:w="2797"/>
            <w:tcMar>
              <w:top w:type="dxa" w:w="80"/>
              <w:left w:type="dxa" w:w="100"/>
              <w:bottom w:type="dxa" w:w="80"/>
              <w:right w:type="dxa" w:w="100"/>
            </w:tcMar>
          </w:tcPr>
          <w:p>
            <w:r>
              <w:rPr>
                <w:rFonts w:ascii="Calibri" w:cs="Calibri" w:eastAsia="Calibri" w:hAnsi="Calibri"/>
                <w:b w:val="false"/>
                <w:bCs w:val="false"/>
                <w:color w:val="000000"/>
                <w:sz w:val="19"/>
                <w:szCs w:val="19"/>
              </w:rPr>
              <w:t xml:space="preserve">Gave the draft field the same three-way status branch already used elsewhere in the same function</w:t>
            </w:r>
          </w:p>
        </w:tc>
      </w:tr>
    </w:tbl>
    <w:p>
      <w:pPr>
        <w:spacing w:after="240"/>
      </w:pPr>
    </w:p>
    <w:p>
      <w:pPr>
        <w:spacing w:after="200" w:line="276"/>
      </w:pPr>
      <w:r>
        <w:rPr>
          <w:rFonts w:ascii="Calibri" w:cs="Calibri" w:eastAsia="Calibri" w:hAnsi="Calibri"/>
          <w:sz w:val="22"/>
          <w:szCs w:val="22"/>
        </w:rPr>
        <w:t xml:space="preserve">Two recurring bug classes are worth particular note. First, CrewAI's default fallback to an OpenAI model when an agent's </w:t>
      </w:r>
      <w:r>
        <w:rPr>
          <w:rFonts w:ascii="Calibri" w:cs="Calibri" w:eastAsia="Calibri" w:hAnsi="Calibri"/>
          <w:i/>
          <w:iCs/>
          <w:sz w:val="22"/>
          <w:szCs w:val="22"/>
        </w:rPr>
        <w:t xml:space="preserve">llm</w:t>
      </w:r>
      <w:r>
        <w:rPr>
          <w:rFonts w:ascii="Calibri" w:cs="Calibri" w:eastAsia="Calibri" w:hAnsi="Calibri"/>
          <w:sz w:val="22"/>
          <w:szCs w:val="22"/>
        </w:rPr>
        <w:t xml:space="preserve"> parameter is not explicitly set caused the same failure twice, independently, in an all-Gemini project; this was resolved not just locally but procedurally, by adding a standing verification step (checking that the number of explicit </w:t>
      </w:r>
      <w:r>
        <w:rPr>
          <w:rFonts w:ascii="Calibri" w:cs="Calibri" w:eastAsia="Calibri" w:hAnsi="Calibri"/>
          <w:i/>
          <w:iCs/>
          <w:sz w:val="22"/>
          <w:szCs w:val="22"/>
        </w:rPr>
        <w:t xml:space="preserve">llm=</w:t>
      </w:r>
      <w:r>
        <w:rPr>
          <w:rFonts w:ascii="Calibri" w:cs="Calibri" w:eastAsia="Calibri" w:hAnsi="Calibri"/>
          <w:sz w:val="22"/>
          <w:szCs w:val="22"/>
        </w:rPr>
        <w:t xml:space="preserve"> declarations matches the number of agents) after every subsequent agent-related edit. Second, adopting a newer language model that supported parallel tool calls — a capability not exercised by earlier models used in the project — surfaced two previously latent race conditions in the retrieval tool that had not mattered when only one tool call occurred at a time, illustrating that a model upgrade can change not only output quality but the concurrency behaviour the surrounding system must handle correctly.</w:t>
      </w:r>
    </w:p>
    <w:p>
      <w:pPr>
        <w:pStyle w:val="Heading2"/>
        <w:spacing w:after="120" w:before="280"/>
      </w:pPr>
      <w:r>
        <w:t xml:space="preserve">9.1 The Demonstration Interface: From a Simulated Timer to Real, Provenance-Branded Output</w:t>
      </w:r>
    </w:p>
    <w:p>
      <w:pPr>
        <w:spacing w:after="200" w:line="276"/>
      </w:pPr>
      <w:r>
        <w:rPr>
          <w:rFonts w:ascii="Calibri" w:cs="Calibri" w:eastAsia="Calibri" w:hAnsi="Calibri"/>
          <w:sz w:val="22"/>
          <w:szCs w:val="22"/>
        </w:rPr>
        <w:t xml:space="preserve">The demo UI's loading state was originally a simulated timer, not a reflection of the backend pipeline's actual progress — it could not show which stage was genuinely running, or a real Auditor revision attempt number when one occurred. Two new, additive endpoints (POST /diagnose/start, GET /diagnose/status/{job_id}) were added to report real stage transitions — Researcher, Analyst, Auditor with its actual revision attempt number, Orchestrator, and the fidelity check — and the interface's chain-of-custody ledger now reflects genuine backend state rather than an animation. This was verified specifically against a live run that genuinely revised once before passing, since a clean first-pass run would look identical whether the timer was real or simulated; the same principle applied throughout this document's other validation work — that a clean result is not evidence, a clean result checked against its source is (ROADMAP.md, Section 2.4) — was applied here to the demo layer itself.</w:t>
      </w:r>
    </w:p>
    <w:p>
      <w:pPr>
        <w:spacing w:after="200" w:line="276"/>
      </w:pPr>
      <w:r>
        <w:rPr>
          <w:rFonts w:ascii="Calibri" w:cs="Calibri" w:eastAsia="Calibri" w:hAnsi="Calibri"/>
          <w:sz w:val="22"/>
          <w:szCs w:val="22"/>
        </w:rPr>
        <w:t xml:space="preserve">The downloaded report itself was extended in two further ways after the core pipeline's validation was complete. Real per-run case numbers replaced a static placeholder that had shown an identical fake number on every run; the browser's own print dialog, which stamps a URL/date/title header-footer strip onto every page by default, was replaced with a direct, client-side PDF export that excludes it entirely. The report card was also given a footer naming the system that produced it and the specific claim that distinguishes its architecture — a five-agent pipeline audited by an architecturally isolated verification layer — so that a reader opening the PDF outside the live demo can tell what produced it, not only whether to trust it.</w:t>
      </w:r>
    </w:p>
    <w:p>
      <w:pPr>
        <w:spacing w:after="200" w:line="276"/>
      </w:pPr>
      <w:r>
        <w:rPr>
          <w:rFonts w:ascii="Calibri" w:cs="Calibri" w:eastAsia="Calibri" w:hAnsi="Calibri"/>
          <w:sz w:val="22"/>
          <w:szCs w:val="22"/>
        </w:rPr>
        <w:t xml:space="preserve">Separately, the project's own standards, each agent's specification, and a stdio-based retrieval server were encoded for Qoder, the AI coding assistant used to delegate parts of this system's build — each as a skill referencing the actual source file and constraint it encodes, rather than a paraphrased summary that could drift out of sync with the code it describes.</w:t>
      </w:r>
    </w:p>
    <w:p>
      <w:pPr>
        <w:pStyle w:val="Heading1"/>
        <w:spacing w:after="160" w:before="360"/>
      </w:pPr>
      <w:r>
        <w:t xml:space="preserve">10. Current State, Limitations, and Future Work</w:t>
      </w:r>
    </w:p>
    <w:p>
      <w:pPr>
        <w:pStyle w:val="Heading2"/>
        <w:spacing w:after="120" w:before="280"/>
      </w:pPr>
      <w:r>
        <w:t xml:space="preserve">10.1 Validated Components</w:t>
      </w:r>
    </w:p>
    <w:p>
      <w:pPr>
        <w:pStyle w:val="ListParagraph"/>
        <w:numPr>
          <w:ilvl w:val="0"/>
          <w:numId w:val="2"/>
        </w:numPr>
        <w:spacing w:after="100" w:line="276"/>
      </w:pPr>
      <w:r>
        <w:rPr>
          <w:rFonts w:ascii="Calibri" w:cs="Calibri" w:eastAsia="Calibri" w:hAnsi="Calibri"/>
          <w:sz w:val="22"/>
          <w:szCs w:val="22"/>
        </w:rPr>
        <w:t xml:space="preserve">A 15-item, four-tier framework knowledge base, chunked for retrieval.</w:t>
      </w:r>
    </w:p>
    <w:p>
      <w:pPr>
        <w:pStyle w:val="ListParagraph"/>
        <w:numPr>
          <w:ilvl w:val="0"/>
          <w:numId w:val="2"/>
        </w:numPr>
        <w:spacing w:after="100" w:line="276"/>
      </w:pPr>
      <w:r>
        <w:rPr>
          <w:rFonts w:ascii="Calibri" w:cs="Calibri" w:eastAsia="Calibri" w:hAnsi="Calibri"/>
          <w:sz w:val="22"/>
          <w:szCs w:val="22"/>
        </w:rPr>
        <w:t xml:space="preserve">Five real, documented case packets with independently verifiable ground truth, and a verified, leak-free diagnostic input for each, enforced by a single shared filter across both the direct diagnostic path and RAG indexing (Sections 4.2, 7, 9).</w:t>
      </w:r>
    </w:p>
    <w:p>
      <w:pPr>
        <w:pStyle w:val="ListParagraph"/>
        <w:numPr>
          <w:ilvl w:val="0"/>
          <w:numId w:val="2"/>
        </w:numPr>
        <w:spacing w:after="100" w:line="276"/>
      </w:pPr>
      <w:r>
        <w:rPr>
          <w:rFonts w:ascii="Calibri" w:cs="Calibri" w:eastAsia="Calibri" w:hAnsi="Calibri"/>
          <w:sz w:val="22"/>
          <w:szCs w:val="22"/>
        </w:rPr>
        <w:t xml:space="preserve">A RAG pipeline with a documented three-way retrieval ablation and an empirically validated query-reformulation strategy.</w:t>
      </w:r>
    </w:p>
    <w:p>
      <w:pPr>
        <w:pStyle w:val="ListParagraph"/>
        <w:numPr>
          <w:ilvl w:val="0"/>
          <w:numId w:val="2"/>
        </w:numPr>
        <w:spacing w:after="100" w:line="276"/>
      </w:pPr>
      <w:r>
        <w:rPr>
          <w:rFonts w:ascii="Calibri" w:cs="Calibri" w:eastAsia="Calibri" w:hAnsi="Calibri"/>
          <w:sz w:val="22"/>
          <w:szCs w:val="22"/>
        </w:rPr>
        <w:t xml:space="preserve">A five-part pipeline (Researcher, Analyst, Auditor, a revision mechanism connecting them, and an Orchestrator that synthesises an approved diagnosis into a client-facing report, Section 6.6) with each stage individually validated against specific, evidenced failure modes, confirmed to operate correctly on blind input.</w:t>
      </w:r>
    </w:p>
    <w:p>
      <w:pPr>
        <w:pStyle w:val="ListParagraph"/>
        <w:numPr>
          <w:ilvl w:val="0"/>
          <w:numId w:val="2"/>
        </w:numPr>
        <w:spacing w:after="100" w:line="276"/>
      </w:pPr>
      <w:r>
        <w:rPr>
          <w:rFonts w:ascii="Calibri" w:cs="Calibri" w:eastAsia="Calibri" w:hAnsi="Calibri"/>
          <w:sz w:val="22"/>
          <w:szCs w:val="22"/>
        </w:rPr>
        <w:t xml:space="preserve">A structural, repeatable fidelity check for the Orchestrator's synthesis output (Section 6.7), calibrated across five revisions against both constructed fixtures and real synthesis output, including direct confirmation that its three components evaluate independently of one another following a structural correction.</w:t>
      </w:r>
    </w:p>
    <w:p>
      <w:pPr>
        <w:pStyle w:val="ListParagraph"/>
        <w:numPr>
          <w:ilvl w:val="0"/>
          <w:numId w:val="2"/>
        </w:numPr>
        <w:spacing w:after="100" w:line="276"/>
      </w:pPr>
      <w:r>
        <w:rPr>
          <w:rFonts w:ascii="Calibri" w:cs="Calibri" w:eastAsia="Calibri" w:hAnsi="Calibri"/>
          <w:sz w:val="22"/>
          <w:szCs w:val="22"/>
        </w:rPr>
        <w:t xml:space="preserve">A second, independent three-case Orchestrator validation run (Section 6.7), which replicated the original run's Southwest and Peloton outcomes and additionally exercised a case (Boeing) that reached a different final status than in the original run, giving direct empirical evidence for all three of the Orchestrator's possible outcomes across the two runs combined.</w:t>
      </w:r>
    </w:p>
    <w:p>
      <w:pPr>
        <w:pStyle w:val="ListParagraph"/>
        <w:numPr>
          <w:ilvl w:val="0"/>
          <w:numId w:val="2"/>
        </w:numPr>
        <w:spacing w:after="100" w:line="276"/>
      </w:pPr>
      <w:r>
        <w:rPr>
          <w:rFonts w:ascii="Calibri" w:cs="Calibri" w:eastAsia="Calibri" w:hAnsi="Calibri"/>
          <w:sz w:val="22"/>
          <w:szCs w:val="22"/>
        </w:rPr>
        <w:t xml:space="preserve">Check 3 (Unresolved-Cause Fabrication Scan), closing the gap identified in Section 8.10, refined across four wording rounds and confirmed at the same n=9, cross-domain scale as the Auditor's other checks (Section 8.11), including a dedicated true-positive test against real fabricated output and two constructed stress tests confirming the check's exemptions do not create an exploitable loophole.</w:t>
      </w:r>
    </w:p>
    <w:p>
      <w:pPr>
        <w:pStyle w:val="ListParagraph"/>
        <w:numPr>
          <w:ilvl w:val="0"/>
          <w:numId w:val="2"/>
        </w:numPr>
        <w:spacing w:after="100" w:line="276"/>
      </w:pPr>
      <w:r>
        <w:rPr>
          <w:rFonts w:ascii="Calibri" w:cs="Calibri" w:eastAsia="Calibri" w:hAnsi="Calibri"/>
          <w:sz w:val="22"/>
          <w:szCs w:val="22"/>
        </w:rPr>
        <w:t xml:space="preserve">Verdict-parsing logic (parse_verdict() and the fidelity check's three component checks) hardened against a demonstrated model behaviour — visibly self-correcting mid-response despite explicit instructions not to — and confirmed via a retroactive audit of all 103 files the project has produced that no historical result was affected before the fix (Section 8.11).</w:t>
      </w:r>
    </w:p>
    <w:p>
      <w:pPr>
        <w:pStyle w:val="ListParagraph"/>
        <w:numPr>
          <w:ilvl w:val="0"/>
          <w:numId w:val="2"/>
        </w:numPr>
        <w:spacing w:after="100" w:line="276"/>
      </w:pPr>
      <w:r>
        <w:rPr>
          <w:rFonts w:ascii="Calibri" w:cs="Calibri" w:eastAsia="Calibri" w:hAnsi="Calibri"/>
          <w:sz w:val="22"/>
          <w:szCs w:val="22"/>
        </w:rPr>
        <w:t xml:space="preserve">A controlled ablation study (Section 8) demonstrating that the audited process avoids a specific, decisively demonstrated fabrication failure mode that the identical unaudited model exhibits reliably under equivalent pressure, with direct confirmation (Section 8.6) that the Auditor correctly identifies the unaudited process's own real fabricated output as such, not only a hand-constructed test case.</w:t>
      </w:r>
    </w:p>
    <w:p>
      <w:pPr>
        <w:pStyle w:val="ListParagraph"/>
        <w:numPr>
          <w:ilvl w:val="0"/>
          <w:numId w:val="2"/>
        </w:numPr>
        <w:spacing w:after="100" w:line="276"/>
      </w:pPr>
      <w:r>
        <w:rPr>
          <w:rFonts w:ascii="Calibri" w:cs="Calibri" w:eastAsia="Calibri" w:hAnsi="Calibri"/>
          <w:sz w:val="22"/>
          <w:szCs w:val="22"/>
        </w:rPr>
        <w:t xml:space="preserve">The Intake agent, validated across two rounds (40 trials total, Section 6.8): zero fabricated numbers or promoted hedges against both varying data completeness and varying input quality, including weak grammar and Roman Urdu/English code-switching matching this project's actual target market.</w:t>
      </w:r>
    </w:p>
    <w:p>
      <w:pPr>
        <w:pStyle w:val="ListParagraph"/>
        <w:numPr>
          <w:ilvl w:val="0"/>
          <w:numId w:val="2"/>
        </w:numPr>
        <w:spacing w:after="100" w:line="276"/>
      </w:pPr>
      <w:r>
        <w:rPr>
          <w:rFonts w:ascii="Calibri" w:cs="Calibri" w:eastAsia="Calibri" w:hAnsi="Calibri"/>
          <w:sz w:val="22"/>
          <w:szCs w:val="22"/>
        </w:rPr>
        <w:t xml:space="preserve">A real-time, provenance-branded demonstration interface (Section 9.1) that reports genuine backend pipeline state rather than a simulated timer, and produces a downloadable report carrying its own verification status and origin.</w:t>
      </w:r>
    </w:p>
    <w:p>
      <w:pPr>
        <w:pStyle w:val="ListParagraph"/>
        <w:numPr>
          <w:ilvl w:val="0"/>
          <w:numId w:val="2"/>
        </w:numPr>
        <w:spacing w:after="100" w:line="276"/>
      </w:pPr>
      <w:r>
        <w:rPr>
          <w:rFonts w:ascii="Calibri" w:cs="Calibri" w:eastAsia="Calibri" w:hAnsi="Calibri"/>
          <w:sz w:val="22"/>
          <w:szCs w:val="22"/>
        </w:rPr>
        <w:t xml:space="preserve">A two-environment dependency architecture separating the pipeline's native Gemini provider from the MCP retrieval server's ChromaDB version, each with its own persist directory, resolving a native-binding schema conflict between the two (Section 9).</w:t>
      </w:r>
    </w:p>
    <w:p>
      <w:pPr>
        <w:pStyle w:val="Heading2"/>
        <w:spacing w:after="120" w:before="280"/>
      </w:pPr>
      <w:r>
        <w:t xml:space="preserve">10.2 Known Limitations</w:t>
      </w:r>
    </w:p>
    <w:p>
      <w:pPr>
        <w:pStyle w:val="ListParagraph"/>
        <w:numPr>
          <w:ilvl w:val="0"/>
          <w:numId w:val="2"/>
        </w:numPr>
        <w:spacing w:after="100" w:line="276"/>
      </w:pPr>
      <w:r>
        <w:rPr>
          <w:rFonts w:ascii="Calibri" w:cs="Calibri" w:eastAsia="Calibri" w:hAnsi="Calibri"/>
          <w:sz w:val="22"/>
          <w:szCs w:val="22"/>
        </w:rPr>
        <w:t xml:space="preserve">The Researcher's framework selection shows measurable run-to-run variance on identical case input; single-run results should not be treated as definitive.</w:t>
      </w:r>
    </w:p>
    <w:p>
      <w:pPr>
        <w:pStyle w:val="ListParagraph"/>
        <w:numPr>
          <w:ilvl w:val="0"/>
          <w:numId w:val="2"/>
        </w:numPr>
        <w:spacing w:after="100" w:line="276"/>
      </w:pPr>
      <w:r>
        <w:rPr>
          <w:rFonts w:ascii="Calibri" w:cs="Calibri" w:eastAsia="Calibri" w:hAnsi="Calibri"/>
          <w:sz w:val="22"/>
          <w:szCs w:val="22"/>
        </w:rPr>
        <w:t xml:space="preserve">The case corpus (n=5, following the addition described in Section 4.2) is sufficient to identify and characterise qualitative failure modes but remains too small to support statistical claims of performance.</w:t>
      </w:r>
    </w:p>
    <w:p>
      <w:pPr>
        <w:pStyle w:val="ListParagraph"/>
        <w:numPr>
          <w:ilvl w:val="0"/>
          <w:numId w:val="2"/>
        </w:numPr>
        <w:spacing w:after="100" w:line="276"/>
      </w:pPr>
      <w:r>
        <w:rPr>
          <w:rFonts w:ascii="Calibri" w:cs="Calibri" w:eastAsia="Calibri" w:hAnsi="Calibri"/>
          <w:sz w:val="22"/>
          <w:szCs w:val="22"/>
        </w:rPr>
        <w:t xml:space="preserve">The pretraining-memorisation confound described in Section 8.1 applies to any comparison based on matching documented ground truth for these three specific cases; it does not apply to the fabrication-based results in Sections 8.5-8.8, which are the project's strongest evidence.</w:t>
      </w:r>
    </w:p>
    <w:p>
      <w:pPr>
        <w:pStyle w:val="ListParagraph"/>
        <w:numPr>
          <w:ilvl w:val="0"/>
          <w:numId w:val="2"/>
        </w:numPr>
        <w:spacing w:after="100" w:line="276"/>
      </w:pPr>
      <w:r>
        <w:rPr>
          <w:rFonts w:ascii="Calibri" w:cs="Calibri" w:eastAsia="Calibri" w:hAnsi="Calibri"/>
          <w:sz w:val="22"/>
          <w:szCs w:val="22"/>
        </w:rPr>
        <w:t xml:space="preserve">The forced-ranking fabrication result has been confirmed across nine independent runs (Section 8.7); the exact 60/25/10/5 distribution originally reported recurs in four of nine runs, with two further distributions recurring across unrelated cases. It is the structural pattern, not the exact figures, that the evidence supports as stable.</w:t>
      </w:r>
    </w:p>
    <w:p>
      <w:pPr>
        <w:pStyle w:val="ListParagraph"/>
        <w:numPr>
          <w:ilvl w:val="0"/>
          <w:numId w:val="2"/>
        </w:numPr>
        <w:spacing w:after="100" w:line="276"/>
      </w:pPr>
      <w:r>
        <w:rPr>
          <w:rFonts w:ascii="Calibri" w:cs="Calibri" w:eastAsia="Calibri" w:hAnsi="Calibri"/>
          <w:sz w:val="22"/>
          <w:szCs w:val="22"/>
        </w:rPr>
        <w:t xml:space="preserve">The Auditor's demonstrated fabrication-catching capability (Sections 8.6, 8.8) is established for invented numbers and unsupported ordinal claims attached to causes that are present in the analysis, not for the completeness of the ranking itself. A controlled test (Section 8.9) confirmed directly, across three independent constructions, that an output omitting one cause from an otherwise-complete-looking ranking is not flagged for that omission by either existing check, regardless of whether the output happens to fail for an unrelated reason. Whether this should be addressed by a further check is identified as remaining work rather than assumed.</w:t>
      </w:r>
    </w:p>
    <w:p>
      <w:pPr>
        <w:pStyle w:val="ListParagraph"/>
        <w:numPr>
          <w:ilvl w:val="0"/>
          <w:numId w:val="2"/>
        </w:numPr>
        <w:spacing w:after="100" w:line="276"/>
      </w:pPr>
      <w:r>
        <w:rPr>
          <w:rFonts w:ascii="Calibri" w:cs="Calibri" w:eastAsia="Calibri" w:hAnsi="Calibri"/>
          <w:sz w:val="22"/>
          <w:szCs w:val="22"/>
        </w:rPr>
        <w:t xml:space="preserve">The omission-blindness gap above was subsequently observed twice more in real, non-constructed output: two of the six forced-ranking runs on PIA (Section 8.14) state the case's external trigger clearly in prose and then omit it from the Pareto ranking table entirely, with the Auditor's Check 2 reasoning addressing only the fabricated percentages and not the omission — the same shape of finding Section 8.8 reported once, now reproduced independently on a case domain unrelated to the original corpus.</w:t>
      </w:r>
    </w:p>
    <w:p>
      <w:pPr>
        <w:pStyle w:val="ListParagraph"/>
        <w:numPr>
          <w:ilvl w:val="0"/>
          <w:numId w:val="2"/>
        </w:numPr>
        <w:spacing w:after="100" w:line="276"/>
      </w:pPr>
      <w:r>
        <w:rPr>
          <w:rFonts w:ascii="Calibri" w:cs="Calibri" w:eastAsia="Calibri" w:hAnsi="Calibri"/>
          <w:sz w:val="22"/>
          <w:szCs w:val="22"/>
        </w:rPr>
        <w:t xml:space="preserve">The fidelity check (Section 6.7) was validated at a considerably smaller scale (n=3 to n=5 per fixture) than the Auditor's checks (n=9, Section 8.7) until a subsequent n=9 re-validation (Section 6.9): six of seven fixture/check combinations held perfectly at the larger scale, but Check C's ability to catch dropped scope qualifiers on the real Peloton report fell from a previously-reported 3/3 at n=3 to 1/9 at n=9 — a major, currently unexplained reliability gap between a minimal synthetic fixture (where Check C holds at 9/9) and a real, denser report carrying the same failure category, later refined in Section 8.20 to two confirmed violations rather than four, with three distinct failure mechanisms identified behind the misses. Separately, the fidelity check's calibration history includes two confirmed instances of one check's wording affecting another's judgement before the checks were architecturally isolated — a failure mode not yet ruled out for the Auditor's own checks, which have always shared a single prompt in the same way — now three checks rather than two, following Check 3's addition (Section 8.11). Whether Check 1, Check 2, and Check 3 are similarly independent of one another has not been directly tested.</w:t>
      </w:r>
    </w:p>
    <w:p>
      <w:pPr>
        <w:pStyle w:val="ListParagraph"/>
        <w:numPr>
          <w:ilvl w:val="0"/>
          <w:numId w:val="2"/>
        </w:numPr>
        <w:spacing w:after="100" w:line="276"/>
      </w:pPr>
      <w:r>
        <w:rPr>
          <w:rFonts w:ascii="Calibri" w:cs="Calibri" w:eastAsia="Calibri" w:hAnsi="Calibri"/>
          <w:sz w:val="22"/>
          <w:szCs w:val="22"/>
        </w:rPr>
        <w:t xml:space="preserve">Check 1's externality test has been validated on four cases with a clear external trigger — Southwest and Peloton (Section 8.7), and PIA and Airlift (Section 8.14) — passing cleanly on all four; a fifth case (Boeing), whose only trigger candidate is a specific technical malfunction closely tied to the diagnosed design flaw, was resolved across three controlled n=9 rounds (Section 8.19) rather than left open. The result is not a fixed rejection rate but a specific mechanism: Part B correctly rejects the malfunction as internal when the diagnosis's root cause states the company's motive for the underlying design decision (five of eight trials), but accepts it as external when the same decision is stated without a motive, reproduced independently across two further nine-trial rounds (eighteen of eighteen). This is a textual-cue dependency of the same shape already characterised for Ohio Warehouse (Sections 8.15, 8.17, 8.18), now demonstrated on the real case that first raised the question.</w:t>
      </w:r>
    </w:p>
    <w:p>
      <w:pPr>
        <w:pStyle w:val="ListParagraph"/>
        <w:numPr>
          <w:ilvl w:val="0"/>
          <w:numId w:val="2"/>
        </w:numPr>
        <w:spacing w:after="100" w:line="276"/>
      </w:pPr>
      <w:r>
        <w:rPr>
          <w:rFonts w:ascii="Calibri" w:cs="Calibri" w:eastAsia="Calibri" w:hAnsi="Calibri"/>
          <w:sz w:val="22"/>
          <w:szCs w:val="22"/>
        </w:rPr>
        <w:t xml:space="preserve">A second, structurally distinct gap in the Auditor's coverage, alongside the ranking-completeness gap above: Check 1 evaluates whether a trigger is correctly categorised as external, not whether the content filling the root-cause slot is itself grounded in the input. A controlled test (Section 8.10) confirmed this directly across three fixtures and twenty-seven independent trials: two of the three fixtures fabricated a specific, unsupported technical mechanism in the clear majority of trials when the input explicitly stated the true cause was unknown, and this went uncaught regardless of whether the surrounding diagnosis passed or failed audit. This gap has since been closed by a validated fix (Section 8.11); it is retained here as the finding that motivated that fix, not as an open limitation.</w:t>
      </w:r>
    </w:p>
    <w:p>
      <w:pPr>
        <w:pStyle w:val="ListParagraph"/>
        <w:numPr>
          <w:ilvl w:val="0"/>
          <w:numId w:val="2"/>
        </w:numPr>
        <w:spacing w:after="100" w:line="276"/>
      </w:pPr>
      <w:r>
        <w:rPr>
          <w:rFonts w:ascii="Calibri" w:cs="Calibri" w:eastAsia="Calibri" w:hAnsi="Calibri"/>
          <w:sz w:val="22"/>
          <w:szCs w:val="22"/>
        </w:rPr>
        <w:t xml:space="preserve">Whether a diagnosis that fails Check 1 on its first attempt goes on to pass on revision is itself variable: the same case (Boeing), run independently on two separate occasions under an identical architecture, failed audit on both attempts in one run and passed on revision in the other (Section 6.7). This is reported as evidence of real variance in the revision path's outcome, not a defect in either run.</w:t>
      </w:r>
    </w:p>
    <w:p>
      <w:pPr>
        <w:pStyle w:val="ListParagraph"/>
        <w:numPr>
          <w:ilvl w:val="0"/>
          <w:numId w:val="2"/>
        </w:numPr>
        <w:spacing w:after="100" w:line="276"/>
      </w:pPr>
      <w:r>
        <w:rPr>
          <w:rFonts w:ascii="Calibri" w:cs="Calibri" w:eastAsia="Calibri" w:hAnsi="Calibri"/>
          <w:sz w:val="22"/>
          <w:szCs w:val="22"/>
        </w:rPr>
        <w:t xml:space="preserve">The Peloton case's input Background section — part of the diagnostic material the agents actually receive, confirmed directly against case_loader.py's section-splitting logic rather than assumed from header names — states that the Tread+ treadmill “was recalled after safety incidents involving children,” compounding the inventory crisis. This fact never appears in any diagnosis or report produced across either Orchestrator run (Section 6.7), despite being available input rather than withheld reference material, and despite the case's own ground-truth summary expecting a complete answer to name it as a compounding factor distinct from the root cause. This is a real, unconstructed instance of the completeness gap identified under controlled conditions in Sections 8.8–8.10 — a genuine input fact absent from an otherwise well-supported diagnosis, uncaught by any existing check — rather than a hypothetical one, though reported here as one corroborating case, not an independently established pattern.</w:t>
      </w:r>
    </w:p>
    <w:p>
      <w:pPr>
        <w:pStyle w:val="ListParagraph"/>
        <w:numPr>
          <w:ilvl w:val="0"/>
          <w:numId w:val="2"/>
        </w:numPr>
        <w:spacing w:after="100" w:line="276"/>
      </w:pPr>
      <w:r>
        <w:rPr>
          <w:rFonts w:ascii="Calibri" w:cs="Calibri" w:eastAsia="Calibri" w:hAnsi="Calibri"/>
          <w:sz w:val="22"/>
          <w:szCs w:val="22"/>
        </w:rPr>
        <w:t xml:space="preserve">Check 1 Part B's ability to reject an internal decision relabelled as an external trigger has now been characterised on one synthetic fixture across nine total attempts, correctly rejecting it in eight (Section 8.13) — below the controlled, single-hypothesis nine-trial standard held elsewhere in this document when read as one round, and with one miss whose cause remains unidentified rather than attributed to a confirmed pattern.</w:t>
      </w:r>
    </w:p>
    <w:p>
      <w:pPr>
        <w:pStyle w:val="ListParagraph"/>
        <w:numPr>
          <w:ilvl w:val="0"/>
          <w:numId w:val="2"/>
        </w:numPr>
        <w:spacing w:after="100" w:line="276"/>
      </w:pPr>
      <w:r>
        <w:rPr>
          <w:rFonts w:ascii="Calibri" w:cs="Calibri" w:eastAsia="Calibri" w:hAnsi="Calibri"/>
          <w:sz w:val="22"/>
          <w:szCs w:val="22"/>
        </w:rPr>
        <w:t xml:space="preserve">The backend's job store is in-memory only, explicitly scoped to a single demo session; a server restart or a closed browser tab currently loses any diagnosis that was not separately downloaded as a PDF. This is a limitation of the demonstration layer, not the core pipeline, and is scoped as remaining work below.</w:t>
      </w:r>
    </w:p>
    <w:p>
      <w:pPr>
        <w:pStyle w:val="ListParagraph"/>
        <w:numPr>
          <w:ilvl w:val="0"/>
          <w:numId w:val="2"/>
        </w:numPr>
        <w:spacing w:after="100" w:line="276"/>
      </w:pPr>
      <w:r>
        <w:rPr>
          <w:rFonts w:ascii="Calibri" w:cs="Calibri" w:eastAsia="Calibri" w:hAnsi="Calibri"/>
          <w:sz w:val="22"/>
          <w:szCs w:val="22"/>
        </w:rPr>
        <w:t xml:space="preserve">Intake's vague-quantifier-promotion risk, observed once in 25 trials, was fixed by a wording change and confirmed absent (0 of 25) across two further independent validation rounds (Section 6.8). This finding is closed.</w:t>
      </w:r>
    </w:p>
    <w:p>
      <w:pPr>
        <w:pStyle w:val="ListParagraph"/>
        <w:numPr>
          <w:ilvl w:val="0"/>
          <w:numId w:val="2"/>
        </w:numPr>
        <w:spacing w:after="100" w:line="276"/>
      </w:pPr>
      <w:r>
        <w:rPr>
          <w:rFonts w:ascii="Calibri" w:cs="Calibri" w:eastAsia="Calibri" w:hAnsi="Calibri"/>
          <w:sz w:val="22"/>
          <w:szCs w:val="22"/>
        </w:rPr>
        <w:t xml:space="preserve">A second Intake pattern proved resistant to wording fixes specifically: an unstated causal link asserted between facts the input only lists separately, concentrated entirely in one fixture at a stable 4 of 5 trials across two independent, increasingly specific wording-fix attempts, including one that quoted the model's own exact failing sentence back to it as a worked example (Section 6.8). This is reported as a genuine plateau, not an unresolved wording gap, and is mitigated today by the existing human-review checkpoint before a diagnosis runs.</w:t>
      </w:r>
    </w:p>
    <w:p>
      <w:pPr>
        <w:pStyle w:val="ListParagraph"/>
        <w:numPr>
          <w:ilvl w:val="0"/>
          <w:numId w:val="2"/>
        </w:numPr>
        <w:spacing w:after="100" w:line="276"/>
      </w:pPr>
      <w:r>
        <w:rPr>
          <w:rFonts w:ascii="Calibri" w:cs="Calibri" w:eastAsia="Calibri" w:hAnsi="Calibri"/>
          <w:sz w:val="22"/>
          <w:szCs w:val="22"/>
        </w:rPr>
        <w:t xml:space="preserve">Check 1 Part B's rejection of a mislabelled internal trigger is framing-dependent rather than uniformly robust (Section 8.15): a controlled round of nine fresh, independently-worded framings on the Ohio Warehouse fixture found four of nine correctly rejected, with the five passes sharing a specific mechanism — the check's own reasoning substituted the presence of explicit decision language for genuine control, letting a vendor-attributed, symptom-framed, bare-dated, “objective”-registered, or hedged-uncertainty trigger through where the same underlying internal action would be rejected if named directly. Framings that kept an internal actor, action, or transition nameable within the trigger sentence itself were rejected in all four cases tested. A wording fix targeting this exact mechanism was subsequently attempted and made the problem worse, not better — two of sixteen pooled trials correct against the four-of-nine baseline — and was reverted (Section 8.17); a longer, more explicit instruction is not reported as a viable path to closing this gap. A second, structural attempt — requiring the Auditor to name the trigger's controlling actor before deciding a verdict — was then tried and also made the problem worse (two of nine, Section 8.18): the actor was correctly identified as internal in every miss, but the verdict did not follow from that answer, applying an unrelated distinctness test instead; this was also reverted, and the limitation is now reported as resistant to two independent prompt-level approaches.</w:t>
      </w:r>
    </w:p>
    <w:p>
      <w:pPr>
        <w:pStyle w:val="Heading2"/>
        <w:spacing w:after="120" w:before="280"/>
      </w:pPr>
      <w:r>
        <w:t xml:space="preserve">10.3 Remaining Work</w:t>
      </w:r>
    </w:p>
    <w:p>
      <w:pPr>
        <w:pStyle w:val="ListParagraph"/>
        <w:numPr>
          <w:ilvl w:val="0"/>
          <w:numId w:val="2"/>
        </w:numPr>
        <w:spacing w:after="100" w:line="276"/>
      </w:pPr>
      <w:r>
        <w:rPr>
          <w:rFonts w:ascii="Calibri" w:cs="Calibri" w:eastAsia="Calibri" w:hAnsi="Calibri"/>
          <w:sz w:val="22"/>
          <w:szCs w:val="22"/>
        </w:rPr>
        <w:t xml:space="preserve">Design and validation of a ranking-completeness check (a candidate fourth check, following Check 3’s addition in Section 8.11), following the same empirical refinement process used for Check 2 in Section 6.4 and Check 3 in Section 8.11, if closing the gap confirmed in Section 8.9 is judged worth the added complexity — this is a scoping decision, not a correction to Check 2, which was confirmed to behave as designed for the claims it evaluates.</w:t>
      </w:r>
    </w:p>
    <w:p>
      <w:pPr>
        <w:pStyle w:val="ListParagraph"/>
        <w:numPr>
          <w:ilvl w:val="0"/>
          <w:numId w:val="2"/>
        </w:numPr>
        <w:spacing w:after="100" w:line="276"/>
      </w:pPr>
      <w:r>
        <w:rPr>
          <w:rFonts w:ascii="Calibri" w:cs="Calibri" w:eastAsia="Calibri" w:hAnsi="Calibri"/>
          <w:sz w:val="22"/>
          <w:szCs w:val="22"/>
        </w:rPr>
        <w:t xml:space="preserve">A fix to Check C addressing the three failure mechanisms identified in Section 8.20 (hallucinated confirmation quotes, explicit-but-wrong equivalence judgments, and incomplete qualifier coverage), together with a further controlled test isolating which mechanism dominates — now that the reliability gap first found in Section 6.9 has a concrete, evidenced explanation rather than an open mystery; model-behaviour drift is no longer the leading hypothesis.</w:t>
      </w:r>
    </w:p>
    <w:p>
      <w:pPr>
        <w:pStyle w:val="ListParagraph"/>
        <w:numPr>
          <w:ilvl w:val="0"/>
          <w:numId w:val="2"/>
        </w:numPr>
        <w:spacing w:after="100" w:line="276"/>
      </w:pPr>
      <w:r>
        <w:rPr>
          <w:rFonts w:ascii="Calibri" w:cs="Calibri" w:eastAsia="Calibri" w:hAnsi="Calibri"/>
          <w:sz w:val="22"/>
          <w:szCs w:val="22"/>
        </w:rPr>
        <w:t xml:space="preserve">A direct test of whether the Auditor's own Check 1, Check 2, and Check 3 exhibit the same cross-check dependency confirmed for the fidelity check's checks prior to their architectural isolation (Section 6.7), since all three have always shared a single prompt in the same way the fidelity check's did before its Section 6.7 rewrite.</w:t>
      </w:r>
    </w:p>
    <w:p>
      <w:pPr>
        <w:pStyle w:val="ListParagraph"/>
        <w:numPr>
          <w:ilvl w:val="0"/>
          <w:numId w:val="2"/>
        </w:numPr>
        <w:spacing w:after="100" w:line="276"/>
      </w:pPr>
      <w:r>
        <w:rPr>
          <w:rFonts w:ascii="Calibri" w:cs="Calibri" w:eastAsia="Calibri" w:hAnsi="Calibri"/>
          <w:sz w:val="22"/>
          <w:szCs w:val="22"/>
        </w:rPr>
        <w:t xml:space="preserve">Further expansion of the case corpus beyond its current five cases (Section 4.2), which would both continue to broaden the evidence base and, if less-documented events were selected, help address the pretraining-memorisation confound directly.</w:t>
      </w:r>
    </w:p>
    <w:p>
      <w:pPr>
        <w:pStyle w:val="ListParagraph"/>
        <w:numPr>
          <w:ilvl w:val="0"/>
          <w:numId w:val="2"/>
        </w:numPr>
        <w:spacing w:after="100" w:line="276"/>
      </w:pPr>
      <w:r>
        <w:rPr>
          <w:rFonts w:ascii="Calibri" w:cs="Calibri" w:eastAsia="Calibri" w:hAnsi="Calibri"/>
          <w:sz w:val="22"/>
          <w:szCs w:val="22"/>
        </w:rPr>
        <w:t xml:space="preserve">A formal, quantitative evaluation harness (e.g. RAGAS) to complement the manual review process used throughout this document.</w:t>
      </w:r>
    </w:p>
    <w:p>
      <w:pPr>
        <w:pStyle w:val="ListParagraph"/>
        <w:numPr>
          <w:ilvl w:val="0"/>
          <w:numId w:val="2"/>
        </w:numPr>
        <w:spacing w:after="100" w:line="276"/>
      </w:pPr>
      <w:r>
        <w:rPr>
          <w:rFonts w:ascii="Calibri" w:cs="Calibri" w:eastAsia="Calibri" w:hAnsi="Calibri"/>
          <w:sz w:val="22"/>
          <w:szCs w:val="22"/>
        </w:rPr>
        <w:t xml:space="preserve">Decomposing which specific component of the pipeline (retrieval, task instructions, or the Auditor specifically) is responsible for the effect documented in Section 8, via a more granular ablation.</w:t>
      </w:r>
    </w:p>
    <w:p>
      <w:pPr>
        <w:pStyle w:val="ListParagraph"/>
        <w:numPr>
          <w:ilvl w:val="0"/>
          <w:numId w:val="2"/>
        </w:numPr>
        <w:spacing w:after="100" w:line="276"/>
      </w:pPr>
      <w:r>
        <w:rPr>
          <w:rFonts w:ascii="Calibri" w:cs="Calibri" w:eastAsia="Calibri" w:hAnsi="Calibri"/>
          <w:sz w:val="22"/>
          <w:szCs w:val="22"/>
        </w:rPr>
        <w:t xml:space="preserve">A code-enforced, rather than model-judged, resolution of Check 1 Part B's framing-dependence: two prompt-level attempts — a wording-only fix (Section 8.17) and a structured intermediate field requiring the Auditor to name the trigger's controlling actor before its verdict (Section 8.18) — have both made the target result worse than the original wording, including breaking previously-reliable framings. The actor-naming step itself worked correctly in the second attempt; only the verdict's dependence on it did not hold. The remaining path is moving that classification out of the model's free-form judgment and into deterministic code that parses the stated actor and assigns the verdict directly, rather than asking the model to apply the dependency itself.</w:t>
      </w:r>
    </w:p>
    <w:p>
      <w:pPr>
        <w:pStyle w:val="ListParagraph"/>
        <w:numPr>
          <w:ilvl w:val="0"/>
          <w:numId w:val="2"/>
        </w:numPr>
        <w:spacing w:after="100" w:line="276"/>
      </w:pPr>
      <w:r>
        <w:rPr>
          <w:rFonts w:ascii="Calibri" w:cs="Calibri" w:eastAsia="Calibri" w:hAnsi="Calibri"/>
          <w:sz w:val="22"/>
          <w:szCs w:val="22"/>
        </w:rPr>
        <w:t xml:space="preserve">Backend report persistence: replacing the in-memory job store (Section 10.2) with a durable, restart-surviving store, so a diagnosis is not lost unless explicitly discarded.</w:t>
      </w:r>
    </w:p>
    <w:p>
      <w:pPr>
        <w:pStyle w:val="ListParagraph"/>
        <w:numPr>
          <w:ilvl w:val="0"/>
          <w:numId w:val="2"/>
        </w:numPr>
        <w:spacing w:after="100" w:line="276"/>
      </w:pPr>
      <w:r>
        <w:rPr>
          <w:rFonts w:ascii="Calibri" w:cs="Calibri" w:eastAsia="Calibri" w:hAnsi="Calibri"/>
          <w:sz w:val="22"/>
          <w:szCs w:val="22"/>
        </w:rPr>
        <w:t xml:space="preserve">Urdu-language support at the Intake layer, given the Pakistani market this project targets for eventual real-world use; retrieval and downstream parsing are not language-specific to the input and are not expected to require changes.</w:t>
      </w:r>
    </w:p>
    <w:p>
      <w:pPr>
        <w:pStyle w:val="ListParagraph"/>
        <w:numPr>
          <w:ilvl w:val="0"/>
          <w:numId w:val="2"/>
        </w:numPr>
        <w:spacing w:after="100" w:line="276"/>
      </w:pPr>
      <w:r>
        <w:rPr>
          <w:rFonts w:ascii="Calibri" w:cs="Calibri" w:eastAsia="Calibri" w:hAnsi="Calibri"/>
          <w:sz w:val="22"/>
          <w:szCs w:val="22"/>
        </w:rPr>
        <w:t xml:space="preserve">A structural fix for Intake's remaining causal-link finding (Section 6.8), since two rounds of wording fixes plateaued at an identical rate: e.g. requiring Background as separate listed facts rather than connected prose, removing the surface opportunity for an unstated causal connector to appear at all, rather than a third wording-only attempt.</w:t>
      </w:r>
    </w:p>
    <w:p>
      <w:pPr>
        <w:pStyle w:val="Heading1"/>
        <w:spacing w:after="160" w:before="360"/>
      </w:pPr>
      <w:r>
        <w:t xml:space="preserve">11. Conclusion</w:t>
      </w:r>
    </w:p>
    <w:p>
      <w:pPr>
        <w:spacing w:after="200" w:line="276"/>
      </w:pPr>
      <w:r>
        <w:rPr>
          <w:rFonts w:ascii="Calibri" w:cs="Calibri" w:eastAsia="Calibri" w:hAnsi="Calibri"/>
          <w:sz w:val="22"/>
          <w:szCs w:val="22"/>
        </w:rPr>
        <w:t xml:space="preserve">The system's development produced four categories of result, not three. The first is the system itself: a pipeline of six components — Researcher, Analyst, Auditor, a revision mechanism connecting them, an Orchestrator that synthesises an approved diagnosis into a client-facing report, and a fidelity check that independently verifies that report against its source diagnosis (Section 6.7) — grounded in a knowledge base and case corpus constructed specifically to expose shallow analysis, and validated at each stage against concrete, evidenced failure modes. The second is a set of findings that emerged through the process of building and debugging that system rather than from its initial design: the retrieval ablation in Section 5, the Auditor's iterative refinement in Section 6, and the data-integrity correction in Section 7, all presented here as substantive contributions rather than incidental development history.</w:t>
      </w:r>
    </w:p>
    <w:p>
      <w:pPr>
        <w:spacing w:after="200" w:line="276"/>
      </w:pPr>
      <w:r>
        <w:rPr>
          <w:rFonts w:ascii="Calibri" w:cs="Calibri" w:eastAsia="Calibri" w:hAnsi="Calibri"/>
          <w:sz w:val="22"/>
          <w:szCs w:val="22"/>
        </w:rPr>
        <w:t xml:space="preserve">The third, and most direct answer to the question the project set out to answer, is the controlled comparison in Section 8: with the underlying model held constant, an unscaffolded process fabricates a confident, precisely formatted, and entirely unfounded numerical claim under realistic pressure, reliably across nine independent trials on every case tested, while the audited process does not — and the Auditor, presented with the unscaffolded process's own real output, correctly identifies the fabrication as such in every instance. That result was not assumed; it was specifically designed to be falsifiable, obtained only after an initial comparison came back inconclusive, and it held completely. Taken together, these results support the project's central architectural claim on stronger grounds than the system's design alone could provide: that translating a concrete business scenario into an applicable diagnostic framework — and knowing the difference between analysis and confident invention — is not a capability guaranteed by a capable underlying model, but one that specific, evidenced scaffolding measurably adds. The one exception surfaced by this scaling — that the Auditor's checks evaluate whether a claim is supported, not whether a ranking is complete — was subsequently isolated and confirmed directly under controlled conditions (Section 8.9), rather than left as an inference from a single case, and a second, structurally distinct exception — that the same checks evaluate how a claim is categorised, not whether its content is grounded in the input — was isolated and confirmed the same way, across three domains outside the original case corpus (Section 8.10). The second of these was then closed directly: a third check, refined across four rounds against precisely characterised failures and confirmed at the same scale as the audit's other checks, closes the gap rather than leaving it as an open limitation (Section 8.11); the first remains documented as future work rather than assumed resolved by the same process. Both the finding and its resolution are reported here for the same reason the rest of this document reports negative and inconclusive results: an honestly bounded claim is more defensible, and more useful to the next stage of this work, than an unqualified one.</w:t>
      </w:r>
    </w:p>
    <w:p>
      <w:pPr>
        <w:spacing w:after="200" w:line="276"/>
      </w:pPr>
      <w:r>
        <w:rPr>
          <w:rFonts w:ascii="Calibri" w:cs="Calibri" w:eastAsia="Calibri" w:hAnsi="Calibri"/>
          <w:sz w:val="22"/>
          <w:szCs w:val="22"/>
        </w:rPr>
        <w:t xml:space="preserve">The fourth is a lesson that emerged specifically from validating the fidelity check described in Section 6.7: that two components sharing a single prompt are not necessarily independent merely because they are labelled separately within it. Two unrelated wording revisions, each aimed at a different one of the check's three components, each caused an unrelated third component to silently regress — a defect invisible to any validation process that re-tests only the component being edited. This was resolved by architectural isolation rather than a further wording correction, and the same open question is now recorded, rather than assumed resolved, for the Auditor's own checks — now three, following Check 3's addition in Section 8.11 — which have shared a single prompt throughout this document without having been tested for the same dependency.</w:t>
      </w:r>
    </w:p>
    <w:p>
      <w:pPr>
        <w:spacing w:after="200" w:line="276"/>
      </w:pPr>
      <w:r>
        <w:rPr>
          <w:rFonts w:ascii="Calibri" w:cs="Calibri" w:eastAsia="Calibri" w:hAnsi="Calibri"/>
          <w:sz w:val="22"/>
          <w:szCs w:val="22"/>
        </w:rPr>
        <w:t xml:space="preserve">Since this validation was completed, the corpus was extended with two real cases from Pakistan — the market this project is ultimately intended to serve — and the system was given a working demonstration interface that reports genuine backend state in real time and produces a downloadable, provenance-branded report, described respectively in Sections 4.2 and 9. Neither extension changes the architectural claim documented above; both are reported for the same reason as the rest of this document's process history: an accurate account of what has and has not yet been done is more useful to the project's next stage than a static description of where it started.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2026-07-24T09:29:45.251Z</dcterms:created>
  <dcterms:modified xsi:type="dcterms:W3CDTF">2026-07-24T09:29:45.267Z</dcterms:modified>
</cp:coreProperties>
</file>

<file path=docProps/custom.xml><?xml version="1.0" encoding="utf-8"?>
<Properties xmlns="http://schemas.openxmlformats.org/officeDocument/2006/custom-properties" xmlns:vt="http://schemas.openxmlformats.org/officeDocument/2006/docPropsVTypes"/>
</file>