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A further, smaller-scale test characterised the Auditor's Check 1 at rejecting an internal decision relabelled as an external trigger, correctly rejecting it in eight of nine attempts against a dedicated synthetic fixture across two separate rounds of testing, with the one miss not yet explained by any identified factor.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8.13,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is reported at exactly the scale it was run: three trials per case, not the nine used to characterise the original corpus, and is offered as corroborating evidence on two new, real cases rather than as an independent replication at the same statistical weight as Section 8.7. Running the same nine-trial protocol on PIA and Airlift is identified as remaining work in Section 10.3.</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further round of Check 1 Part B trials on the Ohio Warehouse fixture (Section 8.13), extending the existing nine attempts with a fresh set of independently-worded framings, to determine whether the one miss reflects a genuine, if infrequent, failure mode or an artefact of a single trial.</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Extending the forced-ranking trials on PIA and Airlift (Section 8.14) from three per case to nine, matching the scale used to characterise the original three cases (Section 8.7), before treating the four-case Check 1 validation or the repeated omission-blindness observation as more than directional.</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