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The forced-ranking fabrication result and the Auditor's detection of it were subsequently extended to both new cases at the same n=9 scale used for the original three, reaching a clean 9 of 9 fabricated and 9 of 9 caught for each, and surfacing a domain-dependent refinement of the omission-blindness finding (Section 8.16): a discrete trigger event was omitted from the ranking in most trials, while a diffuse macroeconomic trigger retained its own line in nearly all of them.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A separate re-validation of the Orchestrator's fidelity check at this same n=9 scale found six of its seven fixture/check combinations replicating perfectly, but overturned a previously-reported clean result on the seventh: Check C's scope-qualifier check, which an earlier n=3 round had found catching a real report's dropped qualifiers in all three trials, caught them in only one of nine at this larger scale.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6.9, 8.13, 8.15, 8.16,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2"/>
        <w:spacing w:after="120" w:before="280"/>
      </w:pPr>
      <w:r>
        <w:t xml:space="preserve">6.9 Fidelity Check n=9 Re-Validation: A Major Reversal on the Real Peloton Fixture</w:t>
      </w:r>
    </w:p>
    <w:p>
      <w:pPr>
        <w:spacing w:after="200" w:line="276"/>
      </w:pPr>
      <w:r>
        <w:rPr>
          <w:rFonts w:ascii="Calibri" w:cs="Calibri" w:eastAsia="Calibri" w:hAnsi="Calibri"/>
          <w:sz w:val="22"/>
          <w:szCs w:val="22"/>
        </w:rPr>
        <w:t xml:space="preserve">Section 6.7's fidelity check has only ever been validated at n=3 to n=5 per fixture, and its own module docstring, after the Section 6.7 architectural rewrite to three isolated checks, states plainly that the isolated form “needs its own verification pass, same standard as every prior revision.” That pass had also only ever covered 2 of the fidelity check's 5 established fixtures. This section reports a single controlled batch closing both gaps: all 5 fixtures, unchanged, re-run at n=9, calling only the check(s) each fixture targets — except the real Peloton diagnosis and report, which gets all three checks since it is the project's one non-synthetic, multi-cause fixture.</w:t>
      </w:r>
    </w:p>
    <w:p>
      <w:pPr>
        <w:spacing w:after="200" w:line="276"/>
      </w:pPr>
      <w:r>
        <w:rPr>
          <w:rFonts w:ascii="Calibri" w:cs="Calibri" w:eastAsia="Calibri" w:hAnsi="Calibri"/>
          <w:sz w:val="22"/>
          <w:szCs w:val="22"/>
        </w:rPr>
        <w:t xml:space="preserve">Six of the seven fixture/check combinations replicated perfectly: paraphrase_only against Check A, parenthetical_dropped and category_renamed against Check B, qualifier_dropped against Check C, and the real Peloton pair against both Check A and Check B all returned the expected verdict in all 9 trials — 54 of 54 individual results correct, the largest clean batch this project has run against the fidelity check.</w:t>
      </w:r>
    </w:p>
    <w:p>
      <w:pPr>
        <w:spacing w:after="200" w:line="276"/>
      </w:pPr>
      <w:r>
        <w:rPr>
          <w:rFonts w:ascii="Calibri" w:cs="Calibri" w:eastAsia="Calibri" w:hAnsi="Calibri"/>
          <w:sz w:val="22"/>
          <w:szCs w:val="22"/>
        </w:rPr>
        <w:t xml:space="preserve">The seventh combination overturns a previously-reported result rather than merely extending it. Section 6.7's architectural fix (the isolated Check A/B/C rewrite) was verified at the time by re-running the real Peloton diagnosis and report at n=3, and Check C correctly caught the report's dropped qualifiers in all three trials — called, at the time, “the cleanest result across all five fidelity-check revisions to date.” Run again at n=9, against the identical fixture pair and unchanged Check C wording, it caught the same violation in only one of nine trials. The other eight all returned “Instances found: None found,” several explicitly asserting that specific compositional qualifiers were preserved when the report text demonstrably drops them.</w:t>
      </w:r>
    </w:p>
    <w:p>
      <w:pPr>
        <w:spacing w:after="200" w:line="276"/>
      </w:pPr>
      <w:r>
        <w:rPr>
          <w:rFonts w:ascii="Calibri" w:cs="Calibri" w:eastAsia="Calibri" w:hAnsi="Calibri"/>
          <w:sz w:val="22"/>
          <w:szCs w:val="22"/>
        </w:rPr>
        <w:t xml:space="preserve">The one correct catch is, if anything, a stronger result than anything previously documented for this fixture: it names four distinct dropped qualifiers rather than the two found in the original graduation run — the “storage, insurance, obsolescence” composition dropped from the carrying-cost figure, the “(Precor + Factory)” composition dropped from the $800M figure, the “into expansion” scope dropped from the 55%-of-capital-invested figure, and the “80% Decline” qualifier dropped from the $40B shareholder-value figure. This confirms the violations are real and detectable in principle; Check C simply failed to detect them in 8 of 9 independent attempts against the same input.</w:t>
      </w:r>
    </w:p>
    <w:p>
      <w:pPr>
        <w:spacing w:after="200" w:line="276"/>
      </w:pPr>
      <w:r>
        <w:rPr>
          <w:rFonts w:ascii="Calibri" w:cs="Calibri" w:eastAsia="Calibri" w:hAnsi="Calibri"/>
          <w:sz w:val="22"/>
          <w:szCs w:val="22"/>
        </w:rPr>
        <w:t xml:space="preserve">By contrast, qualifier_dropped — a synthetic fixture built to isolate exactly one clean qualifier drop inside an otherwise short, single-paragraph-derived report — caught its violation in all 9 trials, at the same scale, under the same unchanged check wording, in the same batch. Both fixtures test the identical failure category; their reliability is opposite. The leading, unconfirmed hypothesis is that Check C's near-perfect performance on a minimal single-variable synthetic fixture does not generalise to a real, denser report carrying several simultaneous violations among many correctly-preserved figures — a generalisation question distinct from, and untouched by, any of Section 6.7's five wording-calibration rounds, all of which were validated primarily against synthetic single-variable fixtures.</w:t>
      </w:r>
    </w:p>
    <w:p>
      <w:pPr>
        <w:spacing w:after="200" w:line="276"/>
      </w:pPr>
      <w:r>
        <w:rPr>
          <w:rFonts w:ascii="Calibri" w:cs="Calibri" w:eastAsia="Calibri" w:hAnsi="Calibri"/>
          <w:sz w:val="22"/>
          <w:szCs w:val="22"/>
        </w:rPr>
        <w:t xml:space="preserve">Two possible confounds are logged rather than resolved. First, sampling variance at n=3: if the true catch rate is close to this round's observed one in nine, a run of three consecutive catches has roughly a 0.1 per cent probability under a naive independent-trials assumption — itself informative about how little the original n=3 result could be trusted. Second, the roughly one-month gap between the original verification and this round: the underlying model identifier has not changed in this project's version history, but a hosted model's serving behaviour can shift without any visible version change on this project's side. Neither explanation is confirmed.</w:t>
      </w:r>
    </w:p>
    <w:p>
      <w:pPr>
        <w:spacing w:after="200" w:line="276"/>
      </w:pPr>
      <w:r>
        <w:rPr>
          <w:rFonts w:ascii="Calibri" w:cs="Calibri" w:eastAsia="Calibri" w:hAnsi="Calibri"/>
          <w:sz w:val="22"/>
          <w:szCs w:val="22"/>
        </w:rPr>
        <w:t xml:space="preserve">Given the fidelity check's fail-closed integration rule — a report failing any of Check A, B, or C is downgraded from SYNTHESIZED to FLAGGED_FIDELITY_FAILURE — this result means the fidelity check would have incorrectly approved this exact real report as fully verified in roughly 8 of 9 independent runs, despite genuine, multi-instance content drift. This is reported as an open, high-priority question for further investigation (Section 10.3), not a settled capability, and takes priority over any further wording work on the fidelity check until it is better understood.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was reported at exactly the scale it was run: three trials per case, not the nine used to characterise the original corpus, and was offered as corroborating evidence on two new, real cases rather than as an independent replication at the same statistical weight as Section 8.7. The same nine-trial protocol has since been run on both cases (Section 8.16).</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 asking explicitly whether the company controlled the underlying event, rather than whether decision language is present — is identified as remaining work in Section 10.3, to be validated at the same controlled scale used here before being treated as closing the gap.</w:t>
      </w:r>
    </w:p>
    <w:p>
      <w:pPr>
        <w:pStyle w:val="Heading2"/>
        <w:spacing w:after="120" w:before="280"/>
      </w:pPr>
      <w:r>
        <w:t xml:space="preserve">8.16 PIA/Airlift Forced-Ranking Extended to n=9: A Domain-Dependent Refinement of the Omission-Blindness Finding</w:t>
      </w:r>
    </w:p>
    <w:p>
      <w:pPr>
        <w:spacing w:after="200" w:line="276"/>
      </w:pPr>
      <w:r>
        <w:rPr>
          <w:rFonts w:ascii="Calibri" w:cs="Calibri" w:eastAsia="Calibri" w:hAnsi="Calibri"/>
          <w:sz w:val="22"/>
          <w:szCs w:val="22"/>
        </w:rPr>
        <w:t xml:space="preserve">Section 8.14 reported PIA and Airlift at n=3 per case, explicitly as corroborating evidence rather than a replication at the same statistical weight as the original three cases. This section reports the same protocol extended to n=9 per case, generating and auditing only the 6 new runs per case and combining them with the 3 real runs already on file from Section 8.14 — 18 real runs total, none re-derived.</w:t>
      </w:r>
    </w:p>
    <w:p>
      <w:pPr>
        <w:spacing w:after="200" w:line="276"/>
      </w:pPr>
      <w:r>
        <w:rPr>
          <w:rFonts w:ascii="Calibri" w:cs="Calibri" w:eastAsia="Calibri" w:hAnsi="Calibri"/>
          <w:sz w:val="22"/>
          <w:szCs w:val="22"/>
        </w:rPr>
        <w:t xml:space="preserve">All 6 new runs per case fabricated a percentage-based ranking, and all 12 were correctly caught by the Auditor. Combined with the original 3 per case, both PIA and Airlift now stand at a clean 9 of 9 fabricated and 9 of 9 caught. Check 1 (both parts) passed cleanly across all 18 real trials now on file for these two cases, extending Check 1's validated-at-n=9 set from two cases (Southwest, Peloton, Section 8.7) to four.</w:t>
      </w:r>
    </w:p>
    <w:p>
      <w:pPr>
        <w:spacing w:after="200" w:line="276"/>
      </w:pPr>
      <w:r>
        <w:rPr>
          <w:rFonts w:ascii="Calibri" w:cs="Calibri" w:eastAsia="Calibri" w:hAnsi="Calibri"/>
          <w:sz w:val="22"/>
          <w:szCs w:val="22"/>
        </w:rPr>
        <w:t xml:space="preserve">A secondary observation emerged from reading the new Pareto tables against each case's own stated trigger — not something this round was built to test for, in the same way Section 8.9's controlled test grew out of a pattern first noticed by reading text rather than counting verdicts. The omission-blindness gap (Section 8.8) recurs with a sharper, domain-dependent pattern than the original n=3 could show. All 6 new PIA runs omit the stated external trigger (the PK8303 crash) from the ranking table entirely, each time substituting a generic catch-all category (“External Economic/Global Factors,” “Miscellaneous (Macro Factors),” “External Regulatory Sanctions (The ‘Effect’)”) at a uniform 5 per cent — combined with the original 3, the crash is omitted in 8 of 9 PIA trials on file. Airlift shows the opposite pattern: its stated trigger (the venture-capital funding winter) appears as its own explicit row in all 6 new runs, twice labelled literally “(The Trigger)” in parentheses, at varying positions and weights (10 to 25 per cent) — combined with the original 3, present in 9 of 9 Airlift trials on file.</w:t>
      </w:r>
    </w:p>
    <w:p>
      <w:pPr>
        <w:spacing w:after="200" w:line="276"/>
      </w:pPr>
      <w:r>
        <w:rPr>
          <w:rFonts w:ascii="Calibri" w:cs="Calibri" w:eastAsia="Calibri" w:hAnsi="Calibri"/>
          <w:sz w:val="22"/>
          <w:szCs w:val="22"/>
        </w:rPr>
        <w:t xml:space="preserve">The leading, unconfirmed hypothesis is that a discrete, singular event — a plane crash — does not fit naturally into a percentage-weighted structural-cause breakdown and gets abstracted into a generic bucket, while a diffuse macro-environmental condition — a funding winter — reads naturally as one contributing factor among several and keeps its own line. As throughout this document, this is read from the actual generated text rather than inferred from a pass/fail count: the Auditor's own Check 2 reasoning in all 12 new trials addresses only the fabricated percentages and never once mentions the omission, the same blind spot established in Sections 8.8 and 8.9.</w:t>
      </w:r>
    </w:p>
    <w:p>
      <w:pPr>
        <w:spacing w:after="200" w:line="276"/>
      </w:pPr>
      <w:r>
        <w:rPr>
          <w:rFonts w:ascii="Calibri" w:cs="Calibri" w:eastAsia="Calibri" w:hAnsi="Calibri"/>
          <w:sz w:val="22"/>
          <w:szCs w:val="22"/>
        </w:rPr>
        <w:t xml:space="preserve">This is reported as corroboration and refinement of an existing, already-scoped limitation (Section 10.2), not a new open item — the candidate ranking-completeness check already identified as remaining work (Section 10.3) is the same mechanism that would address it, if built.</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was validated at a considerably smaller scale (n=3 to n=5 per fixture) than the Auditor's checks (n=9, Section 8.7) until a subsequent n=9 re-validation (Section 6.9): six of seven fixture/check combinations held perfectly at the larger scale, but Check C's ability to catch dropped scope qualifiers on the real Peloton report fell from a previously-reported 3/3 at n=3 to 1/9 at n=9 — a major, currently unexplained reliability gap between a minimal synthetic fixture (where Check C holds at 9/9) and a real, denser report carrying the same failure category. Separately, the fidelity check's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Investigation of why Check C's scope-qualifier detection holds at 9/9 on a minimal synthetic fixture but fell to 1/9 on the real Peloton report at the same n=9 scale (Section 6.9) — including ruling in or out possible model-behaviour drift over time — given this is the highest-priority open question raised by any n=9 re-validation in this document.</w:t>
      </w:r>
    </w:p>
    <w:p>
      <w:pPr>
        <w:pStyle w:val="ListParagraph"/>
        <w:numPr>
          <w:ilvl w:val="0"/>
          <w:numId w:val="2"/>
        </w:numPr>
        <w:spacing w:after="100" w:line="276"/>
      </w:pPr>
      <w:r>
        <w:rPr>
          <w:rFonts w:ascii="Calibri" w:cs="Calibri" w:eastAsia="Calibri" w:hAnsi="Calibri"/>
          <w:sz w:val="22"/>
          <w:szCs w:val="22"/>
        </w:rPr>
        <w:t xml:space="preserve">A direct test of whether the Auditor's own Check 1, Check 2, and Check 3 exhibit the same cross-check dependency confirmed for the fidelity check's checks prior to their architectural isolation (Section 6.7), since all three have always shared a single prompt in the same way the fidelity check's did before its Section 6.7 rewrite.</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wording fix to Check 1 Part B targeting the specific substitution mechanism identified in Section 8.15 (explicit decision language standing in for genuine control), followed by a fresh controlled round on the Ohio Warehouse fixture at the same n=9 scale used here, to confirm whether the fix closes the gap without narrowing what the check catches elsewhere.</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