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A further, smaller-scale test characterised the Auditor's Check 1 at rejecting an internal decision relabelled as an external trigger, correctly rejecting it in eight of nine attempts across two earlier rounds against a dedicated synthetic fixture. A third, deliberately differentiated round of nine fresh, independently-worded framings then found this robustness to be framing-dependent rather than uniform, correctly rejecting only four of nine, with a reproducible mechanism identified behind the misses rather than an unexplained miss rate. A separate re-validation of the Orchestrator's fidelity check at this same n=9 scale found six of its seven fixture/check combinations replicating perfectly, but overturned a previously-reported clean result on the seventh: Check C's scope-qualifier check, which an earlier n=3 round had found catching a real report's dropped qualifiers in all three trials, caught them in only one of nine at this larger scale.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a narrow vague-quantifier exception found in this pass was fixed and confirmed stable across two further validation rounds, while a related causal-inference pattern persisted across two targeted wording fixes and is documented as a limitation rather than corrected. These extensions are reported in Sections 4.2, 6.8, 6.9, 8.13, 8.15,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as a purely academic exercise, without access to any proprietary or confidential data.</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spacing w:after="200" w:line="276"/>
      </w:pPr>
      <w:r>
        <w:rPr>
          <w:rFonts w:ascii="Calibri" w:cs="Calibri" w:eastAsia="Calibri" w:hAnsi="Calibri"/>
          <w:sz w:val="22"/>
          <w:szCs w:val="22"/>
        </w:rPr>
        <w:t xml:space="preserve">Both findings were then targeted for a fix, in two rounds. The first round added explicit guidance naming both patterns directly, including the two specific phrases (“as a result,” “consequently”) the causal-link finding had used. Re-running the full 25-trial suite showed the quantifier fix worked cleanly: zero of 25 promotions, no regressions elsewhere. The causal-link fix did not: the raw count stayed at 4 of 25, but every instance moved into a single fixture, using unbanned phrasing (“causing X and Y”) instead of the two named phrases — the model was matching against the specific wording banned, not the rule it stood in for.</w:t>
      </w:r>
    </w:p>
    <w:p>
      <w:pPr>
        <w:spacing w:after="200" w:line="276"/>
      </w:pPr>
      <w:r>
        <w:rPr>
          <w:rFonts w:ascii="Calibri" w:cs="Calibri" w:eastAsia="Calibri" w:hAnsi="Calibri"/>
          <w:sz w:val="22"/>
          <w:szCs w:val="22"/>
        </w:rPr>
        <w:t xml:space="preserve">Closer reading of the remaining failures found a more precise mechanism than an unstated link: the input does state one causal link explicitly (“customer very angry because delivery always late”), and the model was extending that same stated link to also cover a second, separately-stated fact (customer loss) the input never connected to anything — chaining an existing claim, not inventing one from nothing. A second round rewrote the guidance around this specific mechanism, banning causal-connecting language generally and explicitly stating that a stated link covers only the facts the user connected, using the exact failing sentence as the worked example inside the prompt itself. Re-running the full suite again produced an unchanged result: the same 4 of 5 rate, on the same fixture, several trials reproducing close to the identical sentence just quoted back to the model as the thing not to do.</w:t>
      </w:r>
    </w:p>
    <w:p>
      <w:pPr>
        <w:spacing w:after="200" w:line="276"/>
      </w:pPr>
      <w:r>
        <w:rPr>
          <w:rFonts w:ascii="Calibri" w:cs="Calibri" w:eastAsia="Calibri" w:hAnsi="Calibri"/>
          <w:sz w:val="22"/>
          <w:szCs w:val="22"/>
        </w:rPr>
        <w:t xml:space="preserve">The quantifier-promotion fix is retained and confirmed stable across two independent validation rounds; this finding is closed. The causal-link fix is not pursued further by wording alone: two rounds of increasingly specific, example-driven prompt changes produced identical results, treated as evidence of a genuine plateau rather than an insufficiently precise instruction. This is a different outcome from every other wording fix in this document (Check 2, Check 3, the quantifier fix above) — those all moved in response to a more precisely named rule; this one did not move on a second attempt, which is itself informative: some failure modes may respond better to a structural change in what the model is asked to produce (e.g. requiring Background as separate listed facts rather than connected prose) than to further constraining what it is asked not to say. This is reported as a documented limitation, not a corrected one, and the structural alternative is scoped as remaining work in Section 10.3 rather than pursued as a third wording round.</w:t>
      </w:r>
    </w:p>
    <w:p>
      <w:pPr>
        <w:pStyle w:val="Heading2"/>
        <w:spacing w:after="120" w:before="280"/>
      </w:pPr>
      <w:r>
        <w:t xml:space="preserve">6.9 Fidelity Check n=9 Re-Validation: A Major Reversal on the Real Peloton Fixture</w:t>
      </w:r>
    </w:p>
    <w:p>
      <w:pPr>
        <w:spacing w:after="200" w:line="276"/>
      </w:pPr>
      <w:r>
        <w:rPr>
          <w:rFonts w:ascii="Calibri" w:cs="Calibri" w:eastAsia="Calibri" w:hAnsi="Calibri"/>
          <w:sz w:val="22"/>
          <w:szCs w:val="22"/>
        </w:rPr>
        <w:t xml:space="preserve">Section 6.7's fidelity check has only ever been validated at n=3 to n=5 per fixture, and its own module docstring, after the Section 6.7 architectural rewrite to three isolated checks, states plainly that the isolated form “needs its own verification pass, same standard as every prior revision.” That pass had also only ever covered 2 of the fidelity check's 5 established fixtures. This section reports a single controlled batch closing both gaps: all 5 fixtures, unchanged, re-run at n=9, calling only the check(s) each fixture targets — except the real Peloton diagnosis and report, which gets all three checks since it is the project's one non-synthetic, multi-cause fixture.</w:t>
      </w:r>
    </w:p>
    <w:p>
      <w:pPr>
        <w:spacing w:after="200" w:line="276"/>
      </w:pPr>
      <w:r>
        <w:rPr>
          <w:rFonts w:ascii="Calibri" w:cs="Calibri" w:eastAsia="Calibri" w:hAnsi="Calibri"/>
          <w:sz w:val="22"/>
          <w:szCs w:val="22"/>
        </w:rPr>
        <w:t xml:space="preserve">Six of the seven fixture/check combinations replicated perfectly: paraphrase_only against Check A, parenthetical_dropped and category_renamed against Check B, qualifier_dropped against Check C, and the real Peloton pair against both Check A and Check B all returned the expected verdict in all 9 trials — 54 of 54 individual results correct, the largest clean batch this project has run against the fidelity check.</w:t>
      </w:r>
    </w:p>
    <w:p>
      <w:pPr>
        <w:spacing w:after="200" w:line="276"/>
      </w:pPr>
      <w:r>
        <w:rPr>
          <w:rFonts w:ascii="Calibri" w:cs="Calibri" w:eastAsia="Calibri" w:hAnsi="Calibri"/>
          <w:sz w:val="22"/>
          <w:szCs w:val="22"/>
        </w:rPr>
        <w:t xml:space="preserve">The seventh combination overturns a previously-reported result rather than merely extending it. Section 6.7's architectural fix (the isolated Check A/B/C rewrite) was verified at the time by re-running the real Peloton diagnosis and report at n=3, and Check C correctly caught the report's dropped qualifiers in all three trials — called, at the time, “the cleanest result across all five fidelity-check revisions to date.” Run again at n=9, against the identical fixture pair and unchanged Check C wording, it caught the same violation in only one of nine trials. The other eight all returned “Instances found: None found,” several explicitly asserting that specific compositional qualifiers were preserved when the report text demonstrably drops them.</w:t>
      </w:r>
    </w:p>
    <w:p>
      <w:pPr>
        <w:spacing w:after="200" w:line="276"/>
      </w:pPr>
      <w:r>
        <w:rPr>
          <w:rFonts w:ascii="Calibri" w:cs="Calibri" w:eastAsia="Calibri" w:hAnsi="Calibri"/>
          <w:sz w:val="22"/>
          <w:szCs w:val="22"/>
        </w:rPr>
        <w:t xml:space="preserve">The one correct catch is, if anything, a stronger result than anything previously documented for this fixture: it names four distinct dropped qualifiers rather than the two found in the original graduation run — the “storage, insurance, obsolescence” composition dropped from the carrying-cost figure, the “(Precor + Factory)” composition dropped from the $800M figure, the “into expansion” scope dropped from the 55%-of-capital-invested figure, and the “80% Decline” qualifier dropped from the $40B shareholder-value figure. This confirms the violations are real and detectable in principle; Check C simply failed to detect them in 8 of 9 independent attempts against the same input.</w:t>
      </w:r>
    </w:p>
    <w:p>
      <w:pPr>
        <w:spacing w:after="200" w:line="276"/>
      </w:pPr>
      <w:r>
        <w:rPr>
          <w:rFonts w:ascii="Calibri" w:cs="Calibri" w:eastAsia="Calibri" w:hAnsi="Calibri"/>
          <w:sz w:val="22"/>
          <w:szCs w:val="22"/>
        </w:rPr>
        <w:t xml:space="preserve">By contrast, qualifier_dropped — a synthetic fixture built to isolate exactly one clean qualifier drop inside an otherwise short, single-paragraph-derived report — caught its violation in all 9 trials, at the same scale, under the same unchanged check wording, in the same batch. Both fixtures test the identical failure category; their reliability is opposite. The leading, unconfirmed hypothesis is that Check C's near-perfect performance on a minimal single-variable synthetic fixture does not generalise to a real, denser report carrying several simultaneous violations among many correctly-preserved figures — a generalisation question distinct from, and untouched by, any of Section 6.7's five wording-calibration rounds, all of which were validated primarily against synthetic single-variable fixtures.</w:t>
      </w:r>
    </w:p>
    <w:p>
      <w:pPr>
        <w:spacing w:after="200" w:line="276"/>
      </w:pPr>
      <w:r>
        <w:rPr>
          <w:rFonts w:ascii="Calibri" w:cs="Calibri" w:eastAsia="Calibri" w:hAnsi="Calibri"/>
          <w:sz w:val="22"/>
          <w:szCs w:val="22"/>
        </w:rPr>
        <w:t xml:space="preserve">Two possible confounds are logged rather than resolved. First, sampling variance at n=3: if the true catch rate is close to this round's observed one in nine, a run of three consecutive catches has roughly a 0.1 per cent probability under a naive independent-trials assumption — itself informative about how little the original n=3 result could be trusted. Second, the roughly one-month gap between the original verification and this round: the underlying model identifier has not changed in this project's version history, but a hosted model's serving behaviour can shift without any visible version change on this project's side. Neither explanation is confirmed.</w:t>
      </w:r>
    </w:p>
    <w:p>
      <w:pPr>
        <w:spacing w:after="200" w:line="276"/>
      </w:pPr>
      <w:r>
        <w:rPr>
          <w:rFonts w:ascii="Calibri" w:cs="Calibri" w:eastAsia="Calibri" w:hAnsi="Calibri"/>
          <w:sz w:val="22"/>
          <w:szCs w:val="22"/>
        </w:rPr>
        <w:t xml:space="preserve">Given the fidelity check's fail-closed integration rule — a report failing any of Check A, B, or C is downgraded from SYNTHESIZED to FLAGGED_FIDELITY_FAILURE — this result means the fidelity check would have incorrectly approved this exact real report as fully verified in roughly 8 of 9 independent runs, despite genuine, multi-instance content drift. This is reported as an open, high-priority question for further investigation (Section 10.3), not a settled capability, and takes priority over any further wording work on the fidelity check until it is better understood.</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is reported at exactly the scale it was run: three trials per case, not the nine used to characterise the original corpus, and is offered as corroborating evidence on two new, real cases rather than as an independent replication at the same statistical weight as Section 8.7. Running the same nine-trial protocol on PIA and Airlift is identified as remaining work in Section 10.3.</w:t>
      </w:r>
    </w:p>
    <w:p>
      <w:pPr>
        <w:pStyle w:val="Heading2"/>
        <w:spacing w:after="120" w:before="280"/>
      </w:pPr>
      <w:r>
        <w:t xml:space="preserve">8.15 Round 3 on Check 1 Part B: A Reproducible Mechanism Behind the Ohio Warehouse Misses</w:t>
      </w:r>
    </w:p>
    <w:p>
      <w:pPr>
        <w:spacing w:after="200" w:line="276"/>
      </w:pPr>
      <w:r>
        <w:rPr>
          <w:rFonts w:ascii="Calibri" w:cs="Calibri" w:eastAsia="Calibri" w:hAnsi="Calibri"/>
          <w:sz w:val="22"/>
          <w:szCs w:val="22"/>
        </w:rPr>
        <w:t xml:space="preserve">Section 8.13 left the Ohio Warehouse fixture at eight of nine correctly rejected, pooled across two rounds of differing methodology, with the one miss unexplained by any identified factor, and flagged a further round using a fresh set of independently-worded framings as remaining work (Section 10.3). This section reports that round.</w:t>
      </w:r>
    </w:p>
    <w:p>
      <w:pPr>
        <w:spacing w:after="200" w:line="276"/>
      </w:pPr>
      <w:r>
        <w:rPr>
          <w:rFonts w:ascii="Calibri" w:cs="Calibri" w:eastAsia="Calibri" w:hAnsi="Calibri"/>
          <w:sz w:val="22"/>
          <w:szCs w:val="22"/>
        </w:rPr>
        <w:t xml:space="preserve">The case text and the diagnosis's Root Cause statement were held fixed and byte-identical across all nine trials; the only variable was the Triggering Event line, changed once per trial by mechanical string replacement, the same single-variable discipline used throughout this document's Auditor tests. Rather than nine variations on a single theme, the nine framings were deliberately designed to span nine distinct evasion strategies: direct decision-naming (a floor case), vendor-externalising, pure symptom-as-trigger, an agentless passive-voice construction, an event-dated construction structurally mimicking how a genuine external trigger reads elsewhere in this document, a vague “operational instability” framing, a downstream-consequence-as-trigger framing, a mechanical/technical-failure register, and a hedged-uncertainty framing. Every trial's full diagnosis and raw, unfiltered Auditor output were saved to disk before any result was tallied.</w:t>
      </w:r>
    </w:p>
    <w:p>
      <w:pPr>
        <w:spacing w:after="200" w:line="276"/>
      </w:pPr>
      <w:r>
        <w:rPr>
          <w:rFonts w:ascii="Calibri" w:cs="Calibri" w:eastAsia="Calibri" w:hAnsi="Calibri"/>
          <w:sz w:val="22"/>
          <w:szCs w:val="22"/>
        </w:rPr>
        <w:t xml:space="preserve">Four of nine were correctly rejected — a sharp drop from the earlier rounds' three of three and five of six — but the miss is no longer unexplained. Reading the Auditor's own PASS reasoning on the five misses shows a consistent substitution: the check asks whether explicit decision language is present in the trigger sentence, rather than whether the company actually controlled the underlying event. The vendor-externalising framing was passed as “an external technical occurrence resulting from a vendor/system mismatch,” disregarding that the company chose the vendor and the rollout. The symptom framing was passed as “the external-facing operational reality the company had to react to,” treating a direct effect of the company's own system as something that happened to it rather than because of it. The event-dated framing's own reasoning explicitly conceded that “the decision to switch is internal,” then passed the trigger anyway on the grounds that the cutover served merely as “the temporal marker for the start of the systemic failure, which is acceptable practice.” The mechanical-failure framing was passed as “correctly identified as an external/objective event,” conflating objective (factually occurred) with external (outside the company's control). The hedged-uncertainty framing was passed on the reasoning that it “is not the company's internal decision-making process” — treating the absence of decision language as evidence of externality, rather than as merely the absence of a label. By contrast, all four framings that were correctly rejected kept an internal actor, action, or transition nameable inside the trigger sentence itself, even when hedged (“had not been fully validated”) or softened (“a period of instability that emerged following the transition”).</w:t>
      </w:r>
    </w:p>
    <w:p>
      <w:pPr>
        <w:spacing w:after="200" w:line="276"/>
      </w:pPr>
      <w:r>
        <w:rPr>
          <w:rFonts w:ascii="Calibri" w:cs="Calibri" w:eastAsia="Calibri" w:hAnsi="Calibri"/>
          <w:sz w:val="22"/>
          <w:szCs w:val="22"/>
        </w:rPr>
        <w:t xml:space="preserve">One trial (the downstream-consequence framing) also failed Check 3, despite the diagnosis body — the Fishbone, 5 Whys, and Financial Impact sections — being byte-identical to the other eight trials, which passed Check 3 clean. This is a same-input, different-verdict result on a check unrelated to Part B, reported here as a non-determinism data point rather than folded into this section's finding, which concerns Part B specifically.</w:t>
      </w:r>
    </w:p>
    <w:p>
      <w:pPr>
        <w:spacing w:after="200" w:line="276"/>
      </w:pPr>
      <w:r>
        <w:rPr>
          <w:rFonts w:ascii="Calibri" w:cs="Calibri" w:eastAsia="Calibri" w:hAnsi="Calibri"/>
          <w:sz w:val="22"/>
          <w:szCs w:val="22"/>
        </w:rPr>
        <w:t xml:space="preserve">This round's result is reported at its own scale — four of nine — rather than pooled with the two earlier rounds' three of three and five of six into a single combined ratio; a pooled figure would flatten a genuinely bimodal pattern these nine framings were deliberately built to surface. Check 1 Part B's behaviour is now characterised rather than merely observed: the check is robust to reframing that keeps an internal actor or action nameable in the trigger sentence, and vulnerable to reframing that routes around that naming through a third party, a symptom, a bare dated event, an “objective” register, or an epistemic hedge. A wording fix targeting this specific substitution — asking explicitly whether the company controlled the underlying event, rather than whether decision language is present — is identified as remaining work in Section 10.3, to be validated at the same controlled scale used here before being treated as closing the gap.</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was validated at a considerably smaller scale (n=3 to n=5 per fixture) than the Auditor's checks (n=9, Section 8.7) until a subsequent n=9 re-validation (Section 6.9): six of seven fixture/check combinations held perfectly at the larger scale, but Check C's ability to catch dropped scope qualifiers on the real Peloton report fell from a previously-reported 3/3 at n=3 to 1/9 at n=9 — a major, currently unexplained reliability gap between a minimal synthetic fixture (where Check C holds at 9/9) and a real, denser report carrying the same failure category. Separately, the fidelity check's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observed once in 25 trials, was fixed by a wording change and confirmed absent (0 of 25) across two further independent validation rounds (Section 6.8). This finding is closed.</w:t>
      </w:r>
    </w:p>
    <w:p>
      <w:pPr>
        <w:pStyle w:val="ListParagraph"/>
        <w:numPr>
          <w:ilvl w:val="0"/>
          <w:numId w:val="2"/>
        </w:numPr>
        <w:spacing w:after="100" w:line="276"/>
      </w:pPr>
      <w:r>
        <w:rPr>
          <w:rFonts w:ascii="Calibri" w:cs="Calibri" w:eastAsia="Calibri" w:hAnsi="Calibri"/>
          <w:sz w:val="22"/>
          <w:szCs w:val="22"/>
        </w:rPr>
        <w:t xml:space="preserve">A second Intake pattern proved resistant to wording fixes specifically: an unstated causal link asserted between facts the input only lists separately, concentrated entirely in one fixture at a stable 4 of 5 trials across two independent, increasingly specific wording-fix attempts, including one that quoted the model's own exact failing sentence back to it as a worked example (Section 6.8). This is reported as a genuine plateau, not an unresolved wording gap, and is mitigated today by the existing human-review checkpoint before a diagnosis runs.</w:t>
      </w:r>
    </w:p>
    <w:p>
      <w:pPr>
        <w:pStyle w:val="ListParagraph"/>
        <w:numPr>
          <w:ilvl w:val="0"/>
          <w:numId w:val="2"/>
        </w:numPr>
        <w:spacing w:after="100" w:line="276"/>
      </w:pPr>
      <w:r>
        <w:rPr>
          <w:rFonts w:ascii="Calibri" w:cs="Calibri" w:eastAsia="Calibri" w:hAnsi="Calibri"/>
          <w:sz w:val="22"/>
          <w:szCs w:val="22"/>
        </w:rPr>
        <w:t xml:space="preserve">Check 1 Part B's rejection of a mislabelled internal trigger is framing-dependent rather than uniformly robust (Section 8.15): a controlled round of nine fresh, independently-worded framings on the Ohio Warehouse fixture found four of nine correctly rejected, with the five passes sharing a specific mechanism — the check's own reasoning substituted the presence of explicit decision language for genuine control, letting a vendor-attributed, symptom-framed, bare-dated, “objective”-registered, or hedged-uncertainty trigger through where the same underlying internal action would be rejected if named directly. Framings that kept an internal actor, action, or transition nameable within the trigger sentence itself were rejected in all four cases tested.</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Investigation of why Check C's scope-qualifier detection holds at 9/9 on a minimal synthetic fixture but fell to 1/9 on the real Peloton report at the same n=9 scale (Section 6.9) — including ruling in or out possible model-behaviour drift over time — given this is the highest-priority open question raised by any n=9 re-validation in this document.</w:t>
      </w:r>
    </w:p>
    <w:p>
      <w:pPr>
        <w:pStyle w:val="ListParagraph"/>
        <w:numPr>
          <w:ilvl w:val="0"/>
          <w:numId w:val="2"/>
        </w:numPr>
        <w:spacing w:after="100" w:line="276"/>
      </w:pPr>
      <w:r>
        <w:rPr>
          <w:rFonts w:ascii="Calibri" w:cs="Calibri" w:eastAsia="Calibri" w:hAnsi="Calibri"/>
          <w:sz w:val="22"/>
          <w:szCs w:val="22"/>
        </w:rPr>
        <w:t xml:space="preserve">A direct test of whether the Auditor's own Check 1, Check 2, and Check 3 exhibit the same cross-check dependency confirmed for the fidelity check's checks prior to their architectural isolation (Section 6.7), since all three have always shared a single prompt in the same way the fidelity check's did before its Section 6.7 rewrite.</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wording fix to Check 1 Part B targeting the specific substitution mechanism identified in Section 8.15 (explicit decision language standing in for genuine control), followed by a fresh controlled round on the Ohio Warehouse fixture at the same n=9 scale used here, to confirm whether the fix closes the gap without narrowing what the check catches elsewhere.</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Extending the forced-ranking trials on PIA and Airlift (Section 8.14) from three per case to nine, matching the scale used to characterise the original three cases (Section 8.7), before treating the four-case Check 1 validation or the repeated omission-blindness observation as more than directional.</w:t>
      </w:r>
    </w:p>
    <w:p>
      <w:pPr>
        <w:pStyle w:val="ListParagraph"/>
        <w:numPr>
          <w:ilvl w:val="0"/>
          <w:numId w:val="2"/>
        </w:numPr>
        <w:spacing w:after="100" w:line="276"/>
      </w:pPr>
      <w:r>
        <w:rPr>
          <w:rFonts w:ascii="Calibri" w:cs="Calibri" w:eastAsia="Calibri" w:hAnsi="Calibri"/>
          <w:sz w:val="22"/>
          <w:szCs w:val="22"/>
        </w:rPr>
        <w:t xml:space="preserve">A structural fix for Intake's remaining causal-link finding (Section 6.8), since two rounds of wording fixes plateaued at an identical rate: e.g. requiring Background as separate listed facts rather than connected prose, removing the surface opportunity for an unstated causal connector to appear at all, rather than a third wording-only attempt.</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